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B59C70" w14:textId="77777777" w:rsidR="00184306" w:rsidRDefault="00184306">
      <w:pPr>
        <w:pStyle w:val="BodyText"/>
        <w:spacing w:before="9"/>
        <w:rPr>
          <w:rFonts w:ascii="Times New Roman"/>
          <w:b w:val="0"/>
          <w:sz w:val="20"/>
          <w:u w:val="none"/>
        </w:rPr>
      </w:pPr>
    </w:p>
    <w:p w14:paraId="3E3F6AB3" w14:textId="77777777" w:rsidR="00184306" w:rsidRDefault="00000000">
      <w:pPr>
        <w:pStyle w:val="BodyText"/>
        <w:spacing w:before="92"/>
        <w:ind w:left="220"/>
        <w:rPr>
          <w:u w:val="none"/>
        </w:rPr>
      </w:pPr>
      <w:r>
        <w:rPr>
          <w:u w:val="none"/>
        </w:rPr>
        <w:t>CIL Appeals</w:t>
      </w:r>
    </w:p>
    <w:p w14:paraId="21ED3217" w14:textId="77777777" w:rsidR="00184306" w:rsidRDefault="00184306">
      <w:pPr>
        <w:spacing w:before="1"/>
        <w:rPr>
          <w:b/>
          <w:sz w:val="21"/>
        </w:rPr>
      </w:pPr>
    </w:p>
    <w:p w14:paraId="23A766C3" w14:textId="77777777" w:rsidR="00184306" w:rsidRDefault="00000000">
      <w:pPr>
        <w:pStyle w:val="BodyText"/>
        <w:spacing w:after="7" w:line="448" w:lineRule="auto"/>
        <w:ind w:left="220" w:right="3960"/>
        <w:rPr>
          <w:u w:val="none"/>
        </w:rPr>
      </w:pPr>
      <w:r>
        <w:rPr>
          <w:u w:val="none"/>
        </w:rPr>
        <w:t xml:space="preserve">Appeals to the VOA can be made by following this link: </w:t>
      </w:r>
      <w:hyperlink r:id="rId4">
        <w:r>
          <w:rPr>
            <w:color w:val="0000FF"/>
            <w:u w:val="thick" w:color="0000FF"/>
          </w:rPr>
          <w:t>https://www.gov.uk/guidance/community-infrastructure-levy-how-to-make-an-appeal</w:t>
        </w:r>
      </w:hyperlink>
      <w:r>
        <w:rPr>
          <w:color w:val="0000FF"/>
          <w:u w:val="none"/>
        </w:rPr>
        <w:t xml:space="preserve"> </w:t>
      </w:r>
      <w:r>
        <w:rPr>
          <w:u w:val="none"/>
        </w:rPr>
        <w:t xml:space="preserve">Appeals to the Planning Inspectorate can be made by following this link: </w:t>
      </w:r>
      <w:hyperlink r:id="rId5">
        <w:r>
          <w:rPr>
            <w:color w:val="0000FF"/>
            <w:u w:val="thick" w:color="0000FF"/>
          </w:rPr>
          <w:t>https://www.gov.uk/guidance/appeal-a-community-infrastructure-levy-enforcement-notice</w:t>
        </w:r>
      </w:hyperlink>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2692"/>
        <w:gridCol w:w="4252"/>
        <w:gridCol w:w="4994"/>
      </w:tblGrid>
      <w:tr w:rsidR="00184306" w14:paraId="1FE342A5" w14:textId="77777777">
        <w:trPr>
          <w:trHeight w:val="827"/>
        </w:trPr>
        <w:tc>
          <w:tcPr>
            <w:tcW w:w="2234" w:type="dxa"/>
          </w:tcPr>
          <w:p w14:paraId="681E087A" w14:textId="77777777" w:rsidR="00184306" w:rsidRDefault="00000000">
            <w:pPr>
              <w:pStyle w:val="TableParagraph"/>
              <w:spacing w:line="271" w:lineRule="exact"/>
              <w:ind w:left="107"/>
              <w:rPr>
                <w:b/>
                <w:sz w:val="24"/>
              </w:rPr>
            </w:pPr>
            <w:r>
              <w:rPr>
                <w:b/>
                <w:color w:val="303030"/>
                <w:sz w:val="24"/>
              </w:rPr>
              <w:t>Type of appeal</w:t>
            </w:r>
          </w:p>
        </w:tc>
        <w:tc>
          <w:tcPr>
            <w:tcW w:w="2692" w:type="dxa"/>
          </w:tcPr>
          <w:p w14:paraId="63380EA7" w14:textId="77777777" w:rsidR="00184306" w:rsidRDefault="00000000">
            <w:pPr>
              <w:pStyle w:val="TableParagraph"/>
              <w:spacing w:line="276" w:lineRule="exact"/>
              <w:ind w:left="108" w:right="1181"/>
              <w:rPr>
                <w:b/>
                <w:sz w:val="24"/>
              </w:rPr>
            </w:pPr>
            <w:r>
              <w:rPr>
                <w:b/>
                <w:color w:val="303030"/>
                <w:sz w:val="24"/>
              </w:rPr>
              <w:t>Who should appellants contact?</w:t>
            </w:r>
          </w:p>
        </w:tc>
        <w:tc>
          <w:tcPr>
            <w:tcW w:w="4252" w:type="dxa"/>
          </w:tcPr>
          <w:p w14:paraId="789710CE" w14:textId="77777777" w:rsidR="00184306" w:rsidRDefault="00000000">
            <w:pPr>
              <w:pStyle w:val="TableParagraph"/>
              <w:ind w:right="685"/>
              <w:rPr>
                <w:b/>
                <w:sz w:val="24"/>
              </w:rPr>
            </w:pPr>
            <w:r>
              <w:rPr>
                <w:b/>
                <w:color w:val="303030"/>
                <w:sz w:val="24"/>
              </w:rPr>
              <w:t>Who may appeal, and on what grounds?</w:t>
            </w:r>
          </w:p>
        </w:tc>
        <w:tc>
          <w:tcPr>
            <w:tcW w:w="4994" w:type="dxa"/>
          </w:tcPr>
          <w:p w14:paraId="566C9D81" w14:textId="77777777" w:rsidR="00184306" w:rsidRDefault="00000000">
            <w:pPr>
              <w:pStyle w:val="TableParagraph"/>
              <w:spacing w:line="271" w:lineRule="exact"/>
              <w:rPr>
                <w:b/>
                <w:sz w:val="24"/>
              </w:rPr>
            </w:pPr>
            <w:r>
              <w:rPr>
                <w:b/>
                <w:color w:val="303030"/>
                <w:sz w:val="24"/>
              </w:rPr>
              <w:t>What time restrictions apply?</w:t>
            </w:r>
          </w:p>
        </w:tc>
      </w:tr>
      <w:tr w:rsidR="00184306" w14:paraId="4AB1F123" w14:textId="77777777">
        <w:trPr>
          <w:trHeight w:val="5243"/>
        </w:trPr>
        <w:tc>
          <w:tcPr>
            <w:tcW w:w="2234" w:type="dxa"/>
          </w:tcPr>
          <w:p w14:paraId="6C80732E" w14:textId="0DF181D5" w:rsidR="00184306" w:rsidRDefault="00000000">
            <w:pPr>
              <w:pStyle w:val="TableParagraph"/>
              <w:ind w:left="107" w:right="255"/>
              <w:rPr>
                <w:sz w:val="24"/>
              </w:rPr>
            </w:pPr>
            <w:r>
              <w:rPr>
                <w:color w:val="303030"/>
                <w:sz w:val="24"/>
              </w:rPr>
              <w:t>Calculation of chargeable amount (Regulation 114)</w:t>
            </w:r>
          </w:p>
        </w:tc>
        <w:tc>
          <w:tcPr>
            <w:tcW w:w="2692" w:type="dxa"/>
          </w:tcPr>
          <w:p w14:paraId="16CF913E" w14:textId="77777777" w:rsidR="00184306" w:rsidRDefault="00000000">
            <w:pPr>
              <w:pStyle w:val="TableParagraph"/>
              <w:ind w:left="108" w:right="126"/>
              <w:rPr>
                <w:sz w:val="24"/>
              </w:rPr>
            </w:pPr>
            <w:r>
              <w:rPr>
                <w:color w:val="303030"/>
                <w:sz w:val="24"/>
              </w:rPr>
              <w:t>First: ask Chichester’s CIL collecting authority for a review, in accordance with the procedures in Regulation 113.</w:t>
            </w:r>
          </w:p>
          <w:p w14:paraId="3403AFCC" w14:textId="77777777" w:rsidR="00184306" w:rsidRDefault="00184306">
            <w:pPr>
              <w:pStyle w:val="TableParagraph"/>
              <w:spacing w:before="6"/>
              <w:ind w:left="0"/>
              <w:rPr>
                <w:b/>
                <w:sz w:val="23"/>
              </w:rPr>
            </w:pPr>
          </w:p>
          <w:p w14:paraId="0C7BE866" w14:textId="77777777" w:rsidR="00184306" w:rsidRDefault="00000000">
            <w:pPr>
              <w:pStyle w:val="TableParagraph"/>
              <w:ind w:left="108" w:right="218"/>
              <w:rPr>
                <w:sz w:val="24"/>
              </w:rPr>
            </w:pPr>
            <w:r>
              <w:rPr>
                <w:color w:val="303030"/>
                <w:sz w:val="24"/>
              </w:rPr>
              <w:t>Second: appeal to the Valuation Office Agency.</w:t>
            </w:r>
          </w:p>
        </w:tc>
        <w:tc>
          <w:tcPr>
            <w:tcW w:w="4252" w:type="dxa"/>
          </w:tcPr>
          <w:p w14:paraId="088F48E1" w14:textId="77777777" w:rsidR="00184306" w:rsidRDefault="00000000">
            <w:pPr>
              <w:pStyle w:val="TableParagraph"/>
              <w:ind w:right="376"/>
              <w:rPr>
                <w:sz w:val="24"/>
              </w:rPr>
            </w:pPr>
            <w:r>
              <w:rPr>
                <w:color w:val="303030"/>
                <w:sz w:val="24"/>
              </w:rPr>
              <w:t>The Valuation Office Agency can only accept an appeal from the person who asked the collecting authority to review the chargeable amount under Regulation 113. An appeal to the Valuation Office Agency can only be made on the ground that the chargeable amount has been calculated incorrectly.</w:t>
            </w:r>
          </w:p>
        </w:tc>
        <w:tc>
          <w:tcPr>
            <w:tcW w:w="4994" w:type="dxa"/>
          </w:tcPr>
          <w:p w14:paraId="7BEB9F93" w14:textId="77777777" w:rsidR="00184306" w:rsidRDefault="00000000">
            <w:pPr>
              <w:pStyle w:val="TableParagraph"/>
              <w:ind w:right="1026"/>
              <w:rPr>
                <w:sz w:val="24"/>
              </w:rPr>
            </w:pPr>
            <w:r>
              <w:rPr>
                <w:color w:val="303030"/>
                <w:sz w:val="24"/>
              </w:rPr>
              <w:t>Development must not have commenced (with the exception of retrospective planning applications).</w:t>
            </w:r>
          </w:p>
          <w:p w14:paraId="1955C151" w14:textId="77777777" w:rsidR="00184306" w:rsidRDefault="00184306">
            <w:pPr>
              <w:pStyle w:val="TableParagraph"/>
              <w:spacing w:before="6"/>
              <w:ind w:left="0"/>
              <w:rPr>
                <w:b/>
                <w:sz w:val="23"/>
              </w:rPr>
            </w:pPr>
          </w:p>
          <w:p w14:paraId="09E5FE18" w14:textId="77777777" w:rsidR="00184306" w:rsidRDefault="00000000">
            <w:pPr>
              <w:pStyle w:val="TableParagraph"/>
              <w:ind w:right="1333"/>
              <w:rPr>
                <w:sz w:val="24"/>
              </w:rPr>
            </w:pPr>
            <w:r>
              <w:rPr>
                <w:color w:val="303030"/>
                <w:sz w:val="24"/>
              </w:rPr>
              <w:t>The first review to the charging authority must be made within 28 days.</w:t>
            </w:r>
          </w:p>
          <w:p w14:paraId="5751A500" w14:textId="77777777" w:rsidR="00184306" w:rsidRDefault="00184306">
            <w:pPr>
              <w:pStyle w:val="TableParagraph"/>
              <w:ind w:left="0"/>
              <w:rPr>
                <w:b/>
                <w:sz w:val="24"/>
              </w:rPr>
            </w:pPr>
          </w:p>
          <w:p w14:paraId="7233D95F" w14:textId="77777777" w:rsidR="00184306" w:rsidRDefault="00000000">
            <w:pPr>
              <w:pStyle w:val="TableParagraph"/>
              <w:ind w:right="1052"/>
              <w:rPr>
                <w:sz w:val="24"/>
              </w:rPr>
            </w:pPr>
            <w:r>
              <w:rPr>
                <w:color w:val="303030"/>
                <w:sz w:val="24"/>
              </w:rPr>
              <w:t>A subsequent appeal to the Valuation Office Agency must be made within 60 days of the date when the original liability notice was issued.</w:t>
            </w:r>
          </w:p>
          <w:p w14:paraId="4A2712B0" w14:textId="77777777" w:rsidR="00184306" w:rsidRDefault="00184306">
            <w:pPr>
              <w:pStyle w:val="TableParagraph"/>
              <w:ind w:left="0"/>
              <w:rPr>
                <w:b/>
                <w:sz w:val="24"/>
              </w:rPr>
            </w:pPr>
          </w:p>
          <w:p w14:paraId="186A49F5" w14:textId="77777777" w:rsidR="00184306" w:rsidRDefault="00000000">
            <w:pPr>
              <w:pStyle w:val="TableParagraph"/>
              <w:spacing w:before="1" w:line="270" w:lineRule="atLeast"/>
              <w:ind w:right="1345"/>
              <w:rPr>
                <w:color w:val="303030"/>
                <w:sz w:val="24"/>
              </w:rPr>
            </w:pPr>
            <w:r>
              <w:rPr>
                <w:color w:val="303030"/>
                <w:sz w:val="24"/>
              </w:rPr>
              <w:t>An appeal to the Valuation Office Agency cannot be made until at least 14 days after the collecting authority has been asked for a review.</w:t>
            </w:r>
          </w:p>
          <w:p w14:paraId="5804C978" w14:textId="6F437E81" w:rsidR="002B3952" w:rsidRDefault="002B3952">
            <w:pPr>
              <w:pStyle w:val="TableParagraph"/>
              <w:spacing w:before="1" w:line="270" w:lineRule="atLeast"/>
              <w:ind w:right="1345"/>
              <w:rPr>
                <w:sz w:val="24"/>
              </w:rPr>
            </w:pPr>
          </w:p>
        </w:tc>
      </w:tr>
      <w:tr w:rsidR="00184306" w14:paraId="77EAC249" w14:textId="77777777" w:rsidTr="00567620">
        <w:trPr>
          <w:trHeight w:val="90"/>
        </w:trPr>
        <w:tc>
          <w:tcPr>
            <w:tcW w:w="2234" w:type="dxa"/>
          </w:tcPr>
          <w:p w14:paraId="277C9ED0" w14:textId="1B222BDE" w:rsidR="00184306" w:rsidRDefault="00184306">
            <w:pPr>
              <w:pStyle w:val="TableParagraph"/>
              <w:spacing w:line="256" w:lineRule="exact"/>
              <w:ind w:left="107"/>
              <w:rPr>
                <w:sz w:val="24"/>
              </w:rPr>
            </w:pPr>
          </w:p>
        </w:tc>
        <w:tc>
          <w:tcPr>
            <w:tcW w:w="2692" w:type="dxa"/>
          </w:tcPr>
          <w:p w14:paraId="72E555E5" w14:textId="77777777" w:rsidR="00184306" w:rsidRDefault="00000000">
            <w:pPr>
              <w:pStyle w:val="TableParagraph"/>
              <w:spacing w:line="256" w:lineRule="exact"/>
              <w:ind w:left="108"/>
              <w:rPr>
                <w:sz w:val="24"/>
              </w:rPr>
            </w:pPr>
            <w:r>
              <w:rPr>
                <w:color w:val="303030"/>
                <w:sz w:val="24"/>
              </w:rPr>
              <w:t>First: ask Chichester’s</w:t>
            </w:r>
          </w:p>
        </w:tc>
        <w:tc>
          <w:tcPr>
            <w:tcW w:w="4252" w:type="dxa"/>
          </w:tcPr>
          <w:p w14:paraId="631D2534" w14:textId="77777777" w:rsidR="00184306" w:rsidRDefault="00000000">
            <w:pPr>
              <w:pStyle w:val="TableParagraph"/>
              <w:spacing w:line="256" w:lineRule="exact"/>
              <w:rPr>
                <w:sz w:val="24"/>
              </w:rPr>
            </w:pPr>
            <w:r>
              <w:rPr>
                <w:color w:val="303030"/>
                <w:sz w:val="24"/>
              </w:rPr>
              <w:t>The appeal can only be made by</w:t>
            </w:r>
          </w:p>
        </w:tc>
        <w:tc>
          <w:tcPr>
            <w:tcW w:w="4994" w:type="dxa"/>
          </w:tcPr>
          <w:p w14:paraId="70293532" w14:textId="77777777" w:rsidR="00184306" w:rsidRDefault="00000000">
            <w:pPr>
              <w:pStyle w:val="TableParagraph"/>
              <w:spacing w:line="256" w:lineRule="exact"/>
              <w:rPr>
                <w:sz w:val="24"/>
              </w:rPr>
            </w:pPr>
            <w:r>
              <w:rPr>
                <w:color w:val="303030"/>
                <w:sz w:val="24"/>
              </w:rPr>
              <w:t>Within 28 days of the date when the</w:t>
            </w:r>
          </w:p>
        </w:tc>
      </w:tr>
    </w:tbl>
    <w:p w14:paraId="042C65EE" w14:textId="77777777" w:rsidR="00184306" w:rsidRDefault="00184306">
      <w:pPr>
        <w:spacing w:line="256" w:lineRule="exact"/>
        <w:rPr>
          <w:sz w:val="24"/>
        </w:rPr>
        <w:sectPr w:rsidR="00184306">
          <w:type w:val="continuous"/>
          <w:pgSz w:w="16840" w:h="11910" w:orient="landscape"/>
          <w:pgMar w:top="1100" w:right="1220" w:bottom="280" w:left="1220" w:header="720" w:footer="720" w:gutter="0"/>
          <w:cols w:space="720"/>
        </w:sectPr>
      </w:pPr>
    </w:p>
    <w:p w14:paraId="364F153B" w14:textId="77777777" w:rsidR="00184306" w:rsidRDefault="00184306">
      <w:pPr>
        <w:rPr>
          <w:b/>
          <w:sz w:val="2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2692"/>
        <w:gridCol w:w="4252"/>
        <w:gridCol w:w="4994"/>
      </w:tblGrid>
      <w:tr w:rsidR="00184306" w14:paraId="3D2D34A2" w14:textId="77777777">
        <w:trPr>
          <w:trHeight w:val="1931"/>
        </w:trPr>
        <w:tc>
          <w:tcPr>
            <w:tcW w:w="2234" w:type="dxa"/>
          </w:tcPr>
          <w:p w14:paraId="12EE5400" w14:textId="2A29EEEE" w:rsidR="00184306" w:rsidRDefault="002B3952">
            <w:pPr>
              <w:pStyle w:val="TableParagraph"/>
              <w:spacing w:line="480" w:lineRule="auto"/>
              <w:ind w:left="107" w:right="322"/>
              <w:rPr>
                <w:sz w:val="24"/>
              </w:rPr>
            </w:pPr>
            <w:r>
              <w:rPr>
                <w:color w:val="303030"/>
                <w:sz w:val="24"/>
              </w:rPr>
              <w:t>Apportionment</w:t>
            </w:r>
            <w:r>
              <w:rPr>
                <w:color w:val="303030"/>
                <w:sz w:val="24"/>
              </w:rPr>
              <w:t xml:space="preserve"> </w:t>
            </w:r>
            <w:r>
              <w:rPr>
                <w:color w:val="303030"/>
                <w:sz w:val="24"/>
              </w:rPr>
              <w:t>of</w:t>
            </w:r>
            <w:r>
              <w:rPr>
                <w:color w:val="303030"/>
                <w:sz w:val="24"/>
              </w:rPr>
              <w:t xml:space="preserve"> </w:t>
            </w:r>
            <w:r w:rsidR="00000000">
              <w:rPr>
                <w:color w:val="303030"/>
                <w:sz w:val="24"/>
              </w:rPr>
              <w:t>liability (Regulation 115)</w:t>
            </w:r>
          </w:p>
        </w:tc>
        <w:tc>
          <w:tcPr>
            <w:tcW w:w="2692" w:type="dxa"/>
          </w:tcPr>
          <w:p w14:paraId="5C193620" w14:textId="77777777" w:rsidR="00184306" w:rsidRDefault="00000000">
            <w:pPr>
              <w:pStyle w:val="TableParagraph"/>
              <w:ind w:left="108" w:right="126"/>
              <w:rPr>
                <w:sz w:val="24"/>
              </w:rPr>
            </w:pPr>
            <w:r>
              <w:rPr>
                <w:color w:val="303030"/>
                <w:sz w:val="24"/>
              </w:rPr>
              <w:t>CIL collecting authority for a review.</w:t>
            </w:r>
          </w:p>
          <w:p w14:paraId="4E3E5752" w14:textId="77777777" w:rsidR="00184306" w:rsidRDefault="00184306">
            <w:pPr>
              <w:pStyle w:val="TableParagraph"/>
              <w:spacing w:before="7"/>
              <w:ind w:left="0"/>
              <w:rPr>
                <w:b/>
                <w:sz w:val="23"/>
              </w:rPr>
            </w:pPr>
          </w:p>
          <w:p w14:paraId="48A8BBA1" w14:textId="77777777" w:rsidR="00184306" w:rsidRDefault="00000000">
            <w:pPr>
              <w:pStyle w:val="TableParagraph"/>
              <w:ind w:left="108" w:right="218"/>
              <w:rPr>
                <w:sz w:val="24"/>
              </w:rPr>
            </w:pPr>
            <w:r>
              <w:rPr>
                <w:color w:val="303030"/>
                <w:sz w:val="24"/>
              </w:rPr>
              <w:t>Second: appeal to the Valuation Office Agency</w:t>
            </w:r>
          </w:p>
        </w:tc>
        <w:tc>
          <w:tcPr>
            <w:tcW w:w="4252" w:type="dxa"/>
          </w:tcPr>
          <w:p w14:paraId="0C32FD56" w14:textId="77777777" w:rsidR="00184306" w:rsidRDefault="00000000">
            <w:pPr>
              <w:pStyle w:val="TableParagraph"/>
              <w:spacing w:line="276" w:lineRule="exact"/>
              <w:ind w:right="177"/>
              <w:rPr>
                <w:sz w:val="24"/>
              </w:rPr>
            </w:pPr>
            <w:r>
              <w:rPr>
                <w:color w:val="303030"/>
                <w:sz w:val="24"/>
              </w:rPr>
              <w:t>the ‘owner of a material interest’ (defined in Regulation 4(2)) in the ‘relevant land’ (defined in Regulation 2). An appeal to the Valuation Office Agency can only be made against an apportionment of the liability made under Regulation 34.</w:t>
            </w:r>
          </w:p>
        </w:tc>
        <w:tc>
          <w:tcPr>
            <w:tcW w:w="4994" w:type="dxa"/>
          </w:tcPr>
          <w:p w14:paraId="1B2D8AA9" w14:textId="77777777" w:rsidR="00184306" w:rsidRDefault="00000000">
            <w:pPr>
              <w:pStyle w:val="TableParagraph"/>
              <w:ind w:right="1239"/>
              <w:rPr>
                <w:sz w:val="24"/>
              </w:rPr>
            </w:pPr>
            <w:r>
              <w:rPr>
                <w:color w:val="303030"/>
                <w:sz w:val="24"/>
              </w:rPr>
              <w:t>demand notice stating the amount payable by the appellant was issued.</w:t>
            </w:r>
          </w:p>
        </w:tc>
      </w:tr>
      <w:tr w:rsidR="00184306" w14:paraId="1078B16A" w14:textId="77777777">
        <w:trPr>
          <w:trHeight w:val="2759"/>
        </w:trPr>
        <w:tc>
          <w:tcPr>
            <w:tcW w:w="2234" w:type="dxa"/>
          </w:tcPr>
          <w:p w14:paraId="0A491062" w14:textId="77777777" w:rsidR="00184306" w:rsidRDefault="00000000">
            <w:pPr>
              <w:pStyle w:val="TableParagraph"/>
              <w:spacing w:line="480" w:lineRule="auto"/>
              <w:ind w:left="107" w:right="322"/>
              <w:rPr>
                <w:sz w:val="24"/>
              </w:rPr>
            </w:pPr>
            <w:r>
              <w:rPr>
                <w:color w:val="303030"/>
                <w:sz w:val="24"/>
              </w:rPr>
              <w:t>Charitable relief (Regulation 116)</w:t>
            </w:r>
          </w:p>
        </w:tc>
        <w:tc>
          <w:tcPr>
            <w:tcW w:w="2692" w:type="dxa"/>
          </w:tcPr>
          <w:p w14:paraId="300637CD" w14:textId="77777777" w:rsidR="00184306" w:rsidRDefault="00000000">
            <w:pPr>
              <w:pStyle w:val="TableParagraph"/>
              <w:ind w:left="108" w:right="144"/>
              <w:jc w:val="both"/>
              <w:rPr>
                <w:sz w:val="24"/>
              </w:rPr>
            </w:pPr>
            <w:r>
              <w:rPr>
                <w:color w:val="303030"/>
                <w:sz w:val="24"/>
              </w:rPr>
              <w:t>First: ask Chichester’s CIL collecting authority for a review.</w:t>
            </w:r>
          </w:p>
          <w:p w14:paraId="79976FC9" w14:textId="77777777" w:rsidR="00184306" w:rsidRDefault="00184306">
            <w:pPr>
              <w:pStyle w:val="TableParagraph"/>
              <w:spacing w:before="6"/>
              <w:ind w:left="0"/>
              <w:rPr>
                <w:b/>
                <w:sz w:val="23"/>
              </w:rPr>
            </w:pPr>
          </w:p>
          <w:p w14:paraId="41A87AB0" w14:textId="77777777" w:rsidR="00184306" w:rsidRDefault="00000000">
            <w:pPr>
              <w:pStyle w:val="TableParagraph"/>
              <w:ind w:left="108" w:right="218"/>
              <w:rPr>
                <w:sz w:val="24"/>
              </w:rPr>
            </w:pPr>
            <w:r>
              <w:rPr>
                <w:color w:val="303030"/>
                <w:sz w:val="24"/>
              </w:rPr>
              <w:t>Second: appeal to the Valuation Office Agency</w:t>
            </w:r>
          </w:p>
        </w:tc>
        <w:tc>
          <w:tcPr>
            <w:tcW w:w="4252" w:type="dxa"/>
          </w:tcPr>
          <w:p w14:paraId="777797C3" w14:textId="77777777" w:rsidR="00184306" w:rsidRDefault="00000000">
            <w:pPr>
              <w:pStyle w:val="TableParagraph"/>
              <w:ind w:right="645"/>
              <w:jc w:val="both"/>
              <w:rPr>
                <w:sz w:val="24"/>
              </w:rPr>
            </w:pPr>
            <w:r>
              <w:rPr>
                <w:color w:val="303030"/>
                <w:sz w:val="24"/>
              </w:rPr>
              <w:t>The appeal can only be made by an ‘interested person’ (defined in Regulation 112(2)(b)).</w:t>
            </w:r>
          </w:p>
          <w:p w14:paraId="42060E46" w14:textId="77777777" w:rsidR="00184306" w:rsidRDefault="00184306">
            <w:pPr>
              <w:pStyle w:val="TableParagraph"/>
              <w:spacing w:before="6"/>
              <w:ind w:left="0"/>
              <w:rPr>
                <w:b/>
                <w:sz w:val="23"/>
              </w:rPr>
            </w:pPr>
          </w:p>
          <w:p w14:paraId="7D5E65C6" w14:textId="77777777" w:rsidR="00184306" w:rsidRDefault="00000000">
            <w:pPr>
              <w:pStyle w:val="TableParagraph"/>
              <w:spacing w:line="270" w:lineRule="atLeast"/>
              <w:ind w:right="257"/>
              <w:rPr>
                <w:sz w:val="24"/>
              </w:rPr>
            </w:pPr>
            <w:r>
              <w:rPr>
                <w:color w:val="303030"/>
                <w:sz w:val="24"/>
              </w:rPr>
              <w:t>An appeal can be made to the Valuation Office Agency only if it is considered that the collecting authority has incorrectly determined the value of the interest in land used in an apportionment assessment.</w:t>
            </w:r>
          </w:p>
        </w:tc>
        <w:tc>
          <w:tcPr>
            <w:tcW w:w="4994" w:type="dxa"/>
          </w:tcPr>
          <w:p w14:paraId="29734EAC" w14:textId="77777777" w:rsidR="00184306" w:rsidRDefault="00000000">
            <w:pPr>
              <w:pStyle w:val="TableParagraph"/>
              <w:ind w:right="1079"/>
              <w:rPr>
                <w:sz w:val="24"/>
              </w:rPr>
            </w:pPr>
            <w:r>
              <w:rPr>
                <w:color w:val="303030"/>
                <w:sz w:val="24"/>
              </w:rPr>
              <w:t>Within 28 days of the collecting authority’s decision on the claim for charitable relief. Development must not have commenced (see Regulation 7, and section 56(4) of the Town and Country Planning Act</w:t>
            </w:r>
          </w:p>
          <w:p w14:paraId="479DEC22" w14:textId="77777777" w:rsidR="00184306" w:rsidRDefault="00000000">
            <w:pPr>
              <w:pStyle w:val="TableParagraph"/>
              <w:ind w:right="118"/>
              <w:rPr>
                <w:sz w:val="24"/>
              </w:rPr>
            </w:pPr>
            <w:r>
              <w:rPr>
                <w:color w:val="303030"/>
                <w:sz w:val="24"/>
              </w:rPr>
              <w:t>1990, for the definition of ‘commencement of development’).</w:t>
            </w:r>
          </w:p>
        </w:tc>
      </w:tr>
      <w:tr w:rsidR="00184306" w14:paraId="355CCFCE" w14:textId="77777777">
        <w:trPr>
          <w:trHeight w:val="2759"/>
        </w:trPr>
        <w:tc>
          <w:tcPr>
            <w:tcW w:w="2234" w:type="dxa"/>
          </w:tcPr>
          <w:p w14:paraId="013AF9EA" w14:textId="77777777" w:rsidR="00184306" w:rsidRDefault="00000000">
            <w:pPr>
              <w:pStyle w:val="TableParagraph"/>
              <w:ind w:left="107" w:right="189"/>
              <w:rPr>
                <w:sz w:val="24"/>
              </w:rPr>
            </w:pPr>
            <w:r>
              <w:rPr>
                <w:color w:val="303030"/>
                <w:sz w:val="24"/>
              </w:rPr>
              <w:t>Residential annexe exemption (Regulation 116A, inserted by the 2014</w:t>
            </w:r>
          </w:p>
          <w:p w14:paraId="4E9247A5" w14:textId="77777777" w:rsidR="00184306" w:rsidRDefault="00000000">
            <w:pPr>
              <w:pStyle w:val="TableParagraph"/>
              <w:ind w:left="107"/>
              <w:rPr>
                <w:sz w:val="24"/>
              </w:rPr>
            </w:pPr>
            <w:r>
              <w:rPr>
                <w:color w:val="303030"/>
                <w:sz w:val="24"/>
              </w:rPr>
              <w:t>Regulations)</w:t>
            </w:r>
          </w:p>
        </w:tc>
        <w:tc>
          <w:tcPr>
            <w:tcW w:w="2692" w:type="dxa"/>
          </w:tcPr>
          <w:p w14:paraId="5CD36347" w14:textId="77777777" w:rsidR="00184306" w:rsidRDefault="00000000">
            <w:pPr>
              <w:pStyle w:val="TableParagraph"/>
              <w:ind w:left="108" w:right="112"/>
              <w:rPr>
                <w:sz w:val="24"/>
              </w:rPr>
            </w:pPr>
            <w:r>
              <w:rPr>
                <w:color w:val="303030"/>
                <w:sz w:val="24"/>
              </w:rPr>
              <w:t>Appeals can be lodged directly with the Valuation</w:t>
            </w:r>
          </w:p>
          <w:p w14:paraId="34947409" w14:textId="77777777" w:rsidR="00184306" w:rsidRDefault="00000000">
            <w:pPr>
              <w:pStyle w:val="TableParagraph"/>
              <w:ind w:left="108"/>
              <w:rPr>
                <w:sz w:val="24"/>
              </w:rPr>
            </w:pPr>
            <w:r>
              <w:rPr>
                <w:color w:val="303030"/>
                <w:sz w:val="24"/>
              </w:rPr>
              <w:t>Office Agency</w:t>
            </w:r>
          </w:p>
        </w:tc>
        <w:tc>
          <w:tcPr>
            <w:tcW w:w="4252" w:type="dxa"/>
          </w:tcPr>
          <w:p w14:paraId="3E343D8F" w14:textId="77777777" w:rsidR="00184306" w:rsidRDefault="00000000">
            <w:pPr>
              <w:pStyle w:val="TableParagraph"/>
              <w:ind w:right="317"/>
              <w:rPr>
                <w:sz w:val="24"/>
              </w:rPr>
            </w:pPr>
            <w:r>
              <w:rPr>
                <w:color w:val="303030"/>
                <w:sz w:val="24"/>
              </w:rPr>
              <w:t>The appeal can only be made by the person who was granted the exemption. An appeal can be made to the Valuation Office Agency only if it is considered that the collecting authority has incorrectly determined that the annexe is not wholly within the grounds of the main dwelling.</w:t>
            </w:r>
          </w:p>
        </w:tc>
        <w:tc>
          <w:tcPr>
            <w:tcW w:w="4994" w:type="dxa"/>
          </w:tcPr>
          <w:p w14:paraId="752A6AF1" w14:textId="77777777" w:rsidR="00184306" w:rsidRDefault="00000000">
            <w:pPr>
              <w:pStyle w:val="TableParagraph"/>
              <w:ind w:right="1106"/>
              <w:rPr>
                <w:sz w:val="24"/>
              </w:rPr>
            </w:pPr>
            <w:r>
              <w:rPr>
                <w:color w:val="303030"/>
                <w:sz w:val="24"/>
              </w:rPr>
              <w:t>Within 28 days of the collecting authority’s decision on the claim for an exemption.</w:t>
            </w:r>
          </w:p>
          <w:p w14:paraId="77559124" w14:textId="77777777" w:rsidR="00184306" w:rsidRDefault="00184306">
            <w:pPr>
              <w:pStyle w:val="TableParagraph"/>
              <w:spacing w:before="7"/>
              <w:ind w:left="0"/>
              <w:rPr>
                <w:b/>
                <w:sz w:val="23"/>
              </w:rPr>
            </w:pPr>
          </w:p>
          <w:p w14:paraId="28ADFA01" w14:textId="77777777" w:rsidR="00184306" w:rsidRDefault="00000000">
            <w:pPr>
              <w:pStyle w:val="TableParagraph"/>
              <w:spacing w:line="270" w:lineRule="atLeast"/>
              <w:ind w:right="1066"/>
              <w:rPr>
                <w:sz w:val="24"/>
              </w:rPr>
            </w:pPr>
            <w:r>
              <w:rPr>
                <w:color w:val="303030"/>
                <w:sz w:val="24"/>
              </w:rPr>
              <w:t>Development must not have commenced (see Regulation 7, and section 56(4) of the Town and Country Planning Act 1990, for the definition of ‘commencement of development’).</w:t>
            </w:r>
          </w:p>
        </w:tc>
      </w:tr>
      <w:tr w:rsidR="00184306" w14:paraId="7FCDD13F" w14:textId="77777777">
        <w:trPr>
          <w:trHeight w:val="1382"/>
        </w:trPr>
        <w:tc>
          <w:tcPr>
            <w:tcW w:w="2234" w:type="dxa"/>
          </w:tcPr>
          <w:p w14:paraId="449CEAB3" w14:textId="77777777" w:rsidR="00184306" w:rsidRDefault="00000000">
            <w:pPr>
              <w:pStyle w:val="TableParagraph"/>
              <w:spacing w:line="276" w:lineRule="exact"/>
              <w:ind w:left="107" w:right="149"/>
              <w:rPr>
                <w:sz w:val="24"/>
              </w:rPr>
            </w:pPr>
            <w:r>
              <w:rPr>
                <w:color w:val="303030"/>
                <w:sz w:val="24"/>
              </w:rPr>
              <w:t>Self build exemption (Regulation 116B, inserted by the 2014 Regulations)</w:t>
            </w:r>
          </w:p>
        </w:tc>
        <w:tc>
          <w:tcPr>
            <w:tcW w:w="2692" w:type="dxa"/>
          </w:tcPr>
          <w:p w14:paraId="52E4BF33" w14:textId="77777777" w:rsidR="00184306" w:rsidRDefault="00000000">
            <w:pPr>
              <w:pStyle w:val="TableParagraph"/>
              <w:ind w:left="108" w:right="112"/>
              <w:rPr>
                <w:sz w:val="24"/>
              </w:rPr>
            </w:pPr>
            <w:r>
              <w:rPr>
                <w:color w:val="303030"/>
                <w:sz w:val="24"/>
              </w:rPr>
              <w:t>Appeals can be lodged directly with the Valuation</w:t>
            </w:r>
          </w:p>
          <w:p w14:paraId="2C87F021" w14:textId="77777777" w:rsidR="00184306" w:rsidRDefault="00000000">
            <w:pPr>
              <w:pStyle w:val="TableParagraph"/>
              <w:ind w:left="108"/>
              <w:rPr>
                <w:sz w:val="24"/>
              </w:rPr>
            </w:pPr>
            <w:r>
              <w:rPr>
                <w:color w:val="303030"/>
                <w:sz w:val="24"/>
              </w:rPr>
              <w:t>Office Agency</w:t>
            </w:r>
          </w:p>
        </w:tc>
        <w:tc>
          <w:tcPr>
            <w:tcW w:w="4252" w:type="dxa"/>
          </w:tcPr>
          <w:p w14:paraId="7613EB57" w14:textId="77777777" w:rsidR="00184306" w:rsidRDefault="00000000">
            <w:pPr>
              <w:pStyle w:val="TableParagraph"/>
              <w:spacing w:line="276" w:lineRule="exact"/>
              <w:ind w:right="590"/>
              <w:jc w:val="both"/>
              <w:rPr>
                <w:sz w:val="24"/>
              </w:rPr>
            </w:pPr>
            <w:r>
              <w:rPr>
                <w:color w:val="303030"/>
                <w:sz w:val="24"/>
              </w:rPr>
              <w:t>The appeal can only be made by the person who was granted the exemption for self-build housing, on the grounds that the collecting authority has incorrectly</w:t>
            </w:r>
          </w:p>
        </w:tc>
        <w:tc>
          <w:tcPr>
            <w:tcW w:w="4994" w:type="dxa"/>
          </w:tcPr>
          <w:p w14:paraId="75386223" w14:textId="77777777" w:rsidR="00184306" w:rsidRDefault="00000000">
            <w:pPr>
              <w:pStyle w:val="TableParagraph"/>
              <w:ind w:right="1106"/>
              <w:rPr>
                <w:sz w:val="24"/>
              </w:rPr>
            </w:pPr>
            <w:r>
              <w:rPr>
                <w:color w:val="303030"/>
                <w:sz w:val="24"/>
              </w:rPr>
              <w:t>Within 28 days of the collecting authority’s decision on the claim for an exemption.</w:t>
            </w:r>
          </w:p>
          <w:p w14:paraId="0F19CA89" w14:textId="77777777" w:rsidR="00184306" w:rsidRDefault="00184306">
            <w:pPr>
              <w:pStyle w:val="TableParagraph"/>
              <w:spacing w:before="7"/>
              <w:ind w:left="0"/>
              <w:rPr>
                <w:b/>
                <w:sz w:val="23"/>
              </w:rPr>
            </w:pPr>
          </w:p>
          <w:p w14:paraId="6B7B99F2" w14:textId="77777777" w:rsidR="00184306" w:rsidRDefault="00000000">
            <w:pPr>
              <w:pStyle w:val="TableParagraph"/>
              <w:spacing w:line="263" w:lineRule="exact"/>
              <w:rPr>
                <w:sz w:val="24"/>
              </w:rPr>
            </w:pPr>
            <w:r>
              <w:rPr>
                <w:color w:val="303030"/>
                <w:sz w:val="24"/>
              </w:rPr>
              <w:t>Development must not have</w:t>
            </w:r>
          </w:p>
        </w:tc>
      </w:tr>
    </w:tbl>
    <w:p w14:paraId="15E1534D" w14:textId="77777777" w:rsidR="00184306" w:rsidRDefault="00184306">
      <w:pPr>
        <w:spacing w:line="263" w:lineRule="exact"/>
        <w:rPr>
          <w:sz w:val="24"/>
        </w:rPr>
        <w:sectPr w:rsidR="00184306">
          <w:pgSz w:w="16840" w:h="11910" w:orient="landscape"/>
          <w:pgMar w:top="1100" w:right="1220" w:bottom="280" w:left="1220" w:header="720" w:footer="720" w:gutter="0"/>
          <w:cols w:space="720"/>
        </w:sectPr>
      </w:pPr>
    </w:p>
    <w:p w14:paraId="00457CBB" w14:textId="77777777" w:rsidR="00184306" w:rsidRDefault="00184306">
      <w:pPr>
        <w:rPr>
          <w:b/>
          <w:sz w:val="29"/>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34"/>
        <w:gridCol w:w="2692"/>
        <w:gridCol w:w="4252"/>
        <w:gridCol w:w="4994"/>
      </w:tblGrid>
      <w:tr w:rsidR="00184306" w14:paraId="4E171E47" w14:textId="77777777">
        <w:trPr>
          <w:trHeight w:val="1379"/>
        </w:trPr>
        <w:tc>
          <w:tcPr>
            <w:tcW w:w="2234" w:type="dxa"/>
          </w:tcPr>
          <w:p w14:paraId="04CEB78D" w14:textId="77777777" w:rsidR="00184306" w:rsidRDefault="00184306">
            <w:pPr>
              <w:pStyle w:val="TableParagraph"/>
              <w:ind w:left="0"/>
              <w:rPr>
                <w:rFonts w:ascii="Times New Roman"/>
                <w:sz w:val="24"/>
              </w:rPr>
            </w:pPr>
          </w:p>
        </w:tc>
        <w:tc>
          <w:tcPr>
            <w:tcW w:w="2692" w:type="dxa"/>
          </w:tcPr>
          <w:p w14:paraId="096456BF" w14:textId="77777777" w:rsidR="00184306" w:rsidRDefault="00184306">
            <w:pPr>
              <w:pStyle w:val="TableParagraph"/>
              <w:ind w:left="0"/>
              <w:rPr>
                <w:rFonts w:ascii="Times New Roman"/>
                <w:sz w:val="24"/>
              </w:rPr>
            </w:pPr>
          </w:p>
        </w:tc>
        <w:tc>
          <w:tcPr>
            <w:tcW w:w="4252" w:type="dxa"/>
          </w:tcPr>
          <w:p w14:paraId="696099EA" w14:textId="77777777" w:rsidR="00184306" w:rsidRDefault="00000000">
            <w:pPr>
              <w:pStyle w:val="TableParagraph"/>
              <w:ind w:right="1204"/>
              <w:rPr>
                <w:sz w:val="24"/>
              </w:rPr>
            </w:pPr>
            <w:r>
              <w:rPr>
                <w:color w:val="303030"/>
                <w:sz w:val="24"/>
              </w:rPr>
              <w:t>determined the value of the exemption allowed.</w:t>
            </w:r>
          </w:p>
        </w:tc>
        <w:tc>
          <w:tcPr>
            <w:tcW w:w="4994" w:type="dxa"/>
          </w:tcPr>
          <w:p w14:paraId="39FD8654" w14:textId="77777777" w:rsidR="00184306" w:rsidRDefault="00000000">
            <w:pPr>
              <w:pStyle w:val="TableParagraph"/>
              <w:spacing w:line="276" w:lineRule="exact"/>
              <w:ind w:right="1066"/>
              <w:rPr>
                <w:sz w:val="24"/>
              </w:rPr>
            </w:pPr>
            <w:r>
              <w:rPr>
                <w:color w:val="303030"/>
                <w:sz w:val="24"/>
              </w:rPr>
              <w:t>commenced (see Regulation 7, and section 56(4) of the Town and Country Planning Act 1990, for the definition of ‘commencement of development’).</w:t>
            </w:r>
          </w:p>
        </w:tc>
      </w:tr>
      <w:tr w:rsidR="00184306" w14:paraId="62F12EFA" w14:textId="77777777">
        <w:trPr>
          <w:trHeight w:val="1103"/>
        </w:trPr>
        <w:tc>
          <w:tcPr>
            <w:tcW w:w="2234" w:type="dxa"/>
          </w:tcPr>
          <w:p w14:paraId="67F17ADC" w14:textId="77777777" w:rsidR="00184306" w:rsidRDefault="00000000">
            <w:pPr>
              <w:pStyle w:val="TableParagraph"/>
              <w:ind w:left="107" w:right="322"/>
              <w:rPr>
                <w:sz w:val="24"/>
              </w:rPr>
            </w:pPr>
            <w:r>
              <w:rPr>
                <w:color w:val="303030"/>
                <w:sz w:val="24"/>
              </w:rPr>
              <w:t>Surcharges (Regulation 117)</w:t>
            </w:r>
          </w:p>
        </w:tc>
        <w:tc>
          <w:tcPr>
            <w:tcW w:w="2692" w:type="dxa"/>
          </w:tcPr>
          <w:p w14:paraId="3603276F" w14:textId="77777777" w:rsidR="00184306" w:rsidRDefault="00000000">
            <w:pPr>
              <w:pStyle w:val="TableParagraph"/>
              <w:spacing w:line="271" w:lineRule="exact"/>
              <w:ind w:left="108"/>
              <w:rPr>
                <w:sz w:val="24"/>
              </w:rPr>
            </w:pPr>
            <w:r>
              <w:rPr>
                <w:color w:val="303030"/>
                <w:sz w:val="24"/>
              </w:rPr>
              <w:t>Planning Inspectorate</w:t>
            </w:r>
          </w:p>
        </w:tc>
        <w:tc>
          <w:tcPr>
            <w:tcW w:w="4252" w:type="dxa"/>
          </w:tcPr>
          <w:p w14:paraId="320C9B2D" w14:textId="77777777" w:rsidR="00184306" w:rsidRDefault="00000000">
            <w:pPr>
              <w:pStyle w:val="TableParagraph"/>
              <w:ind w:right="444"/>
              <w:rPr>
                <w:sz w:val="24"/>
              </w:rPr>
            </w:pPr>
            <w:r>
              <w:rPr>
                <w:color w:val="303030"/>
                <w:sz w:val="24"/>
              </w:rPr>
              <w:t>The appeal can be made by a person who is aggrieved at a decision of a collecting authority to</w:t>
            </w:r>
          </w:p>
          <w:p w14:paraId="28A9DCA0" w14:textId="77777777" w:rsidR="00184306" w:rsidRDefault="00000000">
            <w:pPr>
              <w:pStyle w:val="TableParagraph"/>
              <w:spacing w:line="260" w:lineRule="exact"/>
              <w:rPr>
                <w:sz w:val="24"/>
              </w:rPr>
            </w:pPr>
            <w:r>
              <w:rPr>
                <w:color w:val="303030"/>
                <w:sz w:val="24"/>
              </w:rPr>
              <w:t>impose a surcharge.</w:t>
            </w:r>
          </w:p>
        </w:tc>
        <w:tc>
          <w:tcPr>
            <w:tcW w:w="4994" w:type="dxa"/>
          </w:tcPr>
          <w:p w14:paraId="1781A059" w14:textId="77777777" w:rsidR="00184306" w:rsidRDefault="00000000">
            <w:pPr>
              <w:pStyle w:val="TableParagraph"/>
              <w:ind w:right="1479"/>
              <w:rPr>
                <w:sz w:val="24"/>
              </w:rPr>
            </w:pPr>
            <w:r>
              <w:rPr>
                <w:color w:val="303030"/>
                <w:sz w:val="24"/>
              </w:rPr>
              <w:t>Within 28 days of the surcharge being imposed.</w:t>
            </w:r>
          </w:p>
        </w:tc>
      </w:tr>
      <w:tr w:rsidR="00184306" w14:paraId="207B181F" w14:textId="77777777">
        <w:trPr>
          <w:trHeight w:val="1379"/>
        </w:trPr>
        <w:tc>
          <w:tcPr>
            <w:tcW w:w="2234" w:type="dxa"/>
          </w:tcPr>
          <w:p w14:paraId="59A412F2" w14:textId="77777777" w:rsidR="00184306" w:rsidRDefault="00000000">
            <w:pPr>
              <w:pStyle w:val="TableParagraph"/>
              <w:ind w:left="107" w:right="255"/>
              <w:rPr>
                <w:sz w:val="24"/>
              </w:rPr>
            </w:pPr>
            <w:r>
              <w:rPr>
                <w:color w:val="303030"/>
                <w:sz w:val="24"/>
              </w:rPr>
              <w:t>Commencement of development (Regulation 118 )</w:t>
            </w:r>
          </w:p>
        </w:tc>
        <w:tc>
          <w:tcPr>
            <w:tcW w:w="2692" w:type="dxa"/>
          </w:tcPr>
          <w:p w14:paraId="0677BDDC" w14:textId="77777777" w:rsidR="00184306" w:rsidRDefault="00000000">
            <w:pPr>
              <w:pStyle w:val="TableParagraph"/>
              <w:spacing w:line="271" w:lineRule="exact"/>
              <w:ind w:left="108"/>
              <w:rPr>
                <w:sz w:val="24"/>
              </w:rPr>
            </w:pPr>
            <w:r>
              <w:rPr>
                <w:color w:val="303030"/>
                <w:sz w:val="24"/>
              </w:rPr>
              <w:t>Planning Inspectorate</w:t>
            </w:r>
          </w:p>
        </w:tc>
        <w:tc>
          <w:tcPr>
            <w:tcW w:w="4252" w:type="dxa"/>
          </w:tcPr>
          <w:p w14:paraId="3ABB62A2" w14:textId="77777777" w:rsidR="00184306" w:rsidRDefault="00000000">
            <w:pPr>
              <w:pStyle w:val="TableParagraph"/>
              <w:ind w:right="497"/>
              <w:rPr>
                <w:sz w:val="24"/>
              </w:rPr>
            </w:pPr>
            <w:r>
              <w:rPr>
                <w:color w:val="303030"/>
                <w:sz w:val="24"/>
              </w:rPr>
              <w:t>The appeal can be made by a person on whom a demand notice is served, on the grounds that the date of commencement has been</w:t>
            </w:r>
          </w:p>
          <w:p w14:paraId="41C3C628" w14:textId="77777777" w:rsidR="00184306" w:rsidRDefault="00000000">
            <w:pPr>
              <w:pStyle w:val="TableParagraph"/>
              <w:spacing w:line="260" w:lineRule="exact"/>
              <w:rPr>
                <w:sz w:val="24"/>
              </w:rPr>
            </w:pPr>
            <w:r>
              <w:rPr>
                <w:color w:val="303030"/>
                <w:sz w:val="24"/>
              </w:rPr>
              <w:t>wrongly determined.</w:t>
            </w:r>
          </w:p>
        </w:tc>
        <w:tc>
          <w:tcPr>
            <w:tcW w:w="4994" w:type="dxa"/>
          </w:tcPr>
          <w:p w14:paraId="0E95B630" w14:textId="77777777" w:rsidR="00184306" w:rsidRDefault="00000000">
            <w:pPr>
              <w:pStyle w:val="TableParagraph"/>
              <w:ind w:right="1679"/>
              <w:rPr>
                <w:sz w:val="24"/>
              </w:rPr>
            </w:pPr>
            <w:r>
              <w:rPr>
                <w:color w:val="303030"/>
                <w:sz w:val="24"/>
              </w:rPr>
              <w:t>Within 28 days of the date the demand notice was issued.</w:t>
            </w:r>
          </w:p>
        </w:tc>
      </w:tr>
      <w:tr w:rsidR="00184306" w14:paraId="33797629" w14:textId="77777777">
        <w:trPr>
          <w:trHeight w:val="1106"/>
        </w:trPr>
        <w:tc>
          <w:tcPr>
            <w:tcW w:w="2234" w:type="dxa"/>
          </w:tcPr>
          <w:p w14:paraId="2D591815" w14:textId="77777777" w:rsidR="00184306" w:rsidRDefault="00000000">
            <w:pPr>
              <w:pStyle w:val="TableParagraph"/>
              <w:ind w:left="107" w:right="162"/>
              <w:rPr>
                <w:sz w:val="24"/>
              </w:rPr>
            </w:pPr>
            <w:r>
              <w:rPr>
                <w:color w:val="303030"/>
                <w:sz w:val="24"/>
              </w:rPr>
              <w:t>Issuing of a stop notice (Regulation 119 )</w:t>
            </w:r>
          </w:p>
        </w:tc>
        <w:tc>
          <w:tcPr>
            <w:tcW w:w="2692" w:type="dxa"/>
          </w:tcPr>
          <w:p w14:paraId="4DFDA7A8" w14:textId="77777777" w:rsidR="00184306" w:rsidRDefault="00000000">
            <w:pPr>
              <w:pStyle w:val="TableParagraph"/>
              <w:spacing w:line="274" w:lineRule="exact"/>
              <w:ind w:left="108"/>
              <w:rPr>
                <w:sz w:val="24"/>
              </w:rPr>
            </w:pPr>
            <w:r>
              <w:rPr>
                <w:color w:val="303030"/>
                <w:sz w:val="24"/>
              </w:rPr>
              <w:t>Planning Inspectorate</w:t>
            </w:r>
          </w:p>
        </w:tc>
        <w:tc>
          <w:tcPr>
            <w:tcW w:w="4252" w:type="dxa"/>
          </w:tcPr>
          <w:p w14:paraId="1715C38E" w14:textId="77777777" w:rsidR="00184306" w:rsidRDefault="00000000">
            <w:pPr>
              <w:pStyle w:val="TableParagraph"/>
              <w:spacing w:before="2" w:line="276" w:lineRule="exact"/>
              <w:ind w:right="136"/>
              <w:rPr>
                <w:sz w:val="24"/>
              </w:rPr>
            </w:pPr>
            <w:r>
              <w:rPr>
                <w:color w:val="303030"/>
                <w:sz w:val="24"/>
              </w:rPr>
              <w:t>The appeal can be made by a person who is aggrieved at a decision of a collecting authority to impose a levy stop notice.</w:t>
            </w:r>
          </w:p>
        </w:tc>
        <w:tc>
          <w:tcPr>
            <w:tcW w:w="4994" w:type="dxa"/>
          </w:tcPr>
          <w:p w14:paraId="38FBEB2A" w14:textId="77777777" w:rsidR="00184306" w:rsidRDefault="00000000">
            <w:pPr>
              <w:pStyle w:val="TableParagraph"/>
              <w:ind w:right="1039"/>
              <w:rPr>
                <w:sz w:val="24"/>
              </w:rPr>
            </w:pPr>
            <w:r>
              <w:rPr>
                <w:color w:val="303030"/>
                <w:sz w:val="24"/>
              </w:rPr>
              <w:t>Within 60 days of the date when the stop notice takes effect.</w:t>
            </w:r>
          </w:p>
        </w:tc>
      </w:tr>
    </w:tbl>
    <w:p w14:paraId="55B6DCCF" w14:textId="77777777" w:rsidR="00D21505" w:rsidRDefault="00D21505"/>
    <w:sectPr w:rsidR="00D21505">
      <w:pgSz w:w="16840" w:h="11910" w:orient="landscape"/>
      <w:pgMar w:top="1100" w:right="1220"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306"/>
    <w:rsid w:val="00184306"/>
    <w:rsid w:val="002B3952"/>
    <w:rsid w:val="00567620"/>
    <w:rsid w:val="00D215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9125F"/>
  <w15:docId w15:val="{698749B9-295D-4B92-8627-B2786593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ov.uk/guidance/appeal-a-community-infrastructure-levy-enforcement-notice" TargetMode="External"/><Relationship Id="rId4" Type="http://schemas.openxmlformats.org/officeDocument/2006/relationships/hyperlink" Target="https://www.gov.uk/guidance/community-infrastructure-levy-how-to-make-an-appe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721</Words>
  <Characters>4115</Characters>
  <Application>Microsoft Office Word</Application>
  <DocSecurity>0</DocSecurity>
  <Lines>34</Lines>
  <Paragraphs>9</Paragraphs>
  <ScaleCrop>false</ScaleCrop>
  <Company/>
  <LinksUpToDate>false</LinksUpToDate>
  <CharactersWithSpaces>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Dower</dc:creator>
  <cp:lastModifiedBy>Barry Knight</cp:lastModifiedBy>
  <cp:revision>4</cp:revision>
  <dcterms:created xsi:type="dcterms:W3CDTF">2024-11-01T15:29:00Z</dcterms:created>
  <dcterms:modified xsi:type="dcterms:W3CDTF">2024-11-01T15:30:00Z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2017-06-07T00:00:00Z</vt:filetime>
  </property>
  <property fmtid="{D5CDD505-2E9C-101B-9397-08002B2CF9AE}" pid="3" name="Creator">
    <vt:lpwstr>Acrobat PDFMaker 11 for Word</vt:lpwstr>
  </property>
  <property fmtid="{D5CDD505-2E9C-101B-9397-08002B2CF9AE}" pid="4" name="LastSaved">
    <vt:filetime>2024-11-01T00:00:00Z</vt:filetime>
  </property>
</Properties>
</file>