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9CA2" w14:textId="02D2C943" w:rsidR="000D224B" w:rsidRPr="00223928" w:rsidRDefault="000D224B" w:rsidP="00223928">
      <w:pPr>
        <w:jc w:val="center"/>
        <w:rPr>
          <w:rFonts w:ascii="Arial" w:hAnsi="Arial" w:cs="Arial"/>
          <w:b/>
          <w:bCs/>
          <w:sz w:val="48"/>
          <w:szCs w:val="48"/>
        </w:rPr>
      </w:pPr>
      <w:r w:rsidRPr="00223928">
        <w:rPr>
          <w:rFonts w:ascii="Arial" w:hAnsi="Arial" w:cs="Arial"/>
          <w:b/>
          <w:bCs/>
          <w:sz w:val="48"/>
          <w:szCs w:val="48"/>
        </w:rPr>
        <w:t xml:space="preserve">Treasury Management </w:t>
      </w:r>
      <w:r w:rsidR="00EA768C" w:rsidRPr="00223928">
        <w:rPr>
          <w:rFonts w:ascii="Arial" w:hAnsi="Arial" w:cs="Arial"/>
          <w:b/>
          <w:bCs/>
          <w:sz w:val="48"/>
          <w:szCs w:val="48"/>
        </w:rPr>
        <w:t xml:space="preserve">and investment </w:t>
      </w:r>
      <w:r w:rsidRPr="00223928">
        <w:rPr>
          <w:rFonts w:ascii="Arial" w:hAnsi="Arial" w:cs="Arial"/>
          <w:b/>
          <w:bCs/>
          <w:sz w:val="48"/>
          <w:szCs w:val="48"/>
        </w:rPr>
        <w:t>Strategy</w:t>
      </w:r>
      <w:r w:rsidR="00223928">
        <w:rPr>
          <w:rFonts w:ascii="Arial" w:hAnsi="Arial" w:cs="Arial"/>
          <w:b/>
          <w:bCs/>
          <w:sz w:val="48"/>
          <w:szCs w:val="48"/>
        </w:rPr>
        <w:t xml:space="preserve"> 2024-25</w:t>
      </w:r>
    </w:p>
    <w:p w14:paraId="2B03B936" w14:textId="77777777" w:rsidR="000300AF" w:rsidRPr="000D224B" w:rsidRDefault="000300AF" w:rsidP="007F3B5B">
      <w:pPr>
        <w:pStyle w:val="TOCHeading"/>
        <w:rPr>
          <w:rFonts w:ascii="Arial" w:hAnsi="Arial" w:cs="Arial"/>
          <w:color w:val="auto"/>
        </w:rPr>
      </w:pPr>
      <w:r w:rsidRPr="000D224B">
        <w:rPr>
          <w:rFonts w:ascii="Arial" w:hAnsi="Arial" w:cs="Arial"/>
          <w:color w:val="auto"/>
        </w:rPr>
        <w:t>Contents</w:t>
      </w:r>
      <w:r w:rsidR="000D224B">
        <w:rPr>
          <w:rFonts w:ascii="Arial" w:hAnsi="Arial" w:cs="Arial"/>
          <w:color w:val="auto"/>
        </w:rPr>
        <w:br/>
      </w:r>
    </w:p>
    <w:p w14:paraId="48E51599" w14:textId="77777777" w:rsidR="002C7153" w:rsidRPr="00A263C6" w:rsidRDefault="000300AF">
      <w:pPr>
        <w:pStyle w:val="TOC1"/>
        <w:tabs>
          <w:tab w:val="right" w:leader="dot" w:pos="9628"/>
        </w:tabs>
        <w:rPr>
          <w:rFonts w:eastAsia="Times New Roman"/>
          <w:noProof/>
          <w:lang w:eastAsia="en-GB"/>
        </w:rPr>
      </w:pPr>
      <w:r w:rsidRPr="00E1158E">
        <w:rPr>
          <w:rFonts w:ascii="Arial" w:hAnsi="Arial" w:cs="Arial"/>
        </w:rPr>
        <w:fldChar w:fldCharType="begin"/>
      </w:r>
      <w:r w:rsidRPr="00E1158E">
        <w:rPr>
          <w:rFonts w:ascii="Arial" w:hAnsi="Arial" w:cs="Arial"/>
        </w:rPr>
        <w:instrText xml:space="preserve"> TOC \o "1-3" \h \z \u </w:instrText>
      </w:r>
      <w:r w:rsidRPr="00E1158E">
        <w:rPr>
          <w:rFonts w:ascii="Arial" w:hAnsi="Arial" w:cs="Arial"/>
        </w:rPr>
        <w:fldChar w:fldCharType="separate"/>
      </w:r>
      <w:hyperlink w:anchor="_Toc115768658" w:history="1">
        <w:r w:rsidR="002C7153" w:rsidRPr="000B44FB">
          <w:rPr>
            <w:rStyle w:val="Hyperlink"/>
            <w:rFonts w:ascii="Arial" w:hAnsi="Arial" w:cs="Arial"/>
            <w:noProof/>
          </w:rPr>
          <w:t>Part 1: Treasury Investments</w:t>
        </w:r>
        <w:r w:rsidR="002C7153">
          <w:rPr>
            <w:noProof/>
            <w:webHidden/>
          </w:rPr>
          <w:tab/>
        </w:r>
        <w:r w:rsidR="002C7153">
          <w:rPr>
            <w:noProof/>
            <w:webHidden/>
          </w:rPr>
          <w:fldChar w:fldCharType="begin"/>
        </w:r>
        <w:r w:rsidR="002C7153">
          <w:rPr>
            <w:noProof/>
            <w:webHidden/>
          </w:rPr>
          <w:instrText xml:space="preserve"> PAGEREF _Toc115768658 \h </w:instrText>
        </w:r>
        <w:r w:rsidR="002C7153">
          <w:rPr>
            <w:noProof/>
            <w:webHidden/>
          </w:rPr>
        </w:r>
        <w:r w:rsidR="002C7153">
          <w:rPr>
            <w:noProof/>
            <w:webHidden/>
          </w:rPr>
          <w:fldChar w:fldCharType="separate"/>
        </w:r>
        <w:r w:rsidR="00F16802">
          <w:rPr>
            <w:noProof/>
            <w:webHidden/>
          </w:rPr>
          <w:t>3</w:t>
        </w:r>
        <w:r w:rsidR="002C7153">
          <w:rPr>
            <w:noProof/>
            <w:webHidden/>
          </w:rPr>
          <w:fldChar w:fldCharType="end"/>
        </w:r>
      </w:hyperlink>
    </w:p>
    <w:p w14:paraId="177A6547" w14:textId="77777777" w:rsidR="002C7153" w:rsidRPr="00A263C6" w:rsidRDefault="00000000">
      <w:pPr>
        <w:pStyle w:val="TOC1"/>
        <w:tabs>
          <w:tab w:val="right" w:leader="dot" w:pos="9628"/>
        </w:tabs>
        <w:rPr>
          <w:rFonts w:eastAsia="Times New Roman"/>
          <w:noProof/>
          <w:lang w:eastAsia="en-GB"/>
        </w:rPr>
      </w:pPr>
      <w:hyperlink w:anchor="_Toc115768659" w:history="1">
        <w:r w:rsidR="002C7153" w:rsidRPr="000B44FB">
          <w:rPr>
            <w:rStyle w:val="Hyperlink"/>
            <w:rFonts w:ascii="Arial" w:hAnsi="Arial" w:cs="Arial"/>
            <w:noProof/>
          </w:rPr>
          <w:t>Treasury Management Policy Statement</w:t>
        </w:r>
        <w:r w:rsidR="002C7153">
          <w:rPr>
            <w:noProof/>
            <w:webHidden/>
          </w:rPr>
          <w:tab/>
        </w:r>
        <w:r w:rsidR="002C7153">
          <w:rPr>
            <w:noProof/>
            <w:webHidden/>
          </w:rPr>
          <w:fldChar w:fldCharType="begin"/>
        </w:r>
        <w:r w:rsidR="002C7153">
          <w:rPr>
            <w:noProof/>
            <w:webHidden/>
          </w:rPr>
          <w:instrText xml:space="preserve"> PAGEREF _Toc115768659 \h </w:instrText>
        </w:r>
        <w:r w:rsidR="002C7153">
          <w:rPr>
            <w:noProof/>
            <w:webHidden/>
          </w:rPr>
        </w:r>
        <w:r w:rsidR="002C7153">
          <w:rPr>
            <w:noProof/>
            <w:webHidden/>
          </w:rPr>
          <w:fldChar w:fldCharType="separate"/>
        </w:r>
        <w:r w:rsidR="00F16802">
          <w:rPr>
            <w:noProof/>
            <w:webHidden/>
          </w:rPr>
          <w:t>3</w:t>
        </w:r>
        <w:r w:rsidR="002C7153">
          <w:rPr>
            <w:noProof/>
            <w:webHidden/>
          </w:rPr>
          <w:fldChar w:fldCharType="end"/>
        </w:r>
      </w:hyperlink>
    </w:p>
    <w:p w14:paraId="4D8C0E56" w14:textId="77777777" w:rsidR="002C7153" w:rsidRPr="00A263C6" w:rsidRDefault="00000000">
      <w:pPr>
        <w:pStyle w:val="TOC1"/>
        <w:tabs>
          <w:tab w:val="right" w:leader="dot" w:pos="9628"/>
        </w:tabs>
        <w:rPr>
          <w:rFonts w:eastAsia="Times New Roman"/>
          <w:noProof/>
          <w:lang w:eastAsia="en-GB"/>
        </w:rPr>
      </w:pPr>
      <w:hyperlink w:anchor="_Toc115768660" w:history="1">
        <w:r w:rsidR="002C7153" w:rsidRPr="000B44FB">
          <w:rPr>
            <w:rStyle w:val="Hyperlink"/>
            <w:rFonts w:ascii="Arial" w:hAnsi="Arial" w:cs="Arial"/>
            <w:noProof/>
          </w:rPr>
          <w:t>Risk Appetite Statement</w:t>
        </w:r>
        <w:r w:rsidR="002C7153">
          <w:rPr>
            <w:noProof/>
            <w:webHidden/>
          </w:rPr>
          <w:tab/>
        </w:r>
        <w:r w:rsidR="002C7153">
          <w:rPr>
            <w:noProof/>
            <w:webHidden/>
          </w:rPr>
          <w:fldChar w:fldCharType="begin"/>
        </w:r>
        <w:r w:rsidR="002C7153">
          <w:rPr>
            <w:noProof/>
            <w:webHidden/>
          </w:rPr>
          <w:instrText xml:space="preserve"> PAGEREF _Toc115768660 \h </w:instrText>
        </w:r>
        <w:r w:rsidR="002C7153">
          <w:rPr>
            <w:noProof/>
            <w:webHidden/>
          </w:rPr>
        </w:r>
        <w:r w:rsidR="002C7153">
          <w:rPr>
            <w:noProof/>
            <w:webHidden/>
          </w:rPr>
          <w:fldChar w:fldCharType="separate"/>
        </w:r>
        <w:r w:rsidR="00F16802">
          <w:rPr>
            <w:noProof/>
            <w:webHidden/>
          </w:rPr>
          <w:t>6</w:t>
        </w:r>
        <w:r w:rsidR="002C7153">
          <w:rPr>
            <w:noProof/>
            <w:webHidden/>
          </w:rPr>
          <w:fldChar w:fldCharType="end"/>
        </w:r>
      </w:hyperlink>
    </w:p>
    <w:p w14:paraId="110EE644" w14:textId="77777777" w:rsidR="002C7153" w:rsidRPr="00A263C6" w:rsidRDefault="00000000">
      <w:pPr>
        <w:pStyle w:val="TOC1"/>
        <w:tabs>
          <w:tab w:val="right" w:leader="dot" w:pos="9628"/>
        </w:tabs>
        <w:rPr>
          <w:rFonts w:eastAsia="Times New Roman"/>
          <w:noProof/>
          <w:lang w:eastAsia="en-GB"/>
        </w:rPr>
      </w:pPr>
      <w:hyperlink w:anchor="_Toc115768661" w:history="1">
        <w:r w:rsidR="002C7153" w:rsidRPr="000B44FB">
          <w:rPr>
            <w:rStyle w:val="Hyperlink"/>
            <w:rFonts w:ascii="Arial" w:hAnsi="Arial" w:cs="Arial"/>
            <w:noProof/>
          </w:rPr>
          <w:t>Treasury Investments and Borrowing</w:t>
        </w:r>
        <w:r w:rsidR="002C7153">
          <w:rPr>
            <w:noProof/>
            <w:webHidden/>
          </w:rPr>
          <w:tab/>
        </w:r>
        <w:r w:rsidR="002C7153">
          <w:rPr>
            <w:noProof/>
            <w:webHidden/>
          </w:rPr>
          <w:fldChar w:fldCharType="begin"/>
        </w:r>
        <w:r w:rsidR="002C7153">
          <w:rPr>
            <w:noProof/>
            <w:webHidden/>
          </w:rPr>
          <w:instrText xml:space="preserve"> PAGEREF _Toc115768661 \h </w:instrText>
        </w:r>
        <w:r w:rsidR="002C7153">
          <w:rPr>
            <w:noProof/>
            <w:webHidden/>
          </w:rPr>
        </w:r>
        <w:r w:rsidR="002C7153">
          <w:rPr>
            <w:noProof/>
            <w:webHidden/>
          </w:rPr>
          <w:fldChar w:fldCharType="separate"/>
        </w:r>
        <w:r w:rsidR="00F16802">
          <w:rPr>
            <w:noProof/>
            <w:webHidden/>
          </w:rPr>
          <w:t>7</w:t>
        </w:r>
        <w:r w:rsidR="002C7153">
          <w:rPr>
            <w:noProof/>
            <w:webHidden/>
          </w:rPr>
          <w:fldChar w:fldCharType="end"/>
        </w:r>
      </w:hyperlink>
    </w:p>
    <w:p w14:paraId="03A47D33" w14:textId="77777777" w:rsidR="002C7153" w:rsidRPr="00A263C6" w:rsidRDefault="00000000">
      <w:pPr>
        <w:pStyle w:val="TOC2"/>
        <w:tabs>
          <w:tab w:val="right" w:leader="dot" w:pos="9628"/>
        </w:tabs>
        <w:rPr>
          <w:rFonts w:eastAsia="Times New Roman"/>
          <w:noProof/>
          <w:lang w:eastAsia="en-GB"/>
        </w:rPr>
      </w:pPr>
      <w:hyperlink w:anchor="_Toc115768662" w:history="1">
        <w:r w:rsidR="002C7153" w:rsidRPr="000B44FB">
          <w:rPr>
            <w:rStyle w:val="Hyperlink"/>
            <w:rFonts w:ascii="Arial" w:hAnsi="Arial" w:cs="Arial"/>
            <w:noProof/>
          </w:rPr>
          <w:t>Investment Objective</w:t>
        </w:r>
        <w:r w:rsidR="002C7153">
          <w:rPr>
            <w:noProof/>
            <w:webHidden/>
          </w:rPr>
          <w:tab/>
        </w:r>
        <w:r w:rsidR="002C7153">
          <w:rPr>
            <w:noProof/>
            <w:webHidden/>
          </w:rPr>
          <w:fldChar w:fldCharType="begin"/>
        </w:r>
        <w:r w:rsidR="002C7153">
          <w:rPr>
            <w:noProof/>
            <w:webHidden/>
          </w:rPr>
          <w:instrText xml:space="preserve"> PAGEREF _Toc115768662 \h </w:instrText>
        </w:r>
        <w:r w:rsidR="002C7153">
          <w:rPr>
            <w:noProof/>
            <w:webHidden/>
          </w:rPr>
        </w:r>
        <w:r w:rsidR="002C7153">
          <w:rPr>
            <w:noProof/>
            <w:webHidden/>
          </w:rPr>
          <w:fldChar w:fldCharType="separate"/>
        </w:r>
        <w:r w:rsidR="00F16802">
          <w:rPr>
            <w:noProof/>
            <w:webHidden/>
          </w:rPr>
          <w:t>8</w:t>
        </w:r>
        <w:r w:rsidR="002C7153">
          <w:rPr>
            <w:noProof/>
            <w:webHidden/>
          </w:rPr>
          <w:fldChar w:fldCharType="end"/>
        </w:r>
      </w:hyperlink>
    </w:p>
    <w:p w14:paraId="5863AD5F" w14:textId="77777777" w:rsidR="002C7153" w:rsidRPr="00A263C6" w:rsidRDefault="00000000">
      <w:pPr>
        <w:pStyle w:val="TOC2"/>
        <w:tabs>
          <w:tab w:val="right" w:leader="dot" w:pos="9628"/>
        </w:tabs>
        <w:rPr>
          <w:rFonts w:eastAsia="Times New Roman"/>
          <w:noProof/>
          <w:lang w:eastAsia="en-GB"/>
        </w:rPr>
      </w:pPr>
      <w:hyperlink w:anchor="_Toc115768663" w:history="1">
        <w:r w:rsidR="002C7153" w:rsidRPr="000B44FB">
          <w:rPr>
            <w:rStyle w:val="Hyperlink"/>
            <w:rFonts w:ascii="Arial" w:hAnsi="Arial" w:cs="Arial"/>
            <w:noProof/>
          </w:rPr>
          <w:t>Counterparty limits</w:t>
        </w:r>
        <w:r w:rsidR="002C7153">
          <w:rPr>
            <w:noProof/>
            <w:webHidden/>
          </w:rPr>
          <w:tab/>
        </w:r>
        <w:r w:rsidR="002C7153">
          <w:rPr>
            <w:noProof/>
            <w:webHidden/>
          </w:rPr>
          <w:fldChar w:fldCharType="begin"/>
        </w:r>
        <w:r w:rsidR="002C7153">
          <w:rPr>
            <w:noProof/>
            <w:webHidden/>
          </w:rPr>
          <w:instrText xml:space="preserve"> PAGEREF _Toc115768663 \h </w:instrText>
        </w:r>
        <w:r w:rsidR="002C7153">
          <w:rPr>
            <w:noProof/>
            <w:webHidden/>
          </w:rPr>
        </w:r>
        <w:r w:rsidR="002C7153">
          <w:rPr>
            <w:noProof/>
            <w:webHidden/>
          </w:rPr>
          <w:fldChar w:fldCharType="separate"/>
        </w:r>
        <w:r w:rsidR="00F16802">
          <w:rPr>
            <w:noProof/>
            <w:webHidden/>
          </w:rPr>
          <w:t>8</w:t>
        </w:r>
        <w:r w:rsidR="002C7153">
          <w:rPr>
            <w:noProof/>
            <w:webHidden/>
          </w:rPr>
          <w:fldChar w:fldCharType="end"/>
        </w:r>
      </w:hyperlink>
    </w:p>
    <w:p w14:paraId="02FEF6EC" w14:textId="77777777" w:rsidR="002C7153" w:rsidRPr="00A263C6" w:rsidRDefault="00000000">
      <w:pPr>
        <w:pStyle w:val="TOC2"/>
        <w:tabs>
          <w:tab w:val="right" w:leader="dot" w:pos="9628"/>
        </w:tabs>
        <w:rPr>
          <w:rFonts w:eastAsia="Times New Roman"/>
          <w:noProof/>
          <w:lang w:eastAsia="en-GB"/>
        </w:rPr>
      </w:pPr>
      <w:hyperlink w:anchor="_Toc115768664" w:history="1">
        <w:r w:rsidR="002C7153" w:rsidRPr="000B44FB">
          <w:rPr>
            <w:rStyle w:val="Hyperlink"/>
            <w:rFonts w:ascii="Arial" w:hAnsi="Arial" w:cs="Arial"/>
            <w:noProof/>
          </w:rPr>
          <w:t>Business model for holding investments</w:t>
        </w:r>
        <w:r w:rsidR="002C7153">
          <w:rPr>
            <w:noProof/>
            <w:webHidden/>
          </w:rPr>
          <w:tab/>
        </w:r>
        <w:r w:rsidR="002C7153">
          <w:rPr>
            <w:noProof/>
            <w:webHidden/>
          </w:rPr>
          <w:fldChar w:fldCharType="begin"/>
        </w:r>
        <w:r w:rsidR="002C7153">
          <w:rPr>
            <w:noProof/>
            <w:webHidden/>
          </w:rPr>
          <w:instrText xml:space="preserve"> PAGEREF _Toc115768664 \h </w:instrText>
        </w:r>
        <w:r w:rsidR="002C7153">
          <w:rPr>
            <w:noProof/>
            <w:webHidden/>
          </w:rPr>
        </w:r>
        <w:r w:rsidR="002C7153">
          <w:rPr>
            <w:noProof/>
            <w:webHidden/>
          </w:rPr>
          <w:fldChar w:fldCharType="separate"/>
        </w:r>
        <w:r w:rsidR="00F16802">
          <w:rPr>
            <w:noProof/>
            <w:webHidden/>
          </w:rPr>
          <w:t>13</w:t>
        </w:r>
        <w:r w:rsidR="002C7153">
          <w:rPr>
            <w:noProof/>
            <w:webHidden/>
          </w:rPr>
          <w:fldChar w:fldCharType="end"/>
        </w:r>
      </w:hyperlink>
    </w:p>
    <w:p w14:paraId="0A53744F" w14:textId="77777777" w:rsidR="002C7153" w:rsidRPr="00A263C6" w:rsidRDefault="00000000">
      <w:pPr>
        <w:pStyle w:val="TOC2"/>
        <w:tabs>
          <w:tab w:val="right" w:leader="dot" w:pos="9628"/>
        </w:tabs>
        <w:rPr>
          <w:rFonts w:eastAsia="Times New Roman"/>
          <w:noProof/>
          <w:lang w:eastAsia="en-GB"/>
        </w:rPr>
      </w:pPr>
      <w:hyperlink w:anchor="_Toc115768665" w:history="1">
        <w:r w:rsidR="002C7153" w:rsidRPr="000B44FB">
          <w:rPr>
            <w:rStyle w:val="Hyperlink"/>
            <w:rFonts w:ascii="Arial" w:hAnsi="Arial" w:cs="Arial"/>
            <w:noProof/>
          </w:rPr>
          <w:t>Negative interest rates</w:t>
        </w:r>
        <w:r w:rsidR="002C7153">
          <w:rPr>
            <w:noProof/>
            <w:webHidden/>
          </w:rPr>
          <w:tab/>
        </w:r>
        <w:r w:rsidR="002C7153">
          <w:rPr>
            <w:noProof/>
            <w:webHidden/>
          </w:rPr>
          <w:fldChar w:fldCharType="begin"/>
        </w:r>
        <w:r w:rsidR="002C7153">
          <w:rPr>
            <w:noProof/>
            <w:webHidden/>
          </w:rPr>
          <w:instrText xml:space="preserve"> PAGEREF _Toc115768665 \h </w:instrText>
        </w:r>
        <w:r w:rsidR="002C7153">
          <w:rPr>
            <w:noProof/>
            <w:webHidden/>
          </w:rPr>
        </w:r>
        <w:r w:rsidR="002C7153">
          <w:rPr>
            <w:noProof/>
            <w:webHidden/>
          </w:rPr>
          <w:fldChar w:fldCharType="separate"/>
        </w:r>
        <w:r w:rsidR="00F16802">
          <w:rPr>
            <w:noProof/>
            <w:webHidden/>
          </w:rPr>
          <w:t>13</w:t>
        </w:r>
        <w:r w:rsidR="002C7153">
          <w:rPr>
            <w:noProof/>
            <w:webHidden/>
          </w:rPr>
          <w:fldChar w:fldCharType="end"/>
        </w:r>
      </w:hyperlink>
    </w:p>
    <w:p w14:paraId="3EA1B37F" w14:textId="77777777" w:rsidR="002C7153" w:rsidRPr="00A263C6" w:rsidRDefault="00000000">
      <w:pPr>
        <w:pStyle w:val="TOC2"/>
        <w:tabs>
          <w:tab w:val="right" w:leader="dot" w:pos="9628"/>
        </w:tabs>
        <w:rPr>
          <w:rFonts w:eastAsia="Times New Roman"/>
          <w:noProof/>
          <w:lang w:eastAsia="en-GB"/>
        </w:rPr>
      </w:pPr>
      <w:hyperlink w:anchor="_Toc115768666" w:history="1">
        <w:r w:rsidR="002C7153" w:rsidRPr="000B44FB">
          <w:rPr>
            <w:rStyle w:val="Hyperlink"/>
            <w:rFonts w:ascii="Arial" w:hAnsi="Arial" w:cs="Arial"/>
            <w:noProof/>
          </w:rPr>
          <w:t>Liquidity Management</w:t>
        </w:r>
        <w:r w:rsidR="002C7153">
          <w:rPr>
            <w:noProof/>
            <w:webHidden/>
          </w:rPr>
          <w:tab/>
        </w:r>
        <w:r w:rsidR="002C7153">
          <w:rPr>
            <w:noProof/>
            <w:webHidden/>
          </w:rPr>
          <w:fldChar w:fldCharType="begin"/>
        </w:r>
        <w:r w:rsidR="002C7153">
          <w:rPr>
            <w:noProof/>
            <w:webHidden/>
          </w:rPr>
          <w:instrText xml:space="preserve"> PAGEREF _Toc115768666 \h </w:instrText>
        </w:r>
        <w:r w:rsidR="002C7153">
          <w:rPr>
            <w:noProof/>
            <w:webHidden/>
          </w:rPr>
        </w:r>
        <w:r w:rsidR="002C7153">
          <w:rPr>
            <w:noProof/>
            <w:webHidden/>
          </w:rPr>
          <w:fldChar w:fldCharType="separate"/>
        </w:r>
        <w:r w:rsidR="00F16802">
          <w:rPr>
            <w:noProof/>
            <w:webHidden/>
          </w:rPr>
          <w:t>13</w:t>
        </w:r>
        <w:r w:rsidR="002C7153">
          <w:rPr>
            <w:noProof/>
            <w:webHidden/>
          </w:rPr>
          <w:fldChar w:fldCharType="end"/>
        </w:r>
      </w:hyperlink>
    </w:p>
    <w:p w14:paraId="5C6FF3D4" w14:textId="77777777" w:rsidR="002C7153" w:rsidRPr="00A263C6" w:rsidRDefault="00000000">
      <w:pPr>
        <w:pStyle w:val="TOC2"/>
        <w:tabs>
          <w:tab w:val="right" w:leader="dot" w:pos="9628"/>
        </w:tabs>
        <w:rPr>
          <w:rFonts w:eastAsia="Times New Roman"/>
          <w:noProof/>
          <w:lang w:eastAsia="en-GB"/>
        </w:rPr>
      </w:pPr>
      <w:hyperlink w:anchor="_Toc115768667" w:history="1">
        <w:r w:rsidR="002C7153" w:rsidRPr="000B44FB">
          <w:rPr>
            <w:rStyle w:val="Hyperlink"/>
            <w:rFonts w:ascii="Arial" w:hAnsi="Arial" w:cs="Arial"/>
            <w:noProof/>
          </w:rPr>
          <w:t>Responsible Investing</w:t>
        </w:r>
        <w:r w:rsidR="002C7153">
          <w:rPr>
            <w:noProof/>
            <w:webHidden/>
          </w:rPr>
          <w:tab/>
        </w:r>
        <w:r w:rsidR="002C7153">
          <w:rPr>
            <w:noProof/>
            <w:webHidden/>
          </w:rPr>
          <w:fldChar w:fldCharType="begin"/>
        </w:r>
        <w:r w:rsidR="002C7153">
          <w:rPr>
            <w:noProof/>
            <w:webHidden/>
          </w:rPr>
          <w:instrText xml:space="preserve"> PAGEREF _Toc115768667 \h </w:instrText>
        </w:r>
        <w:r w:rsidR="002C7153">
          <w:rPr>
            <w:noProof/>
            <w:webHidden/>
          </w:rPr>
        </w:r>
        <w:r w:rsidR="002C7153">
          <w:rPr>
            <w:noProof/>
            <w:webHidden/>
          </w:rPr>
          <w:fldChar w:fldCharType="separate"/>
        </w:r>
        <w:r w:rsidR="00F16802">
          <w:rPr>
            <w:noProof/>
            <w:webHidden/>
          </w:rPr>
          <w:t>13</w:t>
        </w:r>
        <w:r w:rsidR="002C7153">
          <w:rPr>
            <w:noProof/>
            <w:webHidden/>
          </w:rPr>
          <w:fldChar w:fldCharType="end"/>
        </w:r>
      </w:hyperlink>
    </w:p>
    <w:p w14:paraId="4DEA01BA" w14:textId="77777777" w:rsidR="002C7153" w:rsidRPr="00A263C6" w:rsidRDefault="00000000">
      <w:pPr>
        <w:pStyle w:val="TOC2"/>
        <w:tabs>
          <w:tab w:val="right" w:leader="dot" w:pos="9628"/>
        </w:tabs>
        <w:rPr>
          <w:rFonts w:eastAsia="Times New Roman"/>
          <w:noProof/>
          <w:lang w:eastAsia="en-GB"/>
        </w:rPr>
      </w:pPr>
      <w:hyperlink w:anchor="_Toc115768668" w:history="1">
        <w:r w:rsidR="002C7153" w:rsidRPr="000B44FB">
          <w:rPr>
            <w:rStyle w:val="Hyperlink"/>
            <w:rFonts w:ascii="Arial" w:hAnsi="Arial" w:cs="Arial"/>
            <w:noProof/>
          </w:rPr>
          <w:t>Borrowing</w:t>
        </w:r>
        <w:r w:rsidR="002C7153">
          <w:rPr>
            <w:noProof/>
            <w:webHidden/>
          </w:rPr>
          <w:tab/>
        </w:r>
        <w:r w:rsidR="002C7153">
          <w:rPr>
            <w:noProof/>
            <w:webHidden/>
          </w:rPr>
          <w:fldChar w:fldCharType="begin"/>
        </w:r>
        <w:r w:rsidR="002C7153">
          <w:rPr>
            <w:noProof/>
            <w:webHidden/>
          </w:rPr>
          <w:instrText xml:space="preserve"> PAGEREF _Toc115768668 \h </w:instrText>
        </w:r>
        <w:r w:rsidR="002C7153">
          <w:rPr>
            <w:noProof/>
            <w:webHidden/>
          </w:rPr>
        </w:r>
        <w:r w:rsidR="002C7153">
          <w:rPr>
            <w:noProof/>
            <w:webHidden/>
          </w:rPr>
          <w:fldChar w:fldCharType="separate"/>
        </w:r>
        <w:r w:rsidR="00F16802">
          <w:rPr>
            <w:noProof/>
            <w:webHidden/>
          </w:rPr>
          <w:t>14</w:t>
        </w:r>
        <w:r w:rsidR="002C7153">
          <w:rPr>
            <w:noProof/>
            <w:webHidden/>
          </w:rPr>
          <w:fldChar w:fldCharType="end"/>
        </w:r>
      </w:hyperlink>
    </w:p>
    <w:p w14:paraId="25512420" w14:textId="77777777" w:rsidR="002C7153" w:rsidRPr="00A263C6" w:rsidRDefault="00000000">
      <w:pPr>
        <w:pStyle w:val="TOC3"/>
        <w:tabs>
          <w:tab w:val="right" w:leader="dot" w:pos="9628"/>
        </w:tabs>
        <w:rPr>
          <w:rFonts w:eastAsia="Times New Roman"/>
          <w:noProof/>
          <w:lang w:eastAsia="en-GB"/>
        </w:rPr>
      </w:pPr>
      <w:hyperlink w:anchor="_Toc115768669" w:history="1">
        <w:r w:rsidR="002C7153" w:rsidRPr="000B44FB">
          <w:rPr>
            <w:rStyle w:val="Hyperlink"/>
            <w:rFonts w:ascii="Arial" w:hAnsi="Arial" w:cs="Arial"/>
            <w:noProof/>
          </w:rPr>
          <w:t>Borrowing Sources</w:t>
        </w:r>
        <w:r w:rsidR="002C7153">
          <w:rPr>
            <w:noProof/>
            <w:webHidden/>
          </w:rPr>
          <w:tab/>
        </w:r>
        <w:r w:rsidR="002C7153">
          <w:rPr>
            <w:noProof/>
            <w:webHidden/>
          </w:rPr>
          <w:fldChar w:fldCharType="begin"/>
        </w:r>
        <w:r w:rsidR="002C7153">
          <w:rPr>
            <w:noProof/>
            <w:webHidden/>
          </w:rPr>
          <w:instrText xml:space="preserve"> PAGEREF _Toc115768669 \h </w:instrText>
        </w:r>
        <w:r w:rsidR="002C7153">
          <w:rPr>
            <w:noProof/>
            <w:webHidden/>
          </w:rPr>
        </w:r>
        <w:r w:rsidR="002C7153">
          <w:rPr>
            <w:noProof/>
            <w:webHidden/>
          </w:rPr>
          <w:fldChar w:fldCharType="separate"/>
        </w:r>
        <w:r w:rsidR="00F16802">
          <w:rPr>
            <w:noProof/>
            <w:webHidden/>
          </w:rPr>
          <w:t>15</w:t>
        </w:r>
        <w:r w:rsidR="002C7153">
          <w:rPr>
            <w:noProof/>
            <w:webHidden/>
          </w:rPr>
          <w:fldChar w:fldCharType="end"/>
        </w:r>
      </w:hyperlink>
    </w:p>
    <w:p w14:paraId="34E39427" w14:textId="77777777" w:rsidR="002C7153" w:rsidRPr="00A263C6" w:rsidRDefault="00000000">
      <w:pPr>
        <w:pStyle w:val="TOC3"/>
        <w:tabs>
          <w:tab w:val="right" w:leader="dot" w:pos="9628"/>
        </w:tabs>
        <w:rPr>
          <w:rFonts w:eastAsia="Times New Roman"/>
          <w:noProof/>
          <w:lang w:eastAsia="en-GB"/>
        </w:rPr>
      </w:pPr>
      <w:hyperlink w:anchor="_Toc115768670" w:history="1">
        <w:r w:rsidR="002C7153" w:rsidRPr="000B44FB">
          <w:rPr>
            <w:rStyle w:val="Hyperlink"/>
            <w:rFonts w:ascii="Arial" w:hAnsi="Arial" w:cs="Arial"/>
            <w:noProof/>
          </w:rPr>
          <w:t>Operational Boundary for External Debt</w:t>
        </w:r>
        <w:r w:rsidR="002C7153">
          <w:rPr>
            <w:noProof/>
            <w:webHidden/>
          </w:rPr>
          <w:tab/>
        </w:r>
        <w:r w:rsidR="002C7153">
          <w:rPr>
            <w:noProof/>
            <w:webHidden/>
          </w:rPr>
          <w:fldChar w:fldCharType="begin"/>
        </w:r>
        <w:r w:rsidR="002C7153">
          <w:rPr>
            <w:noProof/>
            <w:webHidden/>
          </w:rPr>
          <w:instrText xml:space="preserve"> PAGEREF _Toc115768670 \h </w:instrText>
        </w:r>
        <w:r w:rsidR="002C7153">
          <w:rPr>
            <w:noProof/>
            <w:webHidden/>
          </w:rPr>
        </w:r>
        <w:r w:rsidR="002C7153">
          <w:rPr>
            <w:noProof/>
            <w:webHidden/>
          </w:rPr>
          <w:fldChar w:fldCharType="separate"/>
        </w:r>
        <w:r w:rsidR="00F16802">
          <w:rPr>
            <w:noProof/>
            <w:webHidden/>
          </w:rPr>
          <w:t>15</w:t>
        </w:r>
        <w:r w:rsidR="002C7153">
          <w:rPr>
            <w:noProof/>
            <w:webHidden/>
          </w:rPr>
          <w:fldChar w:fldCharType="end"/>
        </w:r>
      </w:hyperlink>
    </w:p>
    <w:p w14:paraId="19B75C4F" w14:textId="77777777" w:rsidR="002C7153" w:rsidRPr="00A263C6" w:rsidRDefault="00000000">
      <w:pPr>
        <w:pStyle w:val="TOC3"/>
        <w:tabs>
          <w:tab w:val="right" w:leader="dot" w:pos="9628"/>
        </w:tabs>
        <w:rPr>
          <w:rFonts w:eastAsia="Times New Roman"/>
          <w:noProof/>
          <w:lang w:eastAsia="en-GB"/>
        </w:rPr>
      </w:pPr>
      <w:hyperlink w:anchor="_Toc115768671" w:history="1">
        <w:r w:rsidR="002C7153" w:rsidRPr="000B44FB">
          <w:rPr>
            <w:rStyle w:val="Hyperlink"/>
            <w:rFonts w:ascii="Arial" w:hAnsi="Arial" w:cs="Arial"/>
            <w:noProof/>
          </w:rPr>
          <w:t>Authorised Limit for External Debt</w:t>
        </w:r>
        <w:r w:rsidR="002C7153">
          <w:rPr>
            <w:noProof/>
            <w:webHidden/>
          </w:rPr>
          <w:tab/>
        </w:r>
        <w:r w:rsidR="002C7153">
          <w:rPr>
            <w:noProof/>
            <w:webHidden/>
          </w:rPr>
          <w:fldChar w:fldCharType="begin"/>
        </w:r>
        <w:r w:rsidR="002C7153">
          <w:rPr>
            <w:noProof/>
            <w:webHidden/>
          </w:rPr>
          <w:instrText xml:space="preserve"> PAGEREF _Toc115768671 \h </w:instrText>
        </w:r>
        <w:r w:rsidR="002C7153">
          <w:rPr>
            <w:noProof/>
            <w:webHidden/>
          </w:rPr>
        </w:r>
        <w:r w:rsidR="002C7153">
          <w:rPr>
            <w:noProof/>
            <w:webHidden/>
          </w:rPr>
          <w:fldChar w:fldCharType="separate"/>
        </w:r>
        <w:r w:rsidR="00F16802">
          <w:rPr>
            <w:noProof/>
            <w:webHidden/>
          </w:rPr>
          <w:t>16</w:t>
        </w:r>
        <w:r w:rsidR="002C7153">
          <w:rPr>
            <w:noProof/>
            <w:webHidden/>
          </w:rPr>
          <w:fldChar w:fldCharType="end"/>
        </w:r>
      </w:hyperlink>
    </w:p>
    <w:p w14:paraId="2A5D08C2" w14:textId="77777777" w:rsidR="002C7153" w:rsidRPr="00A263C6" w:rsidRDefault="00000000">
      <w:pPr>
        <w:pStyle w:val="TOC1"/>
        <w:tabs>
          <w:tab w:val="right" w:leader="dot" w:pos="9628"/>
        </w:tabs>
        <w:rPr>
          <w:rFonts w:eastAsia="Times New Roman"/>
          <w:noProof/>
          <w:lang w:eastAsia="en-GB"/>
        </w:rPr>
      </w:pPr>
      <w:hyperlink w:anchor="_Toc115768672" w:history="1">
        <w:r w:rsidR="002C7153" w:rsidRPr="000B44FB">
          <w:rPr>
            <w:rStyle w:val="Hyperlink"/>
            <w:rFonts w:ascii="Arial" w:hAnsi="Arial" w:cs="Arial"/>
            <w:noProof/>
          </w:rPr>
          <w:t>Treasury Management Indicators</w:t>
        </w:r>
        <w:r w:rsidR="002C7153">
          <w:rPr>
            <w:noProof/>
            <w:webHidden/>
          </w:rPr>
          <w:tab/>
        </w:r>
        <w:r w:rsidR="002C7153">
          <w:rPr>
            <w:noProof/>
            <w:webHidden/>
          </w:rPr>
          <w:fldChar w:fldCharType="begin"/>
        </w:r>
        <w:r w:rsidR="002C7153">
          <w:rPr>
            <w:noProof/>
            <w:webHidden/>
          </w:rPr>
          <w:instrText xml:space="preserve"> PAGEREF _Toc115768672 \h </w:instrText>
        </w:r>
        <w:r w:rsidR="002C7153">
          <w:rPr>
            <w:noProof/>
            <w:webHidden/>
          </w:rPr>
        </w:r>
        <w:r w:rsidR="002C7153">
          <w:rPr>
            <w:noProof/>
            <w:webHidden/>
          </w:rPr>
          <w:fldChar w:fldCharType="separate"/>
        </w:r>
        <w:r w:rsidR="00F16802">
          <w:rPr>
            <w:noProof/>
            <w:webHidden/>
          </w:rPr>
          <w:t>17</w:t>
        </w:r>
        <w:r w:rsidR="002C7153">
          <w:rPr>
            <w:noProof/>
            <w:webHidden/>
          </w:rPr>
          <w:fldChar w:fldCharType="end"/>
        </w:r>
      </w:hyperlink>
    </w:p>
    <w:p w14:paraId="4E25CDF2" w14:textId="77777777" w:rsidR="002C7153" w:rsidRPr="00A263C6" w:rsidRDefault="00000000">
      <w:pPr>
        <w:pStyle w:val="TOC3"/>
        <w:tabs>
          <w:tab w:val="right" w:leader="dot" w:pos="9628"/>
        </w:tabs>
        <w:rPr>
          <w:rFonts w:eastAsia="Times New Roman"/>
          <w:noProof/>
          <w:lang w:eastAsia="en-GB"/>
        </w:rPr>
      </w:pPr>
      <w:hyperlink w:anchor="_Toc115768673" w:history="1">
        <w:r w:rsidR="002C7153" w:rsidRPr="000B44FB">
          <w:rPr>
            <w:rStyle w:val="Hyperlink"/>
            <w:rFonts w:ascii="Arial" w:hAnsi="Arial" w:cs="Arial"/>
            <w:noProof/>
          </w:rPr>
          <w:t>Prudential indicator for the Liability Benchmark</w:t>
        </w:r>
        <w:r w:rsidR="002C7153">
          <w:rPr>
            <w:noProof/>
            <w:webHidden/>
          </w:rPr>
          <w:tab/>
        </w:r>
        <w:r w:rsidR="002C7153">
          <w:rPr>
            <w:noProof/>
            <w:webHidden/>
          </w:rPr>
          <w:fldChar w:fldCharType="begin"/>
        </w:r>
        <w:r w:rsidR="002C7153">
          <w:rPr>
            <w:noProof/>
            <w:webHidden/>
          </w:rPr>
          <w:instrText xml:space="preserve"> PAGEREF _Toc115768673 \h </w:instrText>
        </w:r>
        <w:r w:rsidR="002C7153">
          <w:rPr>
            <w:noProof/>
            <w:webHidden/>
          </w:rPr>
        </w:r>
        <w:r w:rsidR="002C7153">
          <w:rPr>
            <w:noProof/>
            <w:webHidden/>
          </w:rPr>
          <w:fldChar w:fldCharType="separate"/>
        </w:r>
        <w:r w:rsidR="00F16802">
          <w:rPr>
            <w:noProof/>
            <w:webHidden/>
          </w:rPr>
          <w:t>17</w:t>
        </w:r>
        <w:r w:rsidR="002C7153">
          <w:rPr>
            <w:noProof/>
            <w:webHidden/>
          </w:rPr>
          <w:fldChar w:fldCharType="end"/>
        </w:r>
      </w:hyperlink>
    </w:p>
    <w:p w14:paraId="1B5AA418" w14:textId="77777777" w:rsidR="002C7153" w:rsidRPr="00A263C6" w:rsidRDefault="00000000">
      <w:pPr>
        <w:pStyle w:val="TOC3"/>
        <w:tabs>
          <w:tab w:val="right" w:leader="dot" w:pos="9628"/>
        </w:tabs>
        <w:rPr>
          <w:rFonts w:eastAsia="Times New Roman"/>
          <w:noProof/>
          <w:lang w:eastAsia="en-GB"/>
        </w:rPr>
      </w:pPr>
      <w:hyperlink w:anchor="_Toc115768674" w:history="1">
        <w:r w:rsidR="002C7153" w:rsidRPr="000B44FB">
          <w:rPr>
            <w:rStyle w:val="Hyperlink"/>
            <w:rFonts w:ascii="Arial" w:hAnsi="Arial" w:cs="Arial"/>
            <w:noProof/>
          </w:rPr>
          <w:t>Security and credit risk</w:t>
        </w:r>
        <w:r w:rsidR="002C7153">
          <w:rPr>
            <w:noProof/>
            <w:webHidden/>
          </w:rPr>
          <w:tab/>
        </w:r>
        <w:r w:rsidR="002C7153">
          <w:rPr>
            <w:noProof/>
            <w:webHidden/>
          </w:rPr>
          <w:fldChar w:fldCharType="begin"/>
        </w:r>
        <w:r w:rsidR="002C7153">
          <w:rPr>
            <w:noProof/>
            <w:webHidden/>
          </w:rPr>
          <w:instrText xml:space="preserve"> PAGEREF _Toc115768674 \h </w:instrText>
        </w:r>
        <w:r w:rsidR="002C7153">
          <w:rPr>
            <w:noProof/>
            <w:webHidden/>
          </w:rPr>
        </w:r>
        <w:r w:rsidR="002C7153">
          <w:rPr>
            <w:noProof/>
            <w:webHidden/>
          </w:rPr>
          <w:fldChar w:fldCharType="separate"/>
        </w:r>
        <w:r w:rsidR="00F16802">
          <w:rPr>
            <w:noProof/>
            <w:webHidden/>
          </w:rPr>
          <w:t>17</w:t>
        </w:r>
        <w:r w:rsidR="002C7153">
          <w:rPr>
            <w:noProof/>
            <w:webHidden/>
          </w:rPr>
          <w:fldChar w:fldCharType="end"/>
        </w:r>
      </w:hyperlink>
    </w:p>
    <w:p w14:paraId="7F55E4C3" w14:textId="77777777" w:rsidR="002C7153" w:rsidRPr="00A263C6" w:rsidRDefault="00000000">
      <w:pPr>
        <w:pStyle w:val="TOC3"/>
        <w:tabs>
          <w:tab w:val="right" w:leader="dot" w:pos="9628"/>
        </w:tabs>
        <w:rPr>
          <w:rFonts w:eastAsia="Times New Roman"/>
          <w:noProof/>
          <w:lang w:eastAsia="en-GB"/>
        </w:rPr>
      </w:pPr>
      <w:hyperlink w:anchor="_Toc115768675" w:history="1">
        <w:r w:rsidR="002C7153" w:rsidRPr="000B44FB">
          <w:rPr>
            <w:rStyle w:val="Hyperlink"/>
            <w:rFonts w:ascii="Arial" w:hAnsi="Arial" w:cs="Arial"/>
            <w:noProof/>
          </w:rPr>
          <w:t>Maturity Structure of Borrowing</w:t>
        </w:r>
        <w:r w:rsidR="002C7153">
          <w:rPr>
            <w:noProof/>
            <w:webHidden/>
          </w:rPr>
          <w:tab/>
        </w:r>
        <w:r w:rsidR="002C7153">
          <w:rPr>
            <w:noProof/>
            <w:webHidden/>
          </w:rPr>
          <w:fldChar w:fldCharType="begin"/>
        </w:r>
        <w:r w:rsidR="002C7153">
          <w:rPr>
            <w:noProof/>
            <w:webHidden/>
          </w:rPr>
          <w:instrText xml:space="preserve"> PAGEREF _Toc115768675 \h </w:instrText>
        </w:r>
        <w:r w:rsidR="002C7153">
          <w:rPr>
            <w:noProof/>
            <w:webHidden/>
          </w:rPr>
        </w:r>
        <w:r w:rsidR="002C7153">
          <w:rPr>
            <w:noProof/>
            <w:webHidden/>
          </w:rPr>
          <w:fldChar w:fldCharType="separate"/>
        </w:r>
        <w:r w:rsidR="00F16802">
          <w:rPr>
            <w:noProof/>
            <w:webHidden/>
          </w:rPr>
          <w:t>18</w:t>
        </w:r>
        <w:r w:rsidR="002C7153">
          <w:rPr>
            <w:noProof/>
            <w:webHidden/>
          </w:rPr>
          <w:fldChar w:fldCharType="end"/>
        </w:r>
      </w:hyperlink>
    </w:p>
    <w:p w14:paraId="1D3607F3" w14:textId="77777777" w:rsidR="002C7153" w:rsidRPr="00A263C6" w:rsidRDefault="00000000">
      <w:pPr>
        <w:pStyle w:val="TOC3"/>
        <w:tabs>
          <w:tab w:val="right" w:leader="dot" w:pos="9628"/>
        </w:tabs>
        <w:rPr>
          <w:rFonts w:eastAsia="Times New Roman"/>
          <w:noProof/>
          <w:lang w:eastAsia="en-GB"/>
        </w:rPr>
      </w:pPr>
      <w:hyperlink w:anchor="_Toc115768676" w:history="1">
        <w:r w:rsidR="002C7153" w:rsidRPr="000B44FB">
          <w:rPr>
            <w:rStyle w:val="Hyperlink"/>
            <w:rFonts w:ascii="Arial" w:hAnsi="Arial" w:cs="Arial"/>
            <w:noProof/>
          </w:rPr>
          <w:t>Prudential limits for long term treasury management investments</w:t>
        </w:r>
        <w:r w:rsidR="002C7153">
          <w:rPr>
            <w:noProof/>
            <w:webHidden/>
          </w:rPr>
          <w:tab/>
        </w:r>
        <w:r w:rsidR="002C7153">
          <w:rPr>
            <w:noProof/>
            <w:webHidden/>
          </w:rPr>
          <w:fldChar w:fldCharType="begin"/>
        </w:r>
        <w:r w:rsidR="002C7153">
          <w:rPr>
            <w:noProof/>
            <w:webHidden/>
          </w:rPr>
          <w:instrText xml:space="preserve"> PAGEREF _Toc115768676 \h </w:instrText>
        </w:r>
        <w:r w:rsidR="002C7153">
          <w:rPr>
            <w:noProof/>
            <w:webHidden/>
          </w:rPr>
        </w:r>
        <w:r w:rsidR="002C7153">
          <w:rPr>
            <w:noProof/>
            <w:webHidden/>
          </w:rPr>
          <w:fldChar w:fldCharType="separate"/>
        </w:r>
        <w:r w:rsidR="00F16802">
          <w:rPr>
            <w:noProof/>
            <w:webHidden/>
          </w:rPr>
          <w:t>18</w:t>
        </w:r>
        <w:r w:rsidR="002C7153">
          <w:rPr>
            <w:noProof/>
            <w:webHidden/>
          </w:rPr>
          <w:fldChar w:fldCharType="end"/>
        </w:r>
      </w:hyperlink>
    </w:p>
    <w:p w14:paraId="3CDBB98A" w14:textId="77777777" w:rsidR="002C7153" w:rsidRPr="00A263C6" w:rsidRDefault="00000000">
      <w:pPr>
        <w:pStyle w:val="TOC3"/>
        <w:tabs>
          <w:tab w:val="right" w:leader="dot" w:pos="9628"/>
        </w:tabs>
        <w:rPr>
          <w:rFonts w:eastAsia="Times New Roman"/>
          <w:noProof/>
          <w:lang w:eastAsia="en-GB"/>
        </w:rPr>
      </w:pPr>
      <w:hyperlink w:anchor="_Toc115768677" w:history="1">
        <w:r w:rsidR="002C7153" w:rsidRPr="000B44FB">
          <w:rPr>
            <w:rStyle w:val="Hyperlink"/>
            <w:rFonts w:ascii="Arial" w:hAnsi="Arial" w:cs="Arial"/>
            <w:noProof/>
          </w:rPr>
          <w:t>Market and economic risk</w:t>
        </w:r>
        <w:r w:rsidR="002C7153">
          <w:rPr>
            <w:noProof/>
            <w:webHidden/>
          </w:rPr>
          <w:tab/>
        </w:r>
        <w:r w:rsidR="002C7153">
          <w:rPr>
            <w:noProof/>
            <w:webHidden/>
          </w:rPr>
          <w:fldChar w:fldCharType="begin"/>
        </w:r>
        <w:r w:rsidR="002C7153">
          <w:rPr>
            <w:noProof/>
            <w:webHidden/>
          </w:rPr>
          <w:instrText xml:space="preserve"> PAGEREF _Toc115768677 \h </w:instrText>
        </w:r>
        <w:r w:rsidR="002C7153">
          <w:rPr>
            <w:noProof/>
            <w:webHidden/>
          </w:rPr>
        </w:r>
        <w:r w:rsidR="002C7153">
          <w:rPr>
            <w:noProof/>
            <w:webHidden/>
          </w:rPr>
          <w:fldChar w:fldCharType="separate"/>
        </w:r>
        <w:r w:rsidR="00F16802">
          <w:rPr>
            <w:noProof/>
            <w:webHidden/>
          </w:rPr>
          <w:t>18</w:t>
        </w:r>
        <w:r w:rsidR="002C7153">
          <w:rPr>
            <w:noProof/>
            <w:webHidden/>
          </w:rPr>
          <w:fldChar w:fldCharType="end"/>
        </w:r>
      </w:hyperlink>
    </w:p>
    <w:p w14:paraId="5469A8D1" w14:textId="77777777" w:rsidR="002C7153" w:rsidRPr="00A263C6" w:rsidRDefault="00000000">
      <w:pPr>
        <w:pStyle w:val="TOC1"/>
        <w:tabs>
          <w:tab w:val="right" w:leader="dot" w:pos="9628"/>
        </w:tabs>
        <w:rPr>
          <w:rFonts w:eastAsia="Times New Roman"/>
          <w:noProof/>
          <w:lang w:eastAsia="en-GB"/>
        </w:rPr>
      </w:pPr>
      <w:hyperlink w:anchor="_Toc115768678" w:history="1">
        <w:r w:rsidR="002C7153" w:rsidRPr="000B44FB">
          <w:rPr>
            <w:rStyle w:val="Hyperlink"/>
            <w:rFonts w:ascii="Arial" w:hAnsi="Arial" w:cs="Arial"/>
            <w:noProof/>
          </w:rPr>
          <w:t>Other Items</w:t>
        </w:r>
        <w:r w:rsidR="002C7153">
          <w:rPr>
            <w:noProof/>
            <w:webHidden/>
          </w:rPr>
          <w:tab/>
        </w:r>
        <w:r w:rsidR="002C7153">
          <w:rPr>
            <w:noProof/>
            <w:webHidden/>
          </w:rPr>
          <w:fldChar w:fldCharType="begin"/>
        </w:r>
        <w:r w:rsidR="002C7153">
          <w:rPr>
            <w:noProof/>
            <w:webHidden/>
          </w:rPr>
          <w:instrText xml:space="preserve"> PAGEREF _Toc115768678 \h </w:instrText>
        </w:r>
        <w:r w:rsidR="002C7153">
          <w:rPr>
            <w:noProof/>
            <w:webHidden/>
          </w:rPr>
        </w:r>
        <w:r w:rsidR="002C7153">
          <w:rPr>
            <w:noProof/>
            <w:webHidden/>
          </w:rPr>
          <w:fldChar w:fldCharType="separate"/>
        </w:r>
        <w:r w:rsidR="00F16802">
          <w:rPr>
            <w:noProof/>
            <w:webHidden/>
          </w:rPr>
          <w:t>19</w:t>
        </w:r>
        <w:r w:rsidR="002C7153">
          <w:rPr>
            <w:noProof/>
            <w:webHidden/>
          </w:rPr>
          <w:fldChar w:fldCharType="end"/>
        </w:r>
      </w:hyperlink>
    </w:p>
    <w:p w14:paraId="747E30EA" w14:textId="77777777" w:rsidR="002C7153" w:rsidRPr="00A263C6" w:rsidRDefault="00000000">
      <w:pPr>
        <w:pStyle w:val="TOC2"/>
        <w:tabs>
          <w:tab w:val="right" w:leader="dot" w:pos="9628"/>
        </w:tabs>
        <w:rPr>
          <w:rFonts w:eastAsia="Times New Roman"/>
          <w:noProof/>
          <w:lang w:eastAsia="en-GB"/>
        </w:rPr>
      </w:pPr>
      <w:hyperlink w:anchor="_Toc115768679" w:history="1">
        <w:r w:rsidR="002C7153" w:rsidRPr="000B44FB">
          <w:rPr>
            <w:rStyle w:val="Hyperlink"/>
            <w:rFonts w:ascii="Arial" w:hAnsi="Arial" w:cs="Arial"/>
            <w:noProof/>
          </w:rPr>
          <w:t>Policy on Use of Financial Derivatives</w:t>
        </w:r>
        <w:r w:rsidR="002C7153">
          <w:rPr>
            <w:noProof/>
            <w:webHidden/>
          </w:rPr>
          <w:tab/>
        </w:r>
        <w:r w:rsidR="002C7153">
          <w:rPr>
            <w:noProof/>
            <w:webHidden/>
          </w:rPr>
          <w:fldChar w:fldCharType="begin"/>
        </w:r>
        <w:r w:rsidR="002C7153">
          <w:rPr>
            <w:noProof/>
            <w:webHidden/>
          </w:rPr>
          <w:instrText xml:space="preserve"> PAGEREF _Toc115768679 \h </w:instrText>
        </w:r>
        <w:r w:rsidR="002C7153">
          <w:rPr>
            <w:noProof/>
            <w:webHidden/>
          </w:rPr>
        </w:r>
        <w:r w:rsidR="002C7153">
          <w:rPr>
            <w:noProof/>
            <w:webHidden/>
          </w:rPr>
          <w:fldChar w:fldCharType="separate"/>
        </w:r>
        <w:r w:rsidR="00F16802">
          <w:rPr>
            <w:noProof/>
            <w:webHidden/>
          </w:rPr>
          <w:t>19</w:t>
        </w:r>
        <w:r w:rsidR="002C7153">
          <w:rPr>
            <w:noProof/>
            <w:webHidden/>
          </w:rPr>
          <w:fldChar w:fldCharType="end"/>
        </w:r>
      </w:hyperlink>
    </w:p>
    <w:p w14:paraId="28277CCB" w14:textId="77777777" w:rsidR="002C7153" w:rsidRPr="00A263C6" w:rsidRDefault="00000000">
      <w:pPr>
        <w:pStyle w:val="TOC2"/>
        <w:tabs>
          <w:tab w:val="right" w:leader="dot" w:pos="9628"/>
        </w:tabs>
        <w:rPr>
          <w:rFonts w:eastAsia="Times New Roman"/>
          <w:noProof/>
          <w:lang w:eastAsia="en-GB"/>
        </w:rPr>
      </w:pPr>
      <w:hyperlink w:anchor="_Toc115768680" w:history="1">
        <w:r w:rsidR="002C7153" w:rsidRPr="000B44FB">
          <w:rPr>
            <w:rStyle w:val="Hyperlink"/>
            <w:rFonts w:ascii="Arial" w:hAnsi="Arial" w:cs="Arial"/>
            <w:noProof/>
          </w:rPr>
          <w:t>Investment of Money Borrowed in Advance of Need</w:t>
        </w:r>
        <w:r w:rsidR="002C7153">
          <w:rPr>
            <w:noProof/>
            <w:webHidden/>
          </w:rPr>
          <w:tab/>
        </w:r>
        <w:r w:rsidR="002C7153">
          <w:rPr>
            <w:noProof/>
            <w:webHidden/>
          </w:rPr>
          <w:fldChar w:fldCharType="begin"/>
        </w:r>
        <w:r w:rsidR="002C7153">
          <w:rPr>
            <w:noProof/>
            <w:webHidden/>
          </w:rPr>
          <w:instrText xml:space="preserve"> PAGEREF _Toc115768680 \h </w:instrText>
        </w:r>
        <w:r w:rsidR="002C7153">
          <w:rPr>
            <w:noProof/>
            <w:webHidden/>
          </w:rPr>
        </w:r>
        <w:r w:rsidR="002C7153">
          <w:rPr>
            <w:noProof/>
            <w:webHidden/>
          </w:rPr>
          <w:fldChar w:fldCharType="separate"/>
        </w:r>
        <w:r w:rsidR="00F16802">
          <w:rPr>
            <w:noProof/>
            <w:webHidden/>
          </w:rPr>
          <w:t>20</w:t>
        </w:r>
        <w:r w:rsidR="002C7153">
          <w:rPr>
            <w:noProof/>
            <w:webHidden/>
          </w:rPr>
          <w:fldChar w:fldCharType="end"/>
        </w:r>
      </w:hyperlink>
    </w:p>
    <w:p w14:paraId="0DEB2DEC" w14:textId="77777777" w:rsidR="002C7153" w:rsidRPr="00A263C6" w:rsidRDefault="00000000">
      <w:pPr>
        <w:pStyle w:val="TOC1"/>
        <w:tabs>
          <w:tab w:val="right" w:leader="dot" w:pos="9628"/>
        </w:tabs>
        <w:rPr>
          <w:rFonts w:eastAsia="Times New Roman"/>
          <w:noProof/>
          <w:lang w:eastAsia="en-GB"/>
        </w:rPr>
      </w:pPr>
      <w:hyperlink w:anchor="_Toc115768681" w:history="1">
        <w:r w:rsidR="002C7153" w:rsidRPr="000B44FB">
          <w:rPr>
            <w:rStyle w:val="Hyperlink"/>
            <w:rFonts w:ascii="Arial" w:hAnsi="Arial" w:cs="Arial"/>
            <w:noProof/>
          </w:rPr>
          <w:t>Investment Training</w:t>
        </w:r>
        <w:r w:rsidR="002C7153">
          <w:rPr>
            <w:noProof/>
            <w:webHidden/>
          </w:rPr>
          <w:tab/>
        </w:r>
        <w:r w:rsidR="002C7153">
          <w:rPr>
            <w:noProof/>
            <w:webHidden/>
          </w:rPr>
          <w:fldChar w:fldCharType="begin"/>
        </w:r>
        <w:r w:rsidR="002C7153">
          <w:rPr>
            <w:noProof/>
            <w:webHidden/>
          </w:rPr>
          <w:instrText xml:space="preserve"> PAGEREF _Toc115768681 \h </w:instrText>
        </w:r>
        <w:r w:rsidR="002C7153">
          <w:rPr>
            <w:noProof/>
            <w:webHidden/>
          </w:rPr>
        </w:r>
        <w:r w:rsidR="002C7153">
          <w:rPr>
            <w:noProof/>
            <w:webHidden/>
          </w:rPr>
          <w:fldChar w:fldCharType="separate"/>
        </w:r>
        <w:r w:rsidR="00F16802">
          <w:rPr>
            <w:noProof/>
            <w:webHidden/>
          </w:rPr>
          <w:t>20</w:t>
        </w:r>
        <w:r w:rsidR="002C7153">
          <w:rPr>
            <w:noProof/>
            <w:webHidden/>
          </w:rPr>
          <w:fldChar w:fldCharType="end"/>
        </w:r>
      </w:hyperlink>
    </w:p>
    <w:p w14:paraId="124D76BA" w14:textId="77777777" w:rsidR="002C7153" w:rsidRPr="00A263C6" w:rsidRDefault="00000000">
      <w:pPr>
        <w:pStyle w:val="TOC2"/>
        <w:tabs>
          <w:tab w:val="right" w:leader="dot" w:pos="9628"/>
        </w:tabs>
        <w:rPr>
          <w:rFonts w:eastAsia="Times New Roman"/>
          <w:noProof/>
          <w:lang w:eastAsia="en-GB"/>
        </w:rPr>
      </w:pPr>
      <w:hyperlink w:anchor="_Toc115768682" w:history="1">
        <w:r w:rsidR="002C7153" w:rsidRPr="000B44FB">
          <w:rPr>
            <w:rStyle w:val="Hyperlink"/>
            <w:rFonts w:ascii="Arial" w:hAnsi="Arial" w:cs="Arial"/>
            <w:noProof/>
          </w:rPr>
          <w:t>Investment Advisers</w:t>
        </w:r>
        <w:r w:rsidR="002C7153">
          <w:rPr>
            <w:noProof/>
            <w:webHidden/>
          </w:rPr>
          <w:tab/>
        </w:r>
        <w:r w:rsidR="002C7153">
          <w:rPr>
            <w:noProof/>
            <w:webHidden/>
          </w:rPr>
          <w:fldChar w:fldCharType="begin"/>
        </w:r>
        <w:r w:rsidR="002C7153">
          <w:rPr>
            <w:noProof/>
            <w:webHidden/>
          </w:rPr>
          <w:instrText xml:space="preserve"> PAGEREF _Toc115768682 \h </w:instrText>
        </w:r>
        <w:r w:rsidR="002C7153">
          <w:rPr>
            <w:noProof/>
            <w:webHidden/>
          </w:rPr>
        </w:r>
        <w:r w:rsidR="002C7153">
          <w:rPr>
            <w:noProof/>
            <w:webHidden/>
          </w:rPr>
          <w:fldChar w:fldCharType="separate"/>
        </w:r>
        <w:r w:rsidR="00F16802">
          <w:rPr>
            <w:noProof/>
            <w:webHidden/>
          </w:rPr>
          <w:t>21</w:t>
        </w:r>
        <w:r w:rsidR="002C7153">
          <w:rPr>
            <w:noProof/>
            <w:webHidden/>
          </w:rPr>
          <w:fldChar w:fldCharType="end"/>
        </w:r>
      </w:hyperlink>
    </w:p>
    <w:p w14:paraId="40D075B1" w14:textId="77777777" w:rsidR="002C7153" w:rsidRPr="00A263C6" w:rsidRDefault="00000000">
      <w:pPr>
        <w:pStyle w:val="TOC1"/>
        <w:tabs>
          <w:tab w:val="right" w:leader="dot" w:pos="9628"/>
        </w:tabs>
        <w:rPr>
          <w:rFonts w:eastAsia="Times New Roman"/>
          <w:noProof/>
          <w:lang w:eastAsia="en-GB"/>
        </w:rPr>
      </w:pPr>
      <w:hyperlink w:anchor="_Toc115768683" w:history="1">
        <w:r w:rsidR="002C7153" w:rsidRPr="000B44FB">
          <w:rPr>
            <w:rStyle w:val="Hyperlink"/>
            <w:rFonts w:ascii="Arial" w:hAnsi="Arial" w:cs="Arial"/>
            <w:noProof/>
          </w:rPr>
          <w:t>Reporting</w:t>
        </w:r>
        <w:r w:rsidR="002C7153">
          <w:rPr>
            <w:noProof/>
            <w:webHidden/>
          </w:rPr>
          <w:tab/>
        </w:r>
        <w:r w:rsidR="002C7153">
          <w:rPr>
            <w:noProof/>
            <w:webHidden/>
          </w:rPr>
          <w:fldChar w:fldCharType="begin"/>
        </w:r>
        <w:r w:rsidR="002C7153">
          <w:rPr>
            <w:noProof/>
            <w:webHidden/>
          </w:rPr>
          <w:instrText xml:space="preserve"> PAGEREF _Toc115768683 \h </w:instrText>
        </w:r>
        <w:r w:rsidR="002C7153">
          <w:rPr>
            <w:noProof/>
            <w:webHidden/>
          </w:rPr>
        </w:r>
        <w:r w:rsidR="002C7153">
          <w:rPr>
            <w:noProof/>
            <w:webHidden/>
          </w:rPr>
          <w:fldChar w:fldCharType="separate"/>
        </w:r>
        <w:r w:rsidR="00F16802">
          <w:rPr>
            <w:noProof/>
            <w:webHidden/>
          </w:rPr>
          <w:t>21</w:t>
        </w:r>
        <w:r w:rsidR="002C7153">
          <w:rPr>
            <w:noProof/>
            <w:webHidden/>
          </w:rPr>
          <w:fldChar w:fldCharType="end"/>
        </w:r>
      </w:hyperlink>
    </w:p>
    <w:p w14:paraId="183FE304" w14:textId="77777777" w:rsidR="002C7153" w:rsidRPr="00A263C6" w:rsidRDefault="00000000">
      <w:pPr>
        <w:pStyle w:val="TOC2"/>
        <w:tabs>
          <w:tab w:val="right" w:leader="dot" w:pos="9628"/>
        </w:tabs>
        <w:rPr>
          <w:rFonts w:eastAsia="Times New Roman"/>
          <w:noProof/>
          <w:lang w:eastAsia="en-GB"/>
        </w:rPr>
      </w:pPr>
      <w:hyperlink w:anchor="_Toc115768684" w:history="1">
        <w:r w:rsidR="002C7153" w:rsidRPr="000B44FB">
          <w:rPr>
            <w:rStyle w:val="Hyperlink"/>
            <w:rFonts w:ascii="Arial" w:hAnsi="Arial" w:cs="Arial"/>
            <w:noProof/>
          </w:rPr>
          <w:t>Treasury investments</w:t>
        </w:r>
        <w:r w:rsidR="002C7153">
          <w:rPr>
            <w:noProof/>
            <w:webHidden/>
          </w:rPr>
          <w:tab/>
        </w:r>
        <w:r w:rsidR="002C7153">
          <w:rPr>
            <w:noProof/>
            <w:webHidden/>
          </w:rPr>
          <w:fldChar w:fldCharType="begin"/>
        </w:r>
        <w:r w:rsidR="002C7153">
          <w:rPr>
            <w:noProof/>
            <w:webHidden/>
          </w:rPr>
          <w:instrText xml:space="preserve"> PAGEREF _Toc115768684 \h </w:instrText>
        </w:r>
        <w:r w:rsidR="002C7153">
          <w:rPr>
            <w:noProof/>
            <w:webHidden/>
          </w:rPr>
        </w:r>
        <w:r w:rsidR="002C7153">
          <w:rPr>
            <w:noProof/>
            <w:webHidden/>
          </w:rPr>
          <w:fldChar w:fldCharType="separate"/>
        </w:r>
        <w:r w:rsidR="00F16802">
          <w:rPr>
            <w:noProof/>
            <w:webHidden/>
          </w:rPr>
          <w:t>21</w:t>
        </w:r>
        <w:r w:rsidR="002C7153">
          <w:rPr>
            <w:noProof/>
            <w:webHidden/>
          </w:rPr>
          <w:fldChar w:fldCharType="end"/>
        </w:r>
      </w:hyperlink>
    </w:p>
    <w:p w14:paraId="65F4D084" w14:textId="77777777" w:rsidR="002C7153" w:rsidRPr="00A263C6" w:rsidRDefault="00000000">
      <w:pPr>
        <w:pStyle w:val="TOC2"/>
        <w:tabs>
          <w:tab w:val="right" w:leader="dot" w:pos="9628"/>
        </w:tabs>
        <w:rPr>
          <w:rFonts w:eastAsia="Times New Roman"/>
          <w:noProof/>
          <w:lang w:eastAsia="en-GB"/>
        </w:rPr>
      </w:pPr>
      <w:hyperlink w:anchor="_Toc115768685" w:history="1">
        <w:r w:rsidR="002C7153" w:rsidRPr="000B44FB">
          <w:rPr>
            <w:rStyle w:val="Hyperlink"/>
            <w:rFonts w:ascii="Arial" w:hAnsi="Arial" w:cs="Arial"/>
            <w:noProof/>
          </w:rPr>
          <w:t>Other Options Considered</w:t>
        </w:r>
        <w:r w:rsidR="002C7153">
          <w:rPr>
            <w:noProof/>
            <w:webHidden/>
          </w:rPr>
          <w:tab/>
        </w:r>
        <w:r w:rsidR="002C7153">
          <w:rPr>
            <w:noProof/>
            <w:webHidden/>
          </w:rPr>
          <w:fldChar w:fldCharType="begin"/>
        </w:r>
        <w:r w:rsidR="002C7153">
          <w:rPr>
            <w:noProof/>
            <w:webHidden/>
          </w:rPr>
          <w:instrText xml:space="preserve"> PAGEREF _Toc115768685 \h </w:instrText>
        </w:r>
        <w:r w:rsidR="002C7153">
          <w:rPr>
            <w:noProof/>
            <w:webHidden/>
          </w:rPr>
        </w:r>
        <w:r w:rsidR="002C7153">
          <w:rPr>
            <w:noProof/>
            <w:webHidden/>
          </w:rPr>
          <w:fldChar w:fldCharType="separate"/>
        </w:r>
        <w:r w:rsidR="00F16802">
          <w:rPr>
            <w:noProof/>
            <w:webHidden/>
          </w:rPr>
          <w:t>22</w:t>
        </w:r>
        <w:r w:rsidR="002C7153">
          <w:rPr>
            <w:noProof/>
            <w:webHidden/>
          </w:rPr>
          <w:fldChar w:fldCharType="end"/>
        </w:r>
      </w:hyperlink>
    </w:p>
    <w:p w14:paraId="7BF03D67" w14:textId="77777777" w:rsidR="002C7153" w:rsidRPr="00A263C6" w:rsidRDefault="00000000">
      <w:pPr>
        <w:pStyle w:val="TOC1"/>
        <w:tabs>
          <w:tab w:val="right" w:leader="dot" w:pos="9628"/>
        </w:tabs>
        <w:rPr>
          <w:rFonts w:eastAsia="Times New Roman"/>
          <w:noProof/>
          <w:lang w:eastAsia="en-GB"/>
        </w:rPr>
      </w:pPr>
      <w:hyperlink w:anchor="_Toc115768686" w:history="1">
        <w:r w:rsidR="002C7153" w:rsidRPr="000B44FB">
          <w:rPr>
            <w:rStyle w:val="Hyperlink"/>
            <w:rFonts w:ascii="Arial" w:hAnsi="Arial" w:cs="Arial"/>
            <w:noProof/>
          </w:rPr>
          <w:t>Part 2 - Commercial Investments</w:t>
        </w:r>
        <w:r w:rsidR="002C7153">
          <w:rPr>
            <w:noProof/>
            <w:webHidden/>
          </w:rPr>
          <w:tab/>
        </w:r>
        <w:r w:rsidR="002C7153">
          <w:rPr>
            <w:noProof/>
            <w:webHidden/>
          </w:rPr>
          <w:fldChar w:fldCharType="begin"/>
        </w:r>
        <w:r w:rsidR="002C7153">
          <w:rPr>
            <w:noProof/>
            <w:webHidden/>
          </w:rPr>
          <w:instrText xml:space="preserve"> PAGEREF _Toc115768686 \h </w:instrText>
        </w:r>
        <w:r w:rsidR="002C7153">
          <w:rPr>
            <w:noProof/>
            <w:webHidden/>
          </w:rPr>
        </w:r>
        <w:r w:rsidR="002C7153">
          <w:rPr>
            <w:noProof/>
            <w:webHidden/>
          </w:rPr>
          <w:fldChar w:fldCharType="separate"/>
        </w:r>
        <w:r w:rsidR="00F16802">
          <w:rPr>
            <w:noProof/>
            <w:webHidden/>
          </w:rPr>
          <w:t>23</w:t>
        </w:r>
        <w:r w:rsidR="002C7153">
          <w:rPr>
            <w:noProof/>
            <w:webHidden/>
          </w:rPr>
          <w:fldChar w:fldCharType="end"/>
        </w:r>
      </w:hyperlink>
    </w:p>
    <w:p w14:paraId="4A70965F" w14:textId="77777777" w:rsidR="002C7153" w:rsidRPr="00A263C6" w:rsidRDefault="00000000">
      <w:pPr>
        <w:pStyle w:val="TOC3"/>
        <w:tabs>
          <w:tab w:val="right" w:leader="dot" w:pos="9628"/>
        </w:tabs>
        <w:rPr>
          <w:rFonts w:eastAsia="Times New Roman"/>
          <w:noProof/>
          <w:lang w:eastAsia="en-GB"/>
        </w:rPr>
      </w:pPr>
      <w:hyperlink w:anchor="_Toc115768687" w:history="1">
        <w:r w:rsidR="002C7153" w:rsidRPr="000B44FB">
          <w:rPr>
            <w:rStyle w:val="Hyperlink"/>
            <w:rFonts w:ascii="Arial" w:hAnsi="Arial" w:cs="Arial"/>
            <w:noProof/>
          </w:rPr>
          <w:t>Security</w:t>
        </w:r>
        <w:r w:rsidR="002C7153">
          <w:rPr>
            <w:noProof/>
            <w:webHidden/>
          </w:rPr>
          <w:tab/>
        </w:r>
        <w:r w:rsidR="002C7153">
          <w:rPr>
            <w:noProof/>
            <w:webHidden/>
          </w:rPr>
          <w:fldChar w:fldCharType="begin"/>
        </w:r>
        <w:r w:rsidR="002C7153">
          <w:rPr>
            <w:noProof/>
            <w:webHidden/>
          </w:rPr>
          <w:instrText xml:space="preserve"> PAGEREF _Toc115768687 \h </w:instrText>
        </w:r>
        <w:r w:rsidR="002C7153">
          <w:rPr>
            <w:noProof/>
            <w:webHidden/>
          </w:rPr>
        </w:r>
        <w:r w:rsidR="002C7153">
          <w:rPr>
            <w:noProof/>
            <w:webHidden/>
          </w:rPr>
          <w:fldChar w:fldCharType="separate"/>
        </w:r>
        <w:r w:rsidR="00F16802">
          <w:rPr>
            <w:noProof/>
            <w:webHidden/>
          </w:rPr>
          <w:t>24</w:t>
        </w:r>
        <w:r w:rsidR="002C7153">
          <w:rPr>
            <w:noProof/>
            <w:webHidden/>
          </w:rPr>
          <w:fldChar w:fldCharType="end"/>
        </w:r>
      </w:hyperlink>
    </w:p>
    <w:p w14:paraId="5C45A163" w14:textId="77777777" w:rsidR="002C7153" w:rsidRPr="00A263C6" w:rsidRDefault="00000000">
      <w:pPr>
        <w:pStyle w:val="TOC3"/>
        <w:tabs>
          <w:tab w:val="right" w:leader="dot" w:pos="9628"/>
        </w:tabs>
        <w:rPr>
          <w:rFonts w:eastAsia="Times New Roman"/>
          <w:noProof/>
          <w:lang w:eastAsia="en-GB"/>
        </w:rPr>
      </w:pPr>
      <w:hyperlink w:anchor="_Toc115768688" w:history="1">
        <w:r w:rsidR="002C7153" w:rsidRPr="000B44FB">
          <w:rPr>
            <w:rStyle w:val="Hyperlink"/>
            <w:rFonts w:ascii="Arial" w:hAnsi="Arial" w:cs="Arial"/>
            <w:noProof/>
          </w:rPr>
          <w:t>Liquidity</w:t>
        </w:r>
        <w:r w:rsidR="002C7153">
          <w:rPr>
            <w:noProof/>
            <w:webHidden/>
          </w:rPr>
          <w:tab/>
        </w:r>
        <w:r w:rsidR="002C7153">
          <w:rPr>
            <w:noProof/>
            <w:webHidden/>
          </w:rPr>
          <w:fldChar w:fldCharType="begin"/>
        </w:r>
        <w:r w:rsidR="002C7153">
          <w:rPr>
            <w:noProof/>
            <w:webHidden/>
          </w:rPr>
          <w:instrText xml:space="preserve"> PAGEREF _Toc115768688 \h </w:instrText>
        </w:r>
        <w:r w:rsidR="002C7153">
          <w:rPr>
            <w:noProof/>
            <w:webHidden/>
          </w:rPr>
        </w:r>
        <w:r w:rsidR="002C7153">
          <w:rPr>
            <w:noProof/>
            <w:webHidden/>
          </w:rPr>
          <w:fldChar w:fldCharType="separate"/>
        </w:r>
        <w:r w:rsidR="00F16802">
          <w:rPr>
            <w:noProof/>
            <w:webHidden/>
          </w:rPr>
          <w:t>25</w:t>
        </w:r>
        <w:r w:rsidR="002C7153">
          <w:rPr>
            <w:noProof/>
            <w:webHidden/>
          </w:rPr>
          <w:fldChar w:fldCharType="end"/>
        </w:r>
      </w:hyperlink>
    </w:p>
    <w:p w14:paraId="764D3BDD" w14:textId="77777777" w:rsidR="002C7153" w:rsidRPr="00A263C6" w:rsidRDefault="00000000">
      <w:pPr>
        <w:pStyle w:val="TOC2"/>
        <w:tabs>
          <w:tab w:val="right" w:leader="dot" w:pos="9628"/>
        </w:tabs>
        <w:rPr>
          <w:rFonts w:eastAsia="Times New Roman"/>
          <w:noProof/>
          <w:lang w:eastAsia="en-GB"/>
        </w:rPr>
      </w:pPr>
      <w:hyperlink w:anchor="_Toc115768689" w:history="1">
        <w:r w:rsidR="002C7153" w:rsidRPr="000B44FB">
          <w:rPr>
            <w:rStyle w:val="Hyperlink"/>
            <w:rFonts w:ascii="Arial" w:hAnsi="Arial" w:cs="Arial"/>
            <w:noProof/>
          </w:rPr>
          <w:t>Proportionality – Commercial Investments</w:t>
        </w:r>
        <w:r w:rsidR="002C7153">
          <w:rPr>
            <w:noProof/>
            <w:webHidden/>
          </w:rPr>
          <w:tab/>
        </w:r>
        <w:r w:rsidR="002C7153">
          <w:rPr>
            <w:noProof/>
            <w:webHidden/>
          </w:rPr>
          <w:fldChar w:fldCharType="begin"/>
        </w:r>
        <w:r w:rsidR="002C7153">
          <w:rPr>
            <w:noProof/>
            <w:webHidden/>
          </w:rPr>
          <w:instrText xml:space="preserve"> PAGEREF _Toc115768689 \h </w:instrText>
        </w:r>
        <w:r w:rsidR="002C7153">
          <w:rPr>
            <w:noProof/>
            <w:webHidden/>
          </w:rPr>
        </w:r>
        <w:r w:rsidR="002C7153">
          <w:rPr>
            <w:noProof/>
            <w:webHidden/>
          </w:rPr>
          <w:fldChar w:fldCharType="separate"/>
        </w:r>
        <w:r w:rsidR="00F16802">
          <w:rPr>
            <w:noProof/>
            <w:webHidden/>
          </w:rPr>
          <w:t>25</w:t>
        </w:r>
        <w:r w:rsidR="002C7153">
          <w:rPr>
            <w:noProof/>
            <w:webHidden/>
          </w:rPr>
          <w:fldChar w:fldCharType="end"/>
        </w:r>
      </w:hyperlink>
    </w:p>
    <w:p w14:paraId="0BFE7284" w14:textId="77777777" w:rsidR="002C7153" w:rsidRPr="00A263C6" w:rsidRDefault="00000000">
      <w:pPr>
        <w:pStyle w:val="TOC1"/>
        <w:tabs>
          <w:tab w:val="right" w:leader="dot" w:pos="9628"/>
        </w:tabs>
        <w:rPr>
          <w:rFonts w:eastAsia="Times New Roman"/>
          <w:noProof/>
          <w:lang w:eastAsia="en-GB"/>
        </w:rPr>
      </w:pPr>
      <w:hyperlink w:anchor="_Toc115768690" w:history="1">
        <w:r w:rsidR="002C7153" w:rsidRPr="000B44FB">
          <w:rPr>
            <w:rStyle w:val="Hyperlink"/>
            <w:rFonts w:ascii="Arial" w:hAnsi="Arial" w:cs="Arial"/>
            <w:noProof/>
          </w:rPr>
          <w:t>Part 3 - Service Investments</w:t>
        </w:r>
        <w:r w:rsidR="002C7153">
          <w:rPr>
            <w:noProof/>
            <w:webHidden/>
          </w:rPr>
          <w:tab/>
        </w:r>
        <w:r w:rsidR="002C7153">
          <w:rPr>
            <w:noProof/>
            <w:webHidden/>
          </w:rPr>
          <w:fldChar w:fldCharType="begin"/>
        </w:r>
        <w:r w:rsidR="002C7153">
          <w:rPr>
            <w:noProof/>
            <w:webHidden/>
          </w:rPr>
          <w:instrText xml:space="preserve"> PAGEREF _Toc115768690 \h </w:instrText>
        </w:r>
        <w:r w:rsidR="002C7153">
          <w:rPr>
            <w:noProof/>
            <w:webHidden/>
          </w:rPr>
        </w:r>
        <w:r w:rsidR="002C7153">
          <w:rPr>
            <w:noProof/>
            <w:webHidden/>
          </w:rPr>
          <w:fldChar w:fldCharType="separate"/>
        </w:r>
        <w:r w:rsidR="00F16802">
          <w:rPr>
            <w:noProof/>
            <w:webHidden/>
          </w:rPr>
          <w:t>26</w:t>
        </w:r>
        <w:r w:rsidR="002C7153">
          <w:rPr>
            <w:noProof/>
            <w:webHidden/>
          </w:rPr>
          <w:fldChar w:fldCharType="end"/>
        </w:r>
      </w:hyperlink>
    </w:p>
    <w:p w14:paraId="3B7BF4B7" w14:textId="77777777" w:rsidR="002C7153" w:rsidRPr="00A263C6" w:rsidRDefault="00000000">
      <w:pPr>
        <w:pStyle w:val="TOC2"/>
        <w:tabs>
          <w:tab w:val="right" w:leader="dot" w:pos="9628"/>
        </w:tabs>
        <w:rPr>
          <w:rFonts w:eastAsia="Times New Roman"/>
          <w:noProof/>
          <w:lang w:eastAsia="en-GB"/>
        </w:rPr>
      </w:pPr>
      <w:hyperlink w:anchor="_Toc115768691" w:history="1">
        <w:r w:rsidR="002C7153" w:rsidRPr="000B44FB">
          <w:rPr>
            <w:rStyle w:val="Hyperlink"/>
            <w:rFonts w:ascii="Arial" w:hAnsi="Arial" w:cs="Arial"/>
            <w:noProof/>
          </w:rPr>
          <w:t>Governance and suitability</w:t>
        </w:r>
        <w:r w:rsidR="002C7153">
          <w:rPr>
            <w:noProof/>
            <w:webHidden/>
          </w:rPr>
          <w:tab/>
        </w:r>
        <w:r w:rsidR="002C7153">
          <w:rPr>
            <w:noProof/>
            <w:webHidden/>
          </w:rPr>
          <w:fldChar w:fldCharType="begin"/>
        </w:r>
        <w:r w:rsidR="002C7153">
          <w:rPr>
            <w:noProof/>
            <w:webHidden/>
          </w:rPr>
          <w:instrText xml:space="preserve"> PAGEREF _Toc115768691 \h </w:instrText>
        </w:r>
        <w:r w:rsidR="002C7153">
          <w:rPr>
            <w:noProof/>
            <w:webHidden/>
          </w:rPr>
        </w:r>
        <w:r w:rsidR="002C7153">
          <w:rPr>
            <w:noProof/>
            <w:webHidden/>
          </w:rPr>
          <w:fldChar w:fldCharType="separate"/>
        </w:r>
        <w:r w:rsidR="00F16802">
          <w:rPr>
            <w:noProof/>
            <w:webHidden/>
          </w:rPr>
          <w:t>27</w:t>
        </w:r>
        <w:r w:rsidR="002C7153">
          <w:rPr>
            <w:noProof/>
            <w:webHidden/>
          </w:rPr>
          <w:fldChar w:fldCharType="end"/>
        </w:r>
      </w:hyperlink>
    </w:p>
    <w:p w14:paraId="1D67E441" w14:textId="77777777" w:rsidR="002C7153" w:rsidRPr="00A263C6" w:rsidRDefault="00000000">
      <w:pPr>
        <w:pStyle w:val="TOC2"/>
        <w:tabs>
          <w:tab w:val="right" w:leader="dot" w:pos="9628"/>
        </w:tabs>
        <w:rPr>
          <w:rFonts w:eastAsia="Times New Roman"/>
          <w:noProof/>
          <w:lang w:eastAsia="en-GB"/>
        </w:rPr>
      </w:pPr>
      <w:hyperlink w:anchor="_Toc115768692" w:history="1">
        <w:r w:rsidR="002C7153" w:rsidRPr="000B44FB">
          <w:rPr>
            <w:rStyle w:val="Hyperlink"/>
            <w:rFonts w:ascii="Arial" w:hAnsi="Arial" w:cs="Arial"/>
            <w:noProof/>
          </w:rPr>
          <w:t>Approved Service Investments</w:t>
        </w:r>
        <w:r w:rsidR="002C7153">
          <w:rPr>
            <w:noProof/>
            <w:webHidden/>
          </w:rPr>
          <w:tab/>
        </w:r>
        <w:r w:rsidR="002C7153">
          <w:rPr>
            <w:noProof/>
            <w:webHidden/>
          </w:rPr>
          <w:fldChar w:fldCharType="begin"/>
        </w:r>
        <w:r w:rsidR="002C7153">
          <w:rPr>
            <w:noProof/>
            <w:webHidden/>
          </w:rPr>
          <w:instrText xml:space="preserve"> PAGEREF _Toc115768692 \h </w:instrText>
        </w:r>
        <w:r w:rsidR="002C7153">
          <w:rPr>
            <w:noProof/>
            <w:webHidden/>
          </w:rPr>
        </w:r>
        <w:r w:rsidR="002C7153">
          <w:rPr>
            <w:noProof/>
            <w:webHidden/>
          </w:rPr>
          <w:fldChar w:fldCharType="separate"/>
        </w:r>
        <w:r w:rsidR="00F16802">
          <w:rPr>
            <w:noProof/>
            <w:webHidden/>
          </w:rPr>
          <w:t>28</w:t>
        </w:r>
        <w:r w:rsidR="002C7153">
          <w:rPr>
            <w:noProof/>
            <w:webHidden/>
          </w:rPr>
          <w:fldChar w:fldCharType="end"/>
        </w:r>
      </w:hyperlink>
    </w:p>
    <w:p w14:paraId="35AC47F0" w14:textId="77777777" w:rsidR="002C7153" w:rsidRPr="00A263C6" w:rsidRDefault="00000000">
      <w:pPr>
        <w:pStyle w:val="TOC2"/>
        <w:tabs>
          <w:tab w:val="right" w:leader="dot" w:pos="9628"/>
        </w:tabs>
        <w:rPr>
          <w:rFonts w:eastAsia="Times New Roman"/>
          <w:noProof/>
          <w:lang w:eastAsia="en-GB"/>
        </w:rPr>
      </w:pPr>
      <w:hyperlink w:anchor="_Toc115768693" w:history="1">
        <w:r w:rsidR="002C7153" w:rsidRPr="000B44FB">
          <w:rPr>
            <w:rStyle w:val="Hyperlink"/>
            <w:rFonts w:ascii="Arial" w:hAnsi="Arial" w:cs="Arial"/>
            <w:noProof/>
          </w:rPr>
          <w:t>Risk Management</w:t>
        </w:r>
        <w:r w:rsidR="002C7153">
          <w:rPr>
            <w:noProof/>
            <w:webHidden/>
          </w:rPr>
          <w:tab/>
        </w:r>
        <w:r w:rsidR="002C7153">
          <w:rPr>
            <w:noProof/>
            <w:webHidden/>
          </w:rPr>
          <w:fldChar w:fldCharType="begin"/>
        </w:r>
        <w:r w:rsidR="002C7153">
          <w:rPr>
            <w:noProof/>
            <w:webHidden/>
          </w:rPr>
          <w:instrText xml:space="preserve"> PAGEREF _Toc115768693 \h </w:instrText>
        </w:r>
        <w:r w:rsidR="002C7153">
          <w:rPr>
            <w:noProof/>
            <w:webHidden/>
          </w:rPr>
        </w:r>
        <w:r w:rsidR="002C7153">
          <w:rPr>
            <w:noProof/>
            <w:webHidden/>
          </w:rPr>
          <w:fldChar w:fldCharType="separate"/>
        </w:r>
        <w:r w:rsidR="00F16802">
          <w:rPr>
            <w:noProof/>
            <w:webHidden/>
          </w:rPr>
          <w:t>28</w:t>
        </w:r>
        <w:r w:rsidR="002C7153">
          <w:rPr>
            <w:noProof/>
            <w:webHidden/>
          </w:rPr>
          <w:fldChar w:fldCharType="end"/>
        </w:r>
      </w:hyperlink>
    </w:p>
    <w:p w14:paraId="2D50901D" w14:textId="77777777" w:rsidR="002C7153" w:rsidRPr="00A263C6" w:rsidRDefault="00000000">
      <w:pPr>
        <w:pStyle w:val="TOC2"/>
        <w:tabs>
          <w:tab w:val="right" w:leader="dot" w:pos="9628"/>
        </w:tabs>
        <w:rPr>
          <w:rFonts w:eastAsia="Times New Roman"/>
          <w:noProof/>
          <w:lang w:eastAsia="en-GB"/>
        </w:rPr>
      </w:pPr>
      <w:hyperlink w:anchor="_Toc115768695" w:history="1">
        <w:r w:rsidR="002C7153" w:rsidRPr="000B44FB">
          <w:rPr>
            <w:rStyle w:val="Hyperlink"/>
            <w:rFonts w:ascii="Arial" w:hAnsi="Arial" w:cs="Arial"/>
            <w:noProof/>
          </w:rPr>
          <w:t>Proportionality – Service investments</w:t>
        </w:r>
        <w:r w:rsidR="002C7153">
          <w:rPr>
            <w:noProof/>
            <w:webHidden/>
          </w:rPr>
          <w:tab/>
        </w:r>
        <w:r w:rsidR="002C7153">
          <w:rPr>
            <w:noProof/>
            <w:webHidden/>
          </w:rPr>
          <w:fldChar w:fldCharType="begin"/>
        </w:r>
        <w:r w:rsidR="002C7153">
          <w:rPr>
            <w:noProof/>
            <w:webHidden/>
          </w:rPr>
          <w:instrText xml:space="preserve"> PAGEREF _Toc115768695 \h </w:instrText>
        </w:r>
        <w:r w:rsidR="002C7153">
          <w:rPr>
            <w:noProof/>
            <w:webHidden/>
          </w:rPr>
        </w:r>
        <w:r w:rsidR="002C7153">
          <w:rPr>
            <w:noProof/>
            <w:webHidden/>
          </w:rPr>
          <w:fldChar w:fldCharType="separate"/>
        </w:r>
        <w:r w:rsidR="00F16802">
          <w:rPr>
            <w:noProof/>
            <w:webHidden/>
          </w:rPr>
          <w:t>29</w:t>
        </w:r>
        <w:r w:rsidR="002C7153">
          <w:rPr>
            <w:noProof/>
            <w:webHidden/>
          </w:rPr>
          <w:fldChar w:fldCharType="end"/>
        </w:r>
      </w:hyperlink>
    </w:p>
    <w:p w14:paraId="06B57EC8" w14:textId="77777777" w:rsidR="002C7153" w:rsidRPr="00A263C6" w:rsidRDefault="00000000">
      <w:pPr>
        <w:pStyle w:val="TOC1"/>
        <w:tabs>
          <w:tab w:val="right" w:leader="dot" w:pos="9628"/>
        </w:tabs>
        <w:rPr>
          <w:rFonts w:eastAsia="Times New Roman"/>
          <w:noProof/>
          <w:lang w:eastAsia="en-GB"/>
        </w:rPr>
      </w:pPr>
      <w:hyperlink w:anchor="_Toc115768696" w:history="1">
        <w:r w:rsidR="002C7153" w:rsidRPr="000B44FB">
          <w:rPr>
            <w:rStyle w:val="Hyperlink"/>
            <w:rFonts w:ascii="Arial" w:hAnsi="Arial" w:cs="Arial"/>
            <w:noProof/>
          </w:rPr>
          <w:t>Part 4 - Non-Specified Investments</w:t>
        </w:r>
        <w:r w:rsidR="002C7153">
          <w:rPr>
            <w:noProof/>
            <w:webHidden/>
          </w:rPr>
          <w:tab/>
        </w:r>
        <w:r w:rsidR="002C7153">
          <w:rPr>
            <w:noProof/>
            <w:webHidden/>
          </w:rPr>
          <w:fldChar w:fldCharType="begin"/>
        </w:r>
        <w:r w:rsidR="002C7153">
          <w:rPr>
            <w:noProof/>
            <w:webHidden/>
          </w:rPr>
          <w:instrText xml:space="preserve"> PAGEREF _Toc115768696 \h </w:instrText>
        </w:r>
        <w:r w:rsidR="002C7153">
          <w:rPr>
            <w:noProof/>
            <w:webHidden/>
          </w:rPr>
        </w:r>
        <w:r w:rsidR="002C7153">
          <w:rPr>
            <w:noProof/>
            <w:webHidden/>
          </w:rPr>
          <w:fldChar w:fldCharType="separate"/>
        </w:r>
        <w:r w:rsidR="00F16802">
          <w:rPr>
            <w:noProof/>
            <w:webHidden/>
          </w:rPr>
          <w:t>30</w:t>
        </w:r>
        <w:r w:rsidR="002C7153">
          <w:rPr>
            <w:noProof/>
            <w:webHidden/>
          </w:rPr>
          <w:fldChar w:fldCharType="end"/>
        </w:r>
      </w:hyperlink>
    </w:p>
    <w:p w14:paraId="7BCD74C0" w14:textId="77777777" w:rsidR="000300AF" w:rsidRPr="00E1158E" w:rsidRDefault="000300AF" w:rsidP="007F3B5B">
      <w:pPr>
        <w:rPr>
          <w:rFonts w:ascii="Arial" w:hAnsi="Arial" w:cs="Arial"/>
          <w:b/>
          <w:bCs/>
          <w:noProof/>
        </w:rPr>
      </w:pPr>
      <w:r w:rsidRPr="00E1158E">
        <w:rPr>
          <w:rFonts w:ascii="Arial" w:hAnsi="Arial" w:cs="Arial"/>
          <w:b/>
          <w:bCs/>
          <w:noProof/>
        </w:rPr>
        <w:fldChar w:fldCharType="end"/>
      </w:r>
    </w:p>
    <w:p w14:paraId="1404EF80" w14:textId="77777777" w:rsidR="006D4CF1" w:rsidRPr="00E1158E" w:rsidRDefault="006D4CF1" w:rsidP="007F3B5B">
      <w:pPr>
        <w:rPr>
          <w:rFonts w:ascii="Arial" w:hAnsi="Arial" w:cs="Arial"/>
          <w:b/>
          <w:bCs/>
          <w:noProof/>
        </w:rPr>
      </w:pPr>
    </w:p>
    <w:p w14:paraId="1C64BDD2" w14:textId="77777777" w:rsidR="006D4CF1" w:rsidRPr="00E1158E" w:rsidRDefault="006D4CF1" w:rsidP="007F3B5B">
      <w:pPr>
        <w:rPr>
          <w:rFonts w:ascii="Arial" w:hAnsi="Arial" w:cs="Arial"/>
          <w:b/>
          <w:bCs/>
          <w:noProof/>
        </w:rPr>
      </w:pPr>
    </w:p>
    <w:p w14:paraId="5FD2DD3B" w14:textId="77777777" w:rsidR="006D4CF1" w:rsidRPr="00E1158E" w:rsidRDefault="006D4CF1" w:rsidP="007F3B5B">
      <w:pPr>
        <w:rPr>
          <w:rFonts w:ascii="Arial" w:hAnsi="Arial" w:cs="Arial"/>
          <w:b/>
          <w:bCs/>
          <w:noProof/>
        </w:rPr>
      </w:pPr>
    </w:p>
    <w:p w14:paraId="377E0643" w14:textId="77777777" w:rsidR="000300AF" w:rsidRPr="00E1158E" w:rsidRDefault="000300AF" w:rsidP="007F3B5B">
      <w:pPr>
        <w:rPr>
          <w:rFonts w:ascii="Arial" w:hAnsi="Arial" w:cs="Arial"/>
          <w:b/>
          <w:bCs/>
          <w:sz w:val="24"/>
          <w:szCs w:val="24"/>
        </w:rPr>
      </w:pPr>
    </w:p>
    <w:p w14:paraId="78C30C68" w14:textId="77777777" w:rsidR="00940DF6" w:rsidRPr="00E1158E" w:rsidRDefault="000300AF" w:rsidP="007F3B5B">
      <w:pPr>
        <w:rPr>
          <w:rFonts w:ascii="Arial" w:hAnsi="Arial" w:cs="Arial"/>
          <w:b/>
          <w:bCs/>
          <w:sz w:val="24"/>
          <w:szCs w:val="24"/>
        </w:rPr>
      </w:pPr>
      <w:r w:rsidRPr="00E1158E">
        <w:rPr>
          <w:rFonts w:ascii="Arial" w:hAnsi="Arial" w:cs="Arial"/>
          <w:b/>
          <w:bCs/>
          <w:sz w:val="24"/>
          <w:szCs w:val="24"/>
        </w:rPr>
        <w:br w:type="page"/>
      </w:r>
    </w:p>
    <w:p w14:paraId="6DBFEA57" w14:textId="77777777" w:rsidR="008E75BB" w:rsidRPr="002538DB" w:rsidRDefault="008E75BB" w:rsidP="007F3B5B">
      <w:pPr>
        <w:rPr>
          <w:rFonts w:ascii="Arial" w:hAnsi="Arial" w:cs="Arial"/>
          <w:b/>
          <w:bCs/>
          <w:color w:val="000000"/>
          <w:sz w:val="28"/>
          <w:szCs w:val="28"/>
        </w:rPr>
      </w:pPr>
      <w:r w:rsidRPr="002538DB">
        <w:rPr>
          <w:rFonts w:ascii="Arial" w:hAnsi="Arial" w:cs="Arial"/>
          <w:b/>
          <w:bCs/>
          <w:color w:val="000000"/>
          <w:sz w:val="28"/>
          <w:szCs w:val="28"/>
        </w:rPr>
        <w:lastRenderedPageBreak/>
        <w:t>Treasury Management Policy Statement, Treasury Management Strategy Statement and Ann</w:t>
      </w:r>
      <w:r w:rsidR="004467DF" w:rsidRPr="002538DB">
        <w:rPr>
          <w:rFonts w:ascii="Arial" w:hAnsi="Arial" w:cs="Arial"/>
          <w:b/>
          <w:bCs/>
          <w:color w:val="000000"/>
          <w:sz w:val="28"/>
          <w:szCs w:val="28"/>
        </w:rPr>
        <w:t>ual Investment Strategy for 20</w:t>
      </w:r>
      <w:r w:rsidR="00681B02" w:rsidRPr="002538DB">
        <w:rPr>
          <w:rFonts w:ascii="Arial" w:hAnsi="Arial" w:cs="Arial"/>
          <w:b/>
          <w:bCs/>
          <w:color w:val="000000"/>
          <w:sz w:val="28"/>
          <w:szCs w:val="28"/>
        </w:rPr>
        <w:t>2</w:t>
      </w:r>
      <w:r w:rsidR="00C31300">
        <w:rPr>
          <w:rFonts w:ascii="Arial" w:hAnsi="Arial" w:cs="Arial"/>
          <w:b/>
          <w:bCs/>
          <w:color w:val="000000"/>
          <w:sz w:val="28"/>
          <w:szCs w:val="28"/>
        </w:rPr>
        <w:t>4</w:t>
      </w:r>
      <w:r w:rsidR="00921684">
        <w:rPr>
          <w:rFonts w:ascii="Arial" w:hAnsi="Arial" w:cs="Arial"/>
          <w:b/>
          <w:bCs/>
          <w:color w:val="000000"/>
          <w:sz w:val="28"/>
          <w:szCs w:val="28"/>
        </w:rPr>
        <w:t>/</w:t>
      </w:r>
      <w:r w:rsidR="00681B02" w:rsidRPr="002538DB">
        <w:rPr>
          <w:rFonts w:ascii="Arial" w:hAnsi="Arial" w:cs="Arial"/>
          <w:b/>
          <w:bCs/>
          <w:color w:val="000000"/>
          <w:sz w:val="28"/>
          <w:szCs w:val="28"/>
        </w:rPr>
        <w:t>2</w:t>
      </w:r>
      <w:r w:rsidR="00C31300">
        <w:rPr>
          <w:rFonts w:ascii="Arial" w:hAnsi="Arial" w:cs="Arial"/>
          <w:b/>
          <w:bCs/>
          <w:color w:val="000000"/>
          <w:sz w:val="28"/>
          <w:szCs w:val="28"/>
        </w:rPr>
        <w:t>5</w:t>
      </w:r>
    </w:p>
    <w:p w14:paraId="768DEF7B" w14:textId="77777777" w:rsidR="00A57DC9" w:rsidRDefault="00A57DC9" w:rsidP="007F3B5B">
      <w:pPr>
        <w:pStyle w:val="Heading1"/>
        <w:rPr>
          <w:rFonts w:ascii="Arial" w:hAnsi="Arial" w:cs="Arial"/>
          <w:color w:val="auto"/>
        </w:rPr>
      </w:pPr>
      <w:bookmarkStart w:id="0" w:name="_Toc115768658"/>
      <w:r>
        <w:rPr>
          <w:rFonts w:ascii="Arial" w:hAnsi="Arial" w:cs="Arial"/>
          <w:color w:val="auto"/>
        </w:rPr>
        <w:t xml:space="preserve">Part 1: </w:t>
      </w:r>
      <w:r w:rsidR="001F1C01" w:rsidRPr="002538DB">
        <w:rPr>
          <w:rFonts w:ascii="Arial" w:hAnsi="Arial" w:cs="Arial"/>
          <w:color w:val="auto"/>
        </w:rPr>
        <w:t>Treasury</w:t>
      </w:r>
      <w:r>
        <w:rPr>
          <w:rFonts w:ascii="Arial" w:hAnsi="Arial" w:cs="Arial"/>
          <w:color w:val="auto"/>
        </w:rPr>
        <w:t xml:space="preserve"> Investments</w:t>
      </w:r>
      <w:bookmarkEnd w:id="0"/>
      <w:r w:rsidR="001F1C01" w:rsidRPr="002538DB">
        <w:rPr>
          <w:rFonts w:ascii="Arial" w:hAnsi="Arial" w:cs="Arial"/>
          <w:color w:val="auto"/>
        </w:rPr>
        <w:t xml:space="preserve"> </w:t>
      </w:r>
    </w:p>
    <w:p w14:paraId="3E2946D5" w14:textId="77777777" w:rsidR="001F1C01" w:rsidRPr="002538DB" w:rsidRDefault="00A57DC9" w:rsidP="007F3B5B">
      <w:pPr>
        <w:pStyle w:val="Heading1"/>
        <w:rPr>
          <w:rFonts w:ascii="Arial" w:hAnsi="Arial" w:cs="Arial"/>
          <w:color w:val="auto"/>
        </w:rPr>
      </w:pPr>
      <w:bookmarkStart w:id="1" w:name="_Toc115768659"/>
      <w:r>
        <w:rPr>
          <w:rFonts w:ascii="Arial" w:hAnsi="Arial" w:cs="Arial"/>
          <w:color w:val="auto"/>
        </w:rPr>
        <w:t xml:space="preserve">Treasury Management </w:t>
      </w:r>
      <w:r w:rsidR="001F1C01" w:rsidRPr="002538DB">
        <w:rPr>
          <w:rFonts w:ascii="Arial" w:hAnsi="Arial" w:cs="Arial"/>
          <w:color w:val="auto"/>
        </w:rPr>
        <w:t>Policy Statement</w:t>
      </w:r>
      <w:bookmarkEnd w:id="1"/>
      <w:r w:rsidR="008448EF" w:rsidRPr="002538DB">
        <w:rPr>
          <w:rFonts w:ascii="Arial" w:hAnsi="Arial" w:cs="Arial"/>
          <w:color w:val="auto"/>
        </w:rPr>
        <w:br/>
      </w:r>
    </w:p>
    <w:p w14:paraId="508F2AAD" w14:textId="77777777" w:rsidR="008448EF" w:rsidRPr="000C5377" w:rsidRDefault="008448EF" w:rsidP="007F3B5B">
      <w:pPr>
        <w:pStyle w:val="ListParagraph"/>
        <w:pBdr>
          <w:top w:val="single" w:sz="4" w:space="1" w:color="auto"/>
          <w:left w:val="single" w:sz="4" w:space="4" w:color="auto"/>
          <w:bottom w:val="single" w:sz="4" w:space="1" w:color="auto"/>
          <w:right w:val="single" w:sz="4" w:space="4" w:color="auto"/>
        </w:pBdr>
        <w:shd w:val="clear" w:color="auto" w:fill="D9D9D9"/>
        <w:ind w:left="0"/>
        <w:contextualSpacing w:val="0"/>
        <w:rPr>
          <w:rFonts w:ascii="Arial" w:hAnsi="Arial" w:cs="Arial"/>
          <w:bCs/>
          <w:color w:val="000000"/>
          <w:sz w:val="24"/>
          <w:szCs w:val="24"/>
        </w:rPr>
      </w:pPr>
      <w:r w:rsidRPr="000C5377">
        <w:rPr>
          <w:rFonts w:ascii="Arial" w:hAnsi="Arial" w:cs="Arial"/>
          <w:bCs/>
          <w:color w:val="000000"/>
          <w:sz w:val="24"/>
          <w:szCs w:val="24"/>
        </w:rPr>
        <w:t xml:space="preserve">Treasury </w:t>
      </w:r>
      <w:r w:rsidR="00C135E3">
        <w:rPr>
          <w:rFonts w:ascii="Arial" w:hAnsi="Arial" w:cs="Arial"/>
          <w:bCs/>
          <w:color w:val="000000"/>
          <w:sz w:val="24"/>
          <w:szCs w:val="24"/>
        </w:rPr>
        <w:t>m</w:t>
      </w:r>
      <w:r w:rsidRPr="000C5377">
        <w:rPr>
          <w:rFonts w:ascii="Arial" w:hAnsi="Arial" w:cs="Arial"/>
          <w:bCs/>
          <w:color w:val="000000"/>
          <w:sz w:val="24"/>
          <w:szCs w:val="24"/>
        </w:rPr>
        <w:t>anagement within the Council is undertaken in accordance with the CIPFA Code of Practice for Treasury Management in the Public Services</w:t>
      </w:r>
      <w:r w:rsidR="004F7B57">
        <w:rPr>
          <w:rFonts w:ascii="Arial" w:hAnsi="Arial" w:cs="Arial"/>
          <w:bCs/>
          <w:color w:val="000000"/>
          <w:sz w:val="24"/>
          <w:szCs w:val="24"/>
        </w:rPr>
        <w:t xml:space="preserve"> and statutory guidance issued by the Department for Levelling Up, Housing and Communities.</w:t>
      </w:r>
    </w:p>
    <w:p w14:paraId="1F650BC3" w14:textId="77777777" w:rsidR="006A10BE" w:rsidRPr="000C5377" w:rsidRDefault="006A10BE" w:rsidP="007F3B5B">
      <w:pPr>
        <w:pStyle w:val="ListParagraph"/>
        <w:pBdr>
          <w:top w:val="single" w:sz="4" w:space="1" w:color="auto"/>
          <w:left w:val="single" w:sz="4" w:space="4" w:color="auto"/>
          <w:bottom w:val="single" w:sz="4" w:space="1" w:color="auto"/>
          <w:right w:val="single" w:sz="4" w:space="4" w:color="auto"/>
        </w:pBdr>
        <w:shd w:val="clear" w:color="auto" w:fill="D9D9D9"/>
        <w:ind w:left="0"/>
        <w:contextualSpacing w:val="0"/>
        <w:rPr>
          <w:rFonts w:ascii="Arial" w:hAnsi="Arial" w:cs="Arial"/>
          <w:bCs/>
          <w:color w:val="000000"/>
          <w:sz w:val="24"/>
          <w:szCs w:val="24"/>
        </w:rPr>
      </w:pPr>
      <w:r w:rsidRPr="000C5377">
        <w:rPr>
          <w:rFonts w:ascii="Arial" w:hAnsi="Arial" w:cs="Arial"/>
          <w:bCs/>
          <w:color w:val="000000"/>
          <w:sz w:val="24"/>
          <w:szCs w:val="24"/>
        </w:rPr>
        <w:t>The Council</w:t>
      </w:r>
      <w:r w:rsidR="001F1C01" w:rsidRPr="000C5377">
        <w:rPr>
          <w:rFonts w:ascii="Arial" w:hAnsi="Arial" w:cs="Arial"/>
          <w:bCs/>
          <w:color w:val="000000"/>
          <w:sz w:val="24"/>
          <w:szCs w:val="24"/>
        </w:rPr>
        <w:t xml:space="preserve"> defines </w:t>
      </w:r>
      <w:r w:rsidR="00C135E3">
        <w:rPr>
          <w:rFonts w:ascii="Arial" w:hAnsi="Arial" w:cs="Arial"/>
          <w:bCs/>
          <w:color w:val="000000"/>
          <w:sz w:val="24"/>
          <w:szCs w:val="24"/>
        </w:rPr>
        <w:t>t</w:t>
      </w:r>
      <w:r w:rsidR="001F1C01" w:rsidRPr="000C5377">
        <w:rPr>
          <w:rFonts w:ascii="Arial" w:hAnsi="Arial" w:cs="Arial"/>
          <w:bCs/>
          <w:color w:val="000000"/>
          <w:sz w:val="24"/>
          <w:szCs w:val="24"/>
        </w:rPr>
        <w:t xml:space="preserve">reasury </w:t>
      </w:r>
      <w:r w:rsidR="00C135E3">
        <w:rPr>
          <w:rFonts w:ascii="Arial" w:hAnsi="Arial" w:cs="Arial"/>
          <w:bCs/>
          <w:color w:val="000000"/>
          <w:sz w:val="24"/>
          <w:szCs w:val="24"/>
        </w:rPr>
        <w:t>m</w:t>
      </w:r>
      <w:r w:rsidR="001F1C01" w:rsidRPr="000C5377">
        <w:rPr>
          <w:rFonts w:ascii="Arial" w:hAnsi="Arial" w:cs="Arial"/>
          <w:bCs/>
          <w:color w:val="000000"/>
          <w:sz w:val="24"/>
          <w:szCs w:val="24"/>
        </w:rPr>
        <w:t>anagement as</w:t>
      </w:r>
      <w:r w:rsidRPr="000C5377">
        <w:rPr>
          <w:rFonts w:ascii="Arial" w:hAnsi="Arial" w:cs="Arial"/>
          <w:bCs/>
          <w:color w:val="000000"/>
          <w:sz w:val="24"/>
          <w:szCs w:val="24"/>
        </w:rPr>
        <w:t>:</w:t>
      </w:r>
      <w:r w:rsidR="00A32E7E" w:rsidRPr="000C5377">
        <w:rPr>
          <w:rFonts w:ascii="Arial" w:hAnsi="Arial" w:cs="Arial"/>
          <w:bCs/>
          <w:color w:val="000000"/>
          <w:sz w:val="24"/>
          <w:szCs w:val="24"/>
        </w:rPr>
        <w:t xml:space="preserve"> </w:t>
      </w:r>
    </w:p>
    <w:p w14:paraId="0280F450" w14:textId="77777777" w:rsidR="00A32E7E" w:rsidRDefault="006A10BE" w:rsidP="007F3B5B">
      <w:pPr>
        <w:pStyle w:val="ListParagraph"/>
        <w:pBdr>
          <w:top w:val="single" w:sz="4" w:space="1" w:color="auto"/>
          <w:left w:val="single" w:sz="4" w:space="4" w:color="auto"/>
          <w:bottom w:val="single" w:sz="4" w:space="1" w:color="auto"/>
          <w:right w:val="single" w:sz="4" w:space="4" w:color="auto"/>
        </w:pBdr>
        <w:shd w:val="clear" w:color="auto" w:fill="D9D9D9"/>
        <w:ind w:left="0"/>
        <w:contextualSpacing w:val="0"/>
        <w:rPr>
          <w:rFonts w:ascii="Arial" w:hAnsi="Arial" w:cs="Arial"/>
          <w:bCs/>
          <w:color w:val="000000"/>
          <w:sz w:val="24"/>
          <w:szCs w:val="24"/>
        </w:rPr>
      </w:pPr>
      <w:r w:rsidRPr="000C5377">
        <w:rPr>
          <w:rFonts w:ascii="Arial" w:hAnsi="Arial" w:cs="Arial"/>
          <w:bCs/>
          <w:color w:val="000000"/>
          <w:sz w:val="24"/>
          <w:szCs w:val="24"/>
        </w:rPr>
        <w:t>“</w:t>
      </w:r>
      <w:r w:rsidR="0068003E" w:rsidRPr="000C5377">
        <w:rPr>
          <w:rFonts w:ascii="Arial" w:hAnsi="Arial" w:cs="Arial"/>
          <w:bCs/>
          <w:color w:val="000000"/>
          <w:sz w:val="24"/>
          <w:szCs w:val="24"/>
        </w:rPr>
        <w:t>T</w:t>
      </w:r>
      <w:r w:rsidR="001F1C01" w:rsidRPr="000C5377">
        <w:rPr>
          <w:rFonts w:ascii="Arial" w:hAnsi="Arial" w:cs="Arial"/>
          <w:bCs/>
          <w:color w:val="000000"/>
          <w:sz w:val="24"/>
          <w:szCs w:val="24"/>
        </w:rPr>
        <w:t xml:space="preserve">he management of the organisation’s </w:t>
      </w:r>
      <w:r w:rsidR="00CE258F" w:rsidRPr="004F7B57">
        <w:rPr>
          <w:rFonts w:ascii="Arial" w:hAnsi="Arial" w:cs="Arial"/>
          <w:bCs/>
          <w:color w:val="000000"/>
          <w:sz w:val="24"/>
          <w:szCs w:val="24"/>
        </w:rPr>
        <w:t xml:space="preserve">borrowing, </w:t>
      </w:r>
      <w:r w:rsidR="001F1C01" w:rsidRPr="009468AE">
        <w:rPr>
          <w:rFonts w:ascii="Arial" w:hAnsi="Arial" w:cs="Arial"/>
          <w:bCs/>
          <w:color w:val="000000"/>
          <w:sz w:val="24"/>
          <w:szCs w:val="24"/>
        </w:rPr>
        <w:t>financial</w:t>
      </w:r>
      <w:r w:rsidR="001F1C01" w:rsidRPr="000C5377">
        <w:rPr>
          <w:rFonts w:ascii="Arial" w:hAnsi="Arial" w:cs="Arial"/>
          <w:bCs/>
          <w:color w:val="000000"/>
          <w:sz w:val="24"/>
          <w:szCs w:val="24"/>
        </w:rPr>
        <w:t xml:space="preserve"> investments and cash flows, its banking, money market and capital market transactions; the effective control of the risks associated with those activities; and the pursuit of optimum performance consistent with those risks.</w:t>
      </w:r>
      <w:r w:rsidRPr="000C5377">
        <w:rPr>
          <w:rFonts w:ascii="Arial" w:hAnsi="Arial" w:cs="Arial"/>
          <w:bCs/>
          <w:color w:val="000000"/>
          <w:sz w:val="24"/>
          <w:szCs w:val="24"/>
        </w:rPr>
        <w:t>”</w:t>
      </w:r>
    </w:p>
    <w:p w14:paraId="28294495" w14:textId="77777777" w:rsidR="00CE258F" w:rsidRDefault="00CE258F" w:rsidP="007F3B5B">
      <w:pPr>
        <w:pStyle w:val="ListParagraph"/>
        <w:pBdr>
          <w:top w:val="single" w:sz="4" w:space="1" w:color="auto"/>
          <w:left w:val="single" w:sz="4" w:space="4" w:color="auto"/>
          <w:bottom w:val="single" w:sz="4" w:space="1" w:color="auto"/>
          <w:right w:val="single" w:sz="4" w:space="4" w:color="auto"/>
        </w:pBdr>
        <w:shd w:val="clear" w:color="auto" w:fill="D9D9D9"/>
        <w:ind w:left="0"/>
        <w:contextualSpacing w:val="0"/>
        <w:rPr>
          <w:rFonts w:ascii="Arial" w:hAnsi="Arial" w:cs="Arial"/>
          <w:bCs/>
          <w:color w:val="000000"/>
          <w:sz w:val="24"/>
          <w:szCs w:val="24"/>
        </w:rPr>
      </w:pPr>
      <w:r w:rsidRPr="00CE258F">
        <w:rPr>
          <w:rFonts w:ascii="Arial" w:hAnsi="Arial" w:cs="Arial"/>
          <w:bCs/>
          <w:color w:val="000000"/>
          <w:sz w:val="24"/>
          <w:szCs w:val="24"/>
        </w:rPr>
        <w:t xml:space="preserve">The Council regards the successful identification, monitoring and control of risk to be the prime criteria by which the effectiveness of its treasury management activities will be measured. The analysis and reporting of treasury management activities will focus on their risk implications for the organisation, and any financial instruments </w:t>
      </w:r>
      <w:r w:rsidR="004F7B57" w:rsidRPr="00CE258F">
        <w:rPr>
          <w:rFonts w:ascii="Arial" w:hAnsi="Arial" w:cs="Arial"/>
          <w:bCs/>
          <w:color w:val="000000"/>
          <w:sz w:val="24"/>
          <w:szCs w:val="24"/>
        </w:rPr>
        <w:t>entered</w:t>
      </w:r>
      <w:r w:rsidRPr="00CE258F">
        <w:rPr>
          <w:rFonts w:ascii="Arial" w:hAnsi="Arial" w:cs="Arial"/>
          <w:bCs/>
          <w:color w:val="000000"/>
          <w:sz w:val="24"/>
          <w:szCs w:val="24"/>
        </w:rPr>
        <w:t xml:space="preserve"> to manage these risks.</w:t>
      </w:r>
    </w:p>
    <w:p w14:paraId="5238BF5A" w14:textId="77777777" w:rsidR="00CE258F" w:rsidRPr="000C5377" w:rsidRDefault="00CE258F" w:rsidP="007F3B5B">
      <w:pPr>
        <w:pStyle w:val="ListParagraph"/>
        <w:pBdr>
          <w:top w:val="single" w:sz="4" w:space="1" w:color="auto"/>
          <w:left w:val="single" w:sz="4" w:space="4" w:color="auto"/>
          <w:bottom w:val="single" w:sz="4" w:space="1" w:color="auto"/>
          <w:right w:val="single" w:sz="4" w:space="4" w:color="auto"/>
        </w:pBdr>
        <w:shd w:val="clear" w:color="auto" w:fill="D9D9D9"/>
        <w:ind w:left="0"/>
        <w:contextualSpacing w:val="0"/>
        <w:rPr>
          <w:rFonts w:ascii="Arial" w:hAnsi="Arial" w:cs="Arial"/>
          <w:bCs/>
          <w:color w:val="000000"/>
          <w:sz w:val="24"/>
          <w:szCs w:val="24"/>
        </w:rPr>
      </w:pPr>
      <w:r w:rsidRPr="00CE258F">
        <w:rPr>
          <w:rFonts w:ascii="Arial" w:hAnsi="Arial" w:cs="Arial"/>
          <w:bCs/>
          <w:color w:val="000000"/>
          <w:sz w:val="24"/>
          <w:szCs w:val="24"/>
        </w:rPr>
        <w:t>The Council acknowledges that effective treasury management will provide support towards the achievement of its business and service objectives. It is therefore committed to the principles of achieving value for money in treasury management, and to employing suitable comprehensive performance measurement techniques, within the context of effective risk management</w:t>
      </w:r>
      <w:r w:rsidR="00C31300">
        <w:rPr>
          <w:rFonts w:ascii="Arial" w:hAnsi="Arial" w:cs="Arial"/>
          <w:bCs/>
          <w:color w:val="000000"/>
          <w:sz w:val="24"/>
          <w:szCs w:val="24"/>
        </w:rPr>
        <w:t>.</w:t>
      </w:r>
    </w:p>
    <w:p w14:paraId="6611CB84" w14:textId="77777777" w:rsidR="00371948" w:rsidRPr="000C5377" w:rsidRDefault="00371948" w:rsidP="00371948">
      <w:pPr>
        <w:rPr>
          <w:rFonts w:ascii="Arial" w:hAnsi="Arial" w:cs="Arial"/>
          <w:sz w:val="24"/>
          <w:szCs w:val="24"/>
        </w:rPr>
      </w:pPr>
      <w:r w:rsidRPr="000C5377">
        <w:rPr>
          <w:rFonts w:ascii="Arial" w:hAnsi="Arial" w:cs="Arial"/>
          <w:sz w:val="24"/>
          <w:szCs w:val="24"/>
        </w:rPr>
        <w:t xml:space="preserve">The Treasury investment policy objective for this Council is the prudent investment of its treasury balances. The Council’s Treasury investment priorities are security of capital and liquidity of its investments so that funds are available for expenditure when needed. Both the </w:t>
      </w:r>
      <w:r w:rsidR="004F7B57">
        <w:rPr>
          <w:rFonts w:ascii="Arial" w:hAnsi="Arial" w:cs="Arial"/>
          <w:sz w:val="24"/>
          <w:szCs w:val="24"/>
        </w:rPr>
        <w:t>Treasury Management</w:t>
      </w:r>
      <w:r w:rsidRPr="000C5377">
        <w:rPr>
          <w:rFonts w:ascii="Arial" w:hAnsi="Arial" w:cs="Arial"/>
          <w:sz w:val="24"/>
          <w:szCs w:val="24"/>
        </w:rPr>
        <w:t xml:space="preserve"> Code and the </w:t>
      </w:r>
      <w:r w:rsidR="004F7B57">
        <w:rPr>
          <w:rFonts w:ascii="Arial" w:hAnsi="Arial" w:cs="Arial"/>
          <w:sz w:val="24"/>
          <w:szCs w:val="24"/>
        </w:rPr>
        <w:t>statutory</w:t>
      </w:r>
      <w:r w:rsidRPr="000C5377">
        <w:rPr>
          <w:rFonts w:ascii="Arial" w:hAnsi="Arial" w:cs="Arial"/>
          <w:sz w:val="24"/>
          <w:szCs w:val="24"/>
        </w:rPr>
        <w:t xml:space="preserve"> guidance require the Council to invest its </w:t>
      </w:r>
      <w:r w:rsidR="00E57007">
        <w:rPr>
          <w:rFonts w:ascii="Arial" w:hAnsi="Arial" w:cs="Arial"/>
          <w:sz w:val="24"/>
          <w:szCs w:val="24"/>
        </w:rPr>
        <w:t xml:space="preserve">treasury </w:t>
      </w:r>
      <w:r w:rsidRPr="000C5377">
        <w:rPr>
          <w:rFonts w:ascii="Arial" w:hAnsi="Arial" w:cs="Arial"/>
          <w:sz w:val="24"/>
          <w:szCs w:val="24"/>
        </w:rPr>
        <w:t>funds prudently, and to have regard to the security and liquidity of its investments before seeking the highest rate of return, or yield.</w:t>
      </w:r>
    </w:p>
    <w:p w14:paraId="53B96F67" w14:textId="77777777" w:rsidR="00371948" w:rsidRDefault="00CA3FA0" w:rsidP="00371948">
      <w:pPr>
        <w:rPr>
          <w:rFonts w:ascii="Arial" w:hAnsi="Arial" w:cs="Arial"/>
          <w:sz w:val="24"/>
          <w:szCs w:val="24"/>
        </w:rPr>
      </w:pPr>
      <w:r w:rsidRPr="00CA3FA0">
        <w:rPr>
          <w:rFonts w:ascii="Arial" w:hAnsi="Arial" w:cs="Arial"/>
          <w:sz w:val="24"/>
          <w:szCs w:val="24"/>
        </w:rPr>
        <w:t xml:space="preserve">The Authority is currently debt </w:t>
      </w:r>
      <w:proofErr w:type="gramStart"/>
      <w:r w:rsidRPr="00CA3FA0">
        <w:rPr>
          <w:rFonts w:ascii="Arial" w:hAnsi="Arial" w:cs="Arial"/>
          <w:sz w:val="24"/>
          <w:szCs w:val="24"/>
        </w:rPr>
        <w:t>free</w:t>
      </w:r>
      <w:proofErr w:type="gramEnd"/>
      <w:r w:rsidRPr="00CA3FA0">
        <w:rPr>
          <w:rFonts w:ascii="Arial" w:hAnsi="Arial" w:cs="Arial"/>
          <w:sz w:val="24"/>
          <w:szCs w:val="24"/>
        </w:rPr>
        <w:t xml:space="preserve"> and its capital expenditure plans do not currently imply any need to borrow over the forecast period.  </w:t>
      </w:r>
      <w:r>
        <w:rPr>
          <w:rFonts w:ascii="Arial" w:hAnsi="Arial" w:cs="Arial"/>
          <w:sz w:val="24"/>
          <w:szCs w:val="24"/>
        </w:rPr>
        <w:t xml:space="preserve">This strategy has been prepared assuming that it will </w:t>
      </w:r>
      <w:r w:rsidR="00371948" w:rsidRPr="000C5377">
        <w:rPr>
          <w:rFonts w:ascii="Arial" w:hAnsi="Arial" w:cs="Arial"/>
          <w:sz w:val="24"/>
          <w:szCs w:val="24"/>
        </w:rPr>
        <w:t xml:space="preserve">not </w:t>
      </w:r>
      <w:r>
        <w:rPr>
          <w:rFonts w:ascii="Arial" w:hAnsi="Arial" w:cs="Arial"/>
          <w:sz w:val="24"/>
          <w:szCs w:val="24"/>
        </w:rPr>
        <w:t>need to</w:t>
      </w:r>
      <w:r w:rsidR="00371948" w:rsidRPr="000C5377">
        <w:rPr>
          <w:rFonts w:ascii="Arial" w:hAnsi="Arial" w:cs="Arial"/>
          <w:sz w:val="24"/>
          <w:szCs w:val="24"/>
        </w:rPr>
        <w:t xml:space="preserve"> borrow, except for short term cash flow purposes for revenue and capital commitments.</w:t>
      </w:r>
    </w:p>
    <w:p w14:paraId="0BF3A434" w14:textId="4FC73242" w:rsidR="002E1C30" w:rsidRDefault="002E1C30" w:rsidP="00371948">
      <w:pPr>
        <w:rPr>
          <w:rFonts w:ascii="Arial" w:hAnsi="Arial" w:cs="Arial"/>
          <w:sz w:val="24"/>
          <w:szCs w:val="24"/>
        </w:rPr>
      </w:pPr>
    </w:p>
    <w:p w14:paraId="27DFDF20" w14:textId="77777777" w:rsidR="000C34C9" w:rsidRPr="000C5377" w:rsidRDefault="000C34C9" w:rsidP="00371948">
      <w:pPr>
        <w:rPr>
          <w:rFonts w:ascii="Arial" w:hAnsi="Arial" w:cs="Arial"/>
          <w:sz w:val="24"/>
          <w:szCs w:val="24"/>
        </w:rPr>
      </w:pPr>
    </w:p>
    <w:p w14:paraId="1CEF13F1" w14:textId="77777777" w:rsidR="007B7329" w:rsidRPr="00E1158E" w:rsidRDefault="007B7329" w:rsidP="007B7329">
      <w:pPr>
        <w:rPr>
          <w:rFonts w:ascii="Arial" w:hAnsi="Arial" w:cs="Arial"/>
          <w:sz w:val="24"/>
          <w:szCs w:val="24"/>
        </w:rPr>
      </w:pPr>
      <w:r w:rsidRPr="00E1158E">
        <w:rPr>
          <w:rFonts w:ascii="Arial" w:hAnsi="Arial" w:cs="Arial"/>
          <w:sz w:val="24"/>
          <w:szCs w:val="24"/>
        </w:rPr>
        <w:lastRenderedPageBreak/>
        <w:t>The Authority invests its money for three broad purposes:</w:t>
      </w:r>
    </w:p>
    <w:p w14:paraId="1ADCCF1B" w14:textId="77777777" w:rsidR="007B7329" w:rsidRPr="00E1158E" w:rsidRDefault="007B7329" w:rsidP="007B7329">
      <w:pPr>
        <w:numPr>
          <w:ilvl w:val="0"/>
          <w:numId w:val="5"/>
        </w:numPr>
        <w:ind w:left="360"/>
        <w:rPr>
          <w:rFonts w:ascii="Arial" w:hAnsi="Arial" w:cs="Arial"/>
          <w:sz w:val="24"/>
          <w:szCs w:val="24"/>
        </w:rPr>
      </w:pPr>
      <w:r w:rsidRPr="00E1158E">
        <w:rPr>
          <w:rFonts w:ascii="Arial" w:hAnsi="Arial" w:cs="Arial"/>
          <w:sz w:val="24"/>
          <w:szCs w:val="24"/>
        </w:rPr>
        <w:t xml:space="preserve">because it has surplus cash as a result of its day-to-day activities, for example when income is received in advance of expenditure (known as </w:t>
      </w:r>
      <w:r w:rsidR="002538DB" w:rsidRPr="002538DB">
        <w:rPr>
          <w:rFonts w:ascii="Arial" w:hAnsi="Arial" w:cs="Arial"/>
          <w:sz w:val="24"/>
          <w:szCs w:val="24"/>
        </w:rPr>
        <w:t>treasury management investments</w:t>
      </w:r>
      <w:proofErr w:type="gramStart"/>
      <w:r w:rsidRPr="00E1158E">
        <w:rPr>
          <w:rFonts w:ascii="Arial" w:hAnsi="Arial" w:cs="Arial"/>
          <w:sz w:val="24"/>
          <w:szCs w:val="24"/>
        </w:rPr>
        <w:t>)</w:t>
      </w:r>
      <w:r w:rsidR="00C9529D">
        <w:rPr>
          <w:rFonts w:ascii="Arial" w:hAnsi="Arial" w:cs="Arial"/>
          <w:sz w:val="24"/>
          <w:szCs w:val="24"/>
        </w:rPr>
        <w:t>;</w:t>
      </w:r>
      <w:proofErr w:type="gramEnd"/>
    </w:p>
    <w:p w14:paraId="24020E62" w14:textId="77777777" w:rsidR="007B7329" w:rsidRPr="00E1158E" w:rsidRDefault="007B7329" w:rsidP="007B7329">
      <w:pPr>
        <w:numPr>
          <w:ilvl w:val="0"/>
          <w:numId w:val="5"/>
        </w:numPr>
        <w:ind w:left="360"/>
        <w:rPr>
          <w:rFonts w:ascii="Arial" w:hAnsi="Arial" w:cs="Arial"/>
          <w:sz w:val="24"/>
          <w:szCs w:val="24"/>
        </w:rPr>
      </w:pPr>
      <w:r w:rsidRPr="00E1158E">
        <w:rPr>
          <w:rFonts w:ascii="Arial" w:hAnsi="Arial" w:cs="Arial"/>
          <w:sz w:val="24"/>
          <w:szCs w:val="24"/>
        </w:rPr>
        <w:t>to support local public services by lending to or buying shares in other organisations (</w:t>
      </w:r>
      <w:r w:rsidR="002538DB" w:rsidRPr="002538DB">
        <w:rPr>
          <w:rFonts w:ascii="Arial" w:hAnsi="Arial" w:cs="Arial"/>
          <w:sz w:val="24"/>
          <w:szCs w:val="24"/>
        </w:rPr>
        <w:t>service investments</w:t>
      </w:r>
      <w:r w:rsidRPr="00E1158E">
        <w:rPr>
          <w:rFonts w:ascii="Arial" w:hAnsi="Arial" w:cs="Arial"/>
          <w:sz w:val="24"/>
          <w:szCs w:val="24"/>
        </w:rPr>
        <w:t>)</w:t>
      </w:r>
      <w:r w:rsidR="00C9529D">
        <w:rPr>
          <w:rFonts w:ascii="Arial" w:hAnsi="Arial" w:cs="Arial"/>
          <w:sz w:val="24"/>
          <w:szCs w:val="24"/>
        </w:rPr>
        <w:t>;</w:t>
      </w:r>
      <w:r w:rsidRPr="00E1158E">
        <w:rPr>
          <w:rFonts w:ascii="Arial" w:hAnsi="Arial" w:cs="Arial"/>
          <w:sz w:val="24"/>
          <w:szCs w:val="24"/>
        </w:rPr>
        <w:t xml:space="preserve"> and</w:t>
      </w:r>
      <w:r w:rsidR="00C9529D">
        <w:rPr>
          <w:rFonts w:ascii="Arial" w:hAnsi="Arial" w:cs="Arial"/>
          <w:sz w:val="24"/>
          <w:szCs w:val="24"/>
        </w:rPr>
        <w:t>,</w:t>
      </w:r>
    </w:p>
    <w:p w14:paraId="7DEE9BB1" w14:textId="77777777" w:rsidR="007B7329" w:rsidRDefault="007B7329" w:rsidP="007B7329">
      <w:pPr>
        <w:numPr>
          <w:ilvl w:val="0"/>
          <w:numId w:val="5"/>
        </w:numPr>
        <w:ind w:left="360"/>
        <w:rPr>
          <w:rFonts w:ascii="Arial" w:hAnsi="Arial" w:cs="Arial"/>
          <w:sz w:val="24"/>
          <w:szCs w:val="24"/>
        </w:rPr>
      </w:pPr>
      <w:r w:rsidRPr="00E1158E">
        <w:rPr>
          <w:rFonts w:ascii="Arial" w:hAnsi="Arial" w:cs="Arial"/>
          <w:sz w:val="24"/>
          <w:szCs w:val="24"/>
        </w:rPr>
        <w:t xml:space="preserve">to earn investment income (known as </w:t>
      </w:r>
      <w:r w:rsidR="002538DB" w:rsidRPr="002538DB">
        <w:rPr>
          <w:rFonts w:ascii="Arial" w:hAnsi="Arial" w:cs="Arial"/>
          <w:sz w:val="24"/>
          <w:szCs w:val="24"/>
        </w:rPr>
        <w:t>commercial investments</w:t>
      </w:r>
      <w:r w:rsidRPr="00E1158E">
        <w:rPr>
          <w:rFonts w:ascii="Arial" w:hAnsi="Arial" w:cs="Arial"/>
          <w:sz w:val="24"/>
          <w:szCs w:val="24"/>
        </w:rPr>
        <w:t xml:space="preserve"> where this is the main purpose).</w:t>
      </w:r>
    </w:p>
    <w:p w14:paraId="45D7CA30" w14:textId="77777777" w:rsidR="00A66757" w:rsidRPr="003745C6" w:rsidRDefault="001F1C01" w:rsidP="003C1688">
      <w:pPr>
        <w:pStyle w:val="ListParagraph"/>
        <w:ind w:left="0"/>
        <w:rPr>
          <w:rFonts w:ascii="Arial" w:hAnsi="Arial" w:cs="Arial"/>
          <w:b/>
          <w:bCs/>
          <w:sz w:val="28"/>
          <w:szCs w:val="28"/>
        </w:rPr>
      </w:pPr>
      <w:r w:rsidRPr="00FB33B3">
        <w:rPr>
          <w:rFonts w:ascii="Arial" w:hAnsi="Arial" w:cs="Arial"/>
          <w:b/>
          <w:bCs/>
          <w:sz w:val="28"/>
          <w:szCs w:val="28"/>
        </w:rPr>
        <w:t>Treasury Management Strategy</w:t>
      </w:r>
      <w:r w:rsidR="008448EF" w:rsidRPr="003745C6">
        <w:rPr>
          <w:rFonts w:ascii="Arial" w:hAnsi="Arial" w:cs="Arial"/>
          <w:b/>
          <w:bCs/>
          <w:sz w:val="28"/>
          <w:szCs w:val="28"/>
        </w:rPr>
        <w:br/>
      </w:r>
    </w:p>
    <w:p w14:paraId="02747B11" w14:textId="77777777" w:rsidR="008448EF" w:rsidRPr="00E1158E" w:rsidRDefault="002528FE" w:rsidP="008448EF">
      <w:pPr>
        <w:pStyle w:val="ListParagraph"/>
        <w:pBdr>
          <w:top w:val="single" w:sz="4" w:space="1" w:color="auto"/>
          <w:left w:val="single" w:sz="4" w:space="4" w:color="auto"/>
          <w:bottom w:val="single" w:sz="4" w:space="1" w:color="auto"/>
          <w:right w:val="single" w:sz="4" w:space="4" w:color="auto"/>
        </w:pBdr>
        <w:shd w:val="clear" w:color="auto" w:fill="D9D9D9"/>
        <w:ind w:left="0"/>
        <w:rPr>
          <w:rFonts w:ascii="Arial" w:hAnsi="Arial" w:cs="Arial"/>
          <w:bCs/>
          <w:color w:val="000000"/>
          <w:sz w:val="24"/>
          <w:szCs w:val="24"/>
        </w:rPr>
      </w:pPr>
      <w:r w:rsidRPr="00E1158E">
        <w:rPr>
          <w:rFonts w:ascii="Arial" w:hAnsi="Arial" w:cs="Arial"/>
          <w:bCs/>
          <w:color w:val="000000"/>
          <w:sz w:val="24"/>
          <w:szCs w:val="24"/>
        </w:rPr>
        <w:t>T</w:t>
      </w:r>
      <w:r w:rsidR="008448EF" w:rsidRPr="00E1158E">
        <w:rPr>
          <w:rFonts w:ascii="Arial" w:hAnsi="Arial" w:cs="Arial"/>
          <w:bCs/>
          <w:color w:val="000000"/>
          <w:sz w:val="24"/>
          <w:szCs w:val="24"/>
        </w:rPr>
        <w:t xml:space="preserve">he Council’s priority is the security and liquidity of its </w:t>
      </w:r>
      <w:r w:rsidR="00C9529D">
        <w:rPr>
          <w:rFonts w:ascii="Arial" w:hAnsi="Arial" w:cs="Arial"/>
          <w:bCs/>
          <w:color w:val="000000"/>
          <w:sz w:val="24"/>
          <w:szCs w:val="24"/>
        </w:rPr>
        <w:t>t</w:t>
      </w:r>
      <w:r w:rsidR="008448EF" w:rsidRPr="00E1158E">
        <w:rPr>
          <w:rFonts w:ascii="Arial" w:hAnsi="Arial" w:cs="Arial"/>
          <w:bCs/>
          <w:color w:val="000000"/>
          <w:sz w:val="24"/>
          <w:szCs w:val="24"/>
        </w:rPr>
        <w:t xml:space="preserve">reasury investments in accordance with the priorities set out in </w:t>
      </w:r>
      <w:r w:rsidR="004F7B57">
        <w:rPr>
          <w:rFonts w:ascii="Arial" w:hAnsi="Arial" w:cs="Arial"/>
          <w:bCs/>
          <w:color w:val="000000"/>
          <w:sz w:val="24"/>
          <w:szCs w:val="24"/>
        </w:rPr>
        <w:t>the</w:t>
      </w:r>
      <w:r w:rsidR="008448EF" w:rsidRPr="00E1158E">
        <w:rPr>
          <w:rFonts w:ascii="Arial" w:hAnsi="Arial" w:cs="Arial"/>
          <w:bCs/>
          <w:color w:val="000000"/>
          <w:sz w:val="24"/>
          <w:szCs w:val="24"/>
        </w:rPr>
        <w:t xml:space="preserve"> </w:t>
      </w:r>
      <w:r w:rsidR="004F7B57">
        <w:rPr>
          <w:rFonts w:ascii="Arial" w:hAnsi="Arial" w:cs="Arial"/>
          <w:bCs/>
          <w:color w:val="000000"/>
          <w:sz w:val="24"/>
          <w:szCs w:val="24"/>
        </w:rPr>
        <w:t xml:space="preserve">Treasury </w:t>
      </w:r>
      <w:r w:rsidR="008448EF" w:rsidRPr="00E1158E">
        <w:rPr>
          <w:rFonts w:ascii="Arial" w:hAnsi="Arial" w:cs="Arial"/>
          <w:bCs/>
          <w:color w:val="000000"/>
          <w:sz w:val="24"/>
          <w:szCs w:val="24"/>
        </w:rPr>
        <w:t>Code</w:t>
      </w:r>
      <w:r w:rsidR="00B07CE7" w:rsidRPr="00E1158E">
        <w:rPr>
          <w:rFonts w:ascii="Arial" w:hAnsi="Arial" w:cs="Arial"/>
          <w:bCs/>
          <w:color w:val="000000"/>
          <w:sz w:val="24"/>
          <w:szCs w:val="24"/>
        </w:rPr>
        <w:t xml:space="preserve"> and </w:t>
      </w:r>
      <w:r w:rsidR="004F7B57">
        <w:rPr>
          <w:rFonts w:ascii="Arial" w:hAnsi="Arial" w:cs="Arial"/>
          <w:bCs/>
          <w:color w:val="000000"/>
          <w:sz w:val="24"/>
          <w:szCs w:val="24"/>
        </w:rPr>
        <w:t>the statutory</w:t>
      </w:r>
      <w:r w:rsidR="00B07CE7" w:rsidRPr="00E1158E">
        <w:rPr>
          <w:rFonts w:ascii="Arial" w:hAnsi="Arial" w:cs="Arial"/>
          <w:bCs/>
          <w:color w:val="000000"/>
          <w:sz w:val="24"/>
          <w:szCs w:val="24"/>
        </w:rPr>
        <w:t xml:space="preserve"> </w:t>
      </w:r>
      <w:r w:rsidR="004F7B57">
        <w:rPr>
          <w:rFonts w:ascii="Arial" w:hAnsi="Arial" w:cs="Arial"/>
          <w:bCs/>
          <w:color w:val="000000"/>
          <w:sz w:val="24"/>
          <w:szCs w:val="24"/>
        </w:rPr>
        <w:t>g</w:t>
      </w:r>
      <w:r w:rsidR="00B07CE7" w:rsidRPr="00E1158E">
        <w:rPr>
          <w:rFonts w:ascii="Arial" w:hAnsi="Arial" w:cs="Arial"/>
          <w:bCs/>
          <w:color w:val="000000"/>
          <w:sz w:val="24"/>
          <w:szCs w:val="24"/>
        </w:rPr>
        <w:t>uidance</w:t>
      </w:r>
      <w:r w:rsidR="008448EF" w:rsidRPr="00E1158E">
        <w:rPr>
          <w:rFonts w:ascii="Arial" w:hAnsi="Arial" w:cs="Arial"/>
          <w:bCs/>
          <w:color w:val="000000"/>
          <w:sz w:val="24"/>
          <w:szCs w:val="24"/>
        </w:rPr>
        <w:t xml:space="preserve">.  </w:t>
      </w:r>
      <w:r w:rsidRPr="00E1158E">
        <w:rPr>
          <w:rFonts w:ascii="Arial" w:hAnsi="Arial" w:cs="Arial"/>
          <w:bCs/>
          <w:color w:val="000000"/>
          <w:sz w:val="24"/>
          <w:szCs w:val="24"/>
        </w:rPr>
        <w:t>Whilst fundamentally risk averse, t</w:t>
      </w:r>
      <w:r w:rsidR="008448EF" w:rsidRPr="00E1158E">
        <w:rPr>
          <w:rFonts w:ascii="Arial" w:hAnsi="Arial" w:cs="Arial"/>
          <w:bCs/>
          <w:color w:val="000000"/>
          <w:sz w:val="24"/>
          <w:szCs w:val="24"/>
        </w:rPr>
        <w:t xml:space="preserve">he Council accepts some modest degree of risk within the limits and counterparty restrictions set out in its </w:t>
      </w:r>
      <w:r w:rsidR="002538DB" w:rsidRPr="002538DB">
        <w:rPr>
          <w:rFonts w:ascii="Arial" w:hAnsi="Arial" w:cs="Arial"/>
          <w:bCs/>
          <w:color w:val="000000"/>
          <w:sz w:val="24"/>
          <w:szCs w:val="24"/>
        </w:rPr>
        <w:t>Treasury Management and Investment Strategy</w:t>
      </w:r>
      <w:r w:rsidR="00B07CE7" w:rsidRPr="00E1158E">
        <w:rPr>
          <w:rFonts w:ascii="Arial" w:hAnsi="Arial" w:cs="Arial"/>
          <w:bCs/>
          <w:color w:val="000000"/>
          <w:sz w:val="24"/>
          <w:szCs w:val="24"/>
        </w:rPr>
        <w:t xml:space="preserve"> and </w:t>
      </w:r>
      <w:r w:rsidR="002538DB" w:rsidRPr="002538DB">
        <w:rPr>
          <w:rFonts w:ascii="Arial" w:hAnsi="Arial" w:cs="Arial"/>
          <w:bCs/>
          <w:color w:val="000000"/>
          <w:sz w:val="24"/>
          <w:szCs w:val="24"/>
        </w:rPr>
        <w:t>risk appetite statement</w:t>
      </w:r>
      <w:r w:rsidR="00C31300">
        <w:rPr>
          <w:rFonts w:ascii="Arial" w:hAnsi="Arial" w:cs="Arial"/>
          <w:bCs/>
          <w:color w:val="000000"/>
          <w:sz w:val="24"/>
          <w:szCs w:val="24"/>
        </w:rPr>
        <w:t>.</w:t>
      </w:r>
    </w:p>
    <w:p w14:paraId="49A1F6AB" w14:textId="77777777" w:rsidR="008448EF" w:rsidRPr="00E1158E" w:rsidRDefault="008448EF" w:rsidP="003C1688">
      <w:pPr>
        <w:pStyle w:val="ListParagraph"/>
        <w:ind w:left="0"/>
        <w:rPr>
          <w:rFonts w:ascii="Arial" w:hAnsi="Arial" w:cs="Arial"/>
          <w:b/>
          <w:bCs/>
          <w:color w:val="2F5496"/>
          <w:sz w:val="28"/>
          <w:szCs w:val="28"/>
        </w:rPr>
      </w:pPr>
    </w:p>
    <w:p w14:paraId="6580E081" w14:textId="77777777" w:rsidR="001F1C01" w:rsidRPr="00E1158E" w:rsidRDefault="00232EE2" w:rsidP="003C1688">
      <w:pPr>
        <w:pStyle w:val="ListParagraph"/>
        <w:ind w:left="0"/>
        <w:contextualSpacing w:val="0"/>
        <w:rPr>
          <w:rFonts w:ascii="Arial" w:hAnsi="Arial" w:cs="Arial"/>
          <w:sz w:val="24"/>
          <w:szCs w:val="24"/>
        </w:rPr>
      </w:pPr>
      <w:r>
        <w:rPr>
          <w:rFonts w:ascii="Arial" w:hAnsi="Arial" w:cs="Arial"/>
          <w:sz w:val="24"/>
          <w:szCs w:val="24"/>
        </w:rPr>
        <w:t>T</w:t>
      </w:r>
      <w:r w:rsidR="001F1C01" w:rsidRPr="00E1158E">
        <w:rPr>
          <w:rFonts w:ascii="Arial" w:hAnsi="Arial" w:cs="Arial"/>
          <w:sz w:val="24"/>
          <w:szCs w:val="24"/>
        </w:rPr>
        <w:t xml:space="preserve">he Chartered Institute of Public Finance and Accountancy’s </w:t>
      </w:r>
      <w:r w:rsidR="00E2641B" w:rsidRPr="00E1158E">
        <w:rPr>
          <w:rFonts w:ascii="Arial" w:hAnsi="Arial" w:cs="Arial"/>
          <w:sz w:val="24"/>
          <w:szCs w:val="24"/>
        </w:rPr>
        <w:t>‘</w:t>
      </w:r>
      <w:r w:rsidR="001F1C01" w:rsidRPr="00E1158E">
        <w:rPr>
          <w:rFonts w:ascii="Arial" w:hAnsi="Arial" w:cs="Arial"/>
          <w:i/>
          <w:sz w:val="24"/>
          <w:szCs w:val="24"/>
        </w:rPr>
        <w:t>Treasury Management in the Public Services: Code of Practice</w:t>
      </w:r>
      <w:r>
        <w:rPr>
          <w:rFonts w:ascii="Arial" w:hAnsi="Arial" w:cs="Arial"/>
          <w:i/>
          <w:sz w:val="24"/>
          <w:szCs w:val="24"/>
        </w:rPr>
        <w:t>’</w:t>
      </w:r>
      <w:r w:rsidR="001F1C01" w:rsidRPr="00E1158E">
        <w:rPr>
          <w:rFonts w:ascii="Arial" w:hAnsi="Arial" w:cs="Arial"/>
          <w:i/>
          <w:sz w:val="24"/>
          <w:szCs w:val="24"/>
        </w:rPr>
        <w:t xml:space="preserve"> </w:t>
      </w:r>
      <w:r w:rsidR="001F1C01" w:rsidRPr="00E1158E">
        <w:rPr>
          <w:rFonts w:ascii="Arial" w:hAnsi="Arial" w:cs="Arial"/>
          <w:sz w:val="24"/>
          <w:szCs w:val="24"/>
        </w:rPr>
        <w:t xml:space="preserve">(the CIPFA Code) requires the </w:t>
      </w:r>
      <w:r w:rsidR="008E75BB" w:rsidRPr="00E1158E">
        <w:rPr>
          <w:rFonts w:ascii="Arial" w:hAnsi="Arial" w:cs="Arial"/>
          <w:sz w:val="24"/>
          <w:szCs w:val="24"/>
        </w:rPr>
        <w:t>Council</w:t>
      </w:r>
      <w:r w:rsidR="001F1C01" w:rsidRPr="00E1158E">
        <w:rPr>
          <w:rFonts w:ascii="Arial" w:hAnsi="Arial" w:cs="Arial"/>
          <w:sz w:val="24"/>
          <w:szCs w:val="24"/>
        </w:rPr>
        <w:t xml:space="preserve"> to approve a </w:t>
      </w:r>
      <w:r w:rsidR="00FD7286" w:rsidRPr="00E1158E">
        <w:rPr>
          <w:rFonts w:ascii="Arial" w:hAnsi="Arial" w:cs="Arial"/>
          <w:sz w:val="24"/>
          <w:szCs w:val="24"/>
        </w:rPr>
        <w:t>T</w:t>
      </w:r>
      <w:r w:rsidR="001F1C01" w:rsidRPr="00E1158E">
        <w:rPr>
          <w:rFonts w:ascii="Arial" w:hAnsi="Arial" w:cs="Arial"/>
          <w:sz w:val="24"/>
          <w:szCs w:val="24"/>
        </w:rPr>
        <w:t xml:space="preserve">reasury </w:t>
      </w:r>
      <w:r w:rsidR="00FD7286" w:rsidRPr="00E1158E">
        <w:rPr>
          <w:rFonts w:ascii="Arial" w:hAnsi="Arial" w:cs="Arial"/>
          <w:sz w:val="24"/>
          <w:szCs w:val="24"/>
        </w:rPr>
        <w:t>M</w:t>
      </w:r>
      <w:r w:rsidR="001F1C01" w:rsidRPr="00E1158E">
        <w:rPr>
          <w:rFonts w:ascii="Arial" w:hAnsi="Arial" w:cs="Arial"/>
          <w:sz w:val="24"/>
          <w:szCs w:val="24"/>
        </w:rPr>
        <w:t xml:space="preserve">anagement </w:t>
      </w:r>
      <w:r w:rsidR="00FD7286" w:rsidRPr="00E1158E">
        <w:rPr>
          <w:rFonts w:ascii="Arial" w:hAnsi="Arial" w:cs="Arial"/>
          <w:sz w:val="24"/>
          <w:szCs w:val="24"/>
        </w:rPr>
        <w:t>S</w:t>
      </w:r>
      <w:r w:rsidR="001F1C01" w:rsidRPr="00E1158E">
        <w:rPr>
          <w:rFonts w:ascii="Arial" w:hAnsi="Arial" w:cs="Arial"/>
          <w:sz w:val="24"/>
          <w:szCs w:val="24"/>
        </w:rPr>
        <w:t xml:space="preserve">trategy </w:t>
      </w:r>
      <w:r w:rsidR="00FD7286" w:rsidRPr="00E1158E">
        <w:rPr>
          <w:rFonts w:ascii="Arial" w:hAnsi="Arial" w:cs="Arial"/>
          <w:sz w:val="24"/>
          <w:szCs w:val="24"/>
        </w:rPr>
        <w:t xml:space="preserve">(TMS) </w:t>
      </w:r>
      <w:r w:rsidR="001F1C01" w:rsidRPr="00E1158E">
        <w:rPr>
          <w:rFonts w:ascii="Arial" w:hAnsi="Arial" w:cs="Arial"/>
          <w:sz w:val="24"/>
          <w:szCs w:val="24"/>
        </w:rPr>
        <w:t>before the start of each financial year.</w:t>
      </w:r>
    </w:p>
    <w:p w14:paraId="1C31924D" w14:textId="77777777" w:rsidR="00EA768C" w:rsidRDefault="008E75BB" w:rsidP="006A0D2E">
      <w:pPr>
        <w:pStyle w:val="ListParagraph"/>
        <w:ind w:left="0"/>
        <w:rPr>
          <w:rFonts w:ascii="Arial" w:hAnsi="Arial" w:cs="Arial"/>
          <w:sz w:val="24"/>
          <w:szCs w:val="24"/>
        </w:rPr>
      </w:pPr>
      <w:r w:rsidRPr="00E1158E">
        <w:rPr>
          <w:rFonts w:ascii="Arial" w:hAnsi="Arial" w:cs="Arial"/>
          <w:sz w:val="24"/>
          <w:szCs w:val="24"/>
        </w:rPr>
        <w:t>T</w:t>
      </w:r>
      <w:r w:rsidR="001F1C01" w:rsidRPr="00E1158E">
        <w:rPr>
          <w:rFonts w:ascii="Arial" w:hAnsi="Arial" w:cs="Arial"/>
          <w:sz w:val="24"/>
          <w:szCs w:val="24"/>
        </w:rPr>
        <w:t xml:space="preserve">he </w:t>
      </w:r>
      <w:r w:rsidR="006A0D2E" w:rsidRPr="006A0D2E">
        <w:rPr>
          <w:rFonts w:ascii="Arial" w:hAnsi="Arial" w:cs="Arial"/>
          <w:sz w:val="24"/>
          <w:szCs w:val="24"/>
        </w:rPr>
        <w:t>Department for Levelling Up,</w:t>
      </w:r>
      <w:r w:rsidR="00D163D7">
        <w:rPr>
          <w:rFonts w:ascii="Arial" w:hAnsi="Arial" w:cs="Arial"/>
          <w:sz w:val="24"/>
          <w:szCs w:val="24"/>
        </w:rPr>
        <w:t xml:space="preserve"> </w:t>
      </w:r>
      <w:r w:rsidR="006A0D2E" w:rsidRPr="006A0D2E">
        <w:rPr>
          <w:rFonts w:ascii="Arial" w:hAnsi="Arial" w:cs="Arial"/>
          <w:sz w:val="24"/>
          <w:szCs w:val="24"/>
        </w:rPr>
        <w:t>Housing &amp; Communities</w:t>
      </w:r>
      <w:r w:rsidR="00F75ADC" w:rsidRPr="00E1158E">
        <w:rPr>
          <w:rFonts w:ascii="Arial" w:hAnsi="Arial" w:cs="Arial"/>
          <w:sz w:val="24"/>
          <w:szCs w:val="24"/>
        </w:rPr>
        <w:t xml:space="preserve"> </w:t>
      </w:r>
      <w:r w:rsidR="008448EF" w:rsidRPr="00E1158E">
        <w:rPr>
          <w:rFonts w:ascii="Arial" w:hAnsi="Arial" w:cs="Arial"/>
          <w:sz w:val="24"/>
          <w:szCs w:val="24"/>
        </w:rPr>
        <w:t>(</w:t>
      </w:r>
      <w:r w:rsidR="002538DB">
        <w:rPr>
          <w:rFonts w:ascii="Arial" w:hAnsi="Arial" w:cs="Arial"/>
          <w:sz w:val="24"/>
          <w:szCs w:val="24"/>
        </w:rPr>
        <w:t>DLUHC</w:t>
      </w:r>
      <w:r w:rsidR="008448EF" w:rsidRPr="00E1158E">
        <w:rPr>
          <w:rFonts w:ascii="Arial" w:hAnsi="Arial" w:cs="Arial"/>
          <w:sz w:val="24"/>
          <w:szCs w:val="24"/>
        </w:rPr>
        <w:t>)</w:t>
      </w:r>
      <w:r w:rsidR="001F1C01" w:rsidRPr="00E1158E">
        <w:rPr>
          <w:rFonts w:ascii="Arial" w:hAnsi="Arial" w:cs="Arial"/>
          <w:sz w:val="24"/>
          <w:szCs w:val="24"/>
        </w:rPr>
        <w:t xml:space="preserve"> </w:t>
      </w:r>
      <w:r w:rsidR="00232EE2">
        <w:rPr>
          <w:rFonts w:ascii="Arial" w:hAnsi="Arial" w:cs="Arial"/>
          <w:sz w:val="24"/>
          <w:szCs w:val="24"/>
        </w:rPr>
        <w:t>also issues</w:t>
      </w:r>
      <w:r w:rsidR="008448EF" w:rsidRPr="00E1158E">
        <w:rPr>
          <w:rFonts w:ascii="Arial" w:hAnsi="Arial" w:cs="Arial"/>
          <w:sz w:val="24"/>
          <w:szCs w:val="24"/>
        </w:rPr>
        <w:t xml:space="preserve"> g</w:t>
      </w:r>
      <w:r w:rsidR="001F1C01" w:rsidRPr="00E1158E">
        <w:rPr>
          <w:rFonts w:ascii="Arial" w:hAnsi="Arial" w:cs="Arial"/>
          <w:sz w:val="24"/>
          <w:szCs w:val="24"/>
        </w:rPr>
        <w:t>uidance on Local Authority Investments</w:t>
      </w:r>
      <w:r w:rsidR="00232EE2">
        <w:rPr>
          <w:rFonts w:ascii="Arial" w:hAnsi="Arial" w:cs="Arial"/>
          <w:sz w:val="24"/>
          <w:szCs w:val="24"/>
        </w:rPr>
        <w:t xml:space="preserve"> </w:t>
      </w:r>
      <w:r w:rsidR="008448EF" w:rsidRPr="00E1158E">
        <w:rPr>
          <w:rFonts w:ascii="Arial" w:hAnsi="Arial" w:cs="Arial"/>
          <w:sz w:val="24"/>
          <w:szCs w:val="24"/>
        </w:rPr>
        <w:t>(the Guidance)</w:t>
      </w:r>
      <w:r w:rsidR="00FD7286" w:rsidRPr="00E1158E">
        <w:rPr>
          <w:rFonts w:ascii="Arial" w:hAnsi="Arial" w:cs="Arial"/>
          <w:sz w:val="24"/>
          <w:szCs w:val="24"/>
        </w:rPr>
        <w:t>.  Paragraph 21 of th</w:t>
      </w:r>
      <w:r w:rsidR="008448EF" w:rsidRPr="00E1158E">
        <w:rPr>
          <w:rFonts w:ascii="Arial" w:hAnsi="Arial" w:cs="Arial"/>
          <w:sz w:val="24"/>
          <w:szCs w:val="24"/>
        </w:rPr>
        <w:t>e Guidance</w:t>
      </w:r>
      <w:r w:rsidR="00FD7286" w:rsidRPr="00E1158E">
        <w:rPr>
          <w:rFonts w:ascii="Arial" w:hAnsi="Arial" w:cs="Arial"/>
          <w:sz w:val="24"/>
          <w:szCs w:val="24"/>
        </w:rPr>
        <w:t xml:space="preserve"> makes it clear that, except for the requirement to prioritise Security, Liquidity and Yield in that order of importance, treasury management investments are managed within the principles set out within the CIPFA Code.  </w:t>
      </w:r>
      <w:r w:rsidR="00232860">
        <w:rPr>
          <w:rFonts w:ascii="Arial" w:hAnsi="Arial" w:cs="Arial"/>
          <w:sz w:val="24"/>
          <w:szCs w:val="24"/>
        </w:rPr>
        <w:br/>
      </w:r>
      <w:r w:rsidR="00FD7286" w:rsidRPr="00E1158E">
        <w:rPr>
          <w:rFonts w:ascii="Arial" w:hAnsi="Arial" w:cs="Arial"/>
          <w:sz w:val="24"/>
          <w:szCs w:val="24"/>
        </w:rPr>
        <w:br/>
      </w:r>
      <w:r w:rsidR="001F1C01" w:rsidRPr="00EA768C">
        <w:rPr>
          <w:rFonts w:ascii="Arial" w:hAnsi="Arial" w:cs="Arial"/>
          <w:sz w:val="24"/>
          <w:szCs w:val="24"/>
        </w:rPr>
        <w:t xml:space="preserve">The </w:t>
      </w:r>
      <w:r w:rsidR="00FD7286" w:rsidRPr="00EA768C">
        <w:rPr>
          <w:rFonts w:ascii="Arial" w:hAnsi="Arial" w:cs="Arial"/>
          <w:sz w:val="24"/>
          <w:szCs w:val="24"/>
        </w:rPr>
        <w:t>Council’s T</w:t>
      </w:r>
      <w:r w:rsidR="004F7B57">
        <w:rPr>
          <w:rFonts w:ascii="Arial" w:hAnsi="Arial" w:cs="Arial"/>
          <w:sz w:val="24"/>
          <w:szCs w:val="24"/>
        </w:rPr>
        <w:t xml:space="preserve">reasury </w:t>
      </w:r>
      <w:r w:rsidR="00FD7286" w:rsidRPr="00EA768C">
        <w:rPr>
          <w:rFonts w:ascii="Arial" w:hAnsi="Arial" w:cs="Arial"/>
          <w:sz w:val="24"/>
          <w:szCs w:val="24"/>
        </w:rPr>
        <w:t>M</w:t>
      </w:r>
      <w:r w:rsidR="004F7B57">
        <w:rPr>
          <w:rFonts w:ascii="Arial" w:hAnsi="Arial" w:cs="Arial"/>
          <w:sz w:val="24"/>
          <w:szCs w:val="24"/>
        </w:rPr>
        <w:t>anagement</w:t>
      </w:r>
      <w:r w:rsidR="001F1C01" w:rsidRPr="00EA768C">
        <w:rPr>
          <w:rFonts w:ascii="Arial" w:hAnsi="Arial" w:cs="Arial"/>
          <w:sz w:val="24"/>
          <w:szCs w:val="24"/>
        </w:rPr>
        <w:t xml:space="preserve"> Statement </w:t>
      </w:r>
      <w:r w:rsidR="00FD7286" w:rsidRPr="00EA768C">
        <w:rPr>
          <w:rFonts w:ascii="Arial" w:hAnsi="Arial" w:cs="Arial"/>
          <w:sz w:val="24"/>
          <w:szCs w:val="24"/>
        </w:rPr>
        <w:t>is</w:t>
      </w:r>
      <w:r w:rsidR="001F1C01" w:rsidRPr="00EA768C">
        <w:rPr>
          <w:rFonts w:ascii="Arial" w:hAnsi="Arial" w:cs="Arial"/>
          <w:sz w:val="24"/>
          <w:szCs w:val="24"/>
        </w:rPr>
        <w:t xml:space="preserve"> underpinned by Treasury Management Practices (TMPs) which </w:t>
      </w:r>
      <w:r w:rsidR="001F1C01" w:rsidRPr="00FB33B3">
        <w:rPr>
          <w:rFonts w:ascii="Arial" w:hAnsi="Arial" w:cs="Arial"/>
          <w:sz w:val="24"/>
          <w:szCs w:val="24"/>
        </w:rPr>
        <w:t>provide</w:t>
      </w:r>
      <w:r w:rsidR="001F1C01" w:rsidRPr="00EA768C">
        <w:rPr>
          <w:rFonts w:ascii="Arial" w:hAnsi="Arial" w:cs="Arial"/>
          <w:sz w:val="24"/>
          <w:szCs w:val="24"/>
        </w:rPr>
        <w:t xml:space="preserve"> prescriptive information as to how the treasury management function should be carried out.</w:t>
      </w:r>
      <w:r w:rsidR="00371948" w:rsidRPr="00EA768C">
        <w:rPr>
          <w:rFonts w:ascii="Arial" w:hAnsi="Arial" w:cs="Arial"/>
          <w:sz w:val="24"/>
          <w:szCs w:val="24"/>
        </w:rPr>
        <w:br/>
      </w:r>
      <w:r w:rsidR="00A65698" w:rsidRPr="00EA768C">
        <w:rPr>
          <w:rFonts w:ascii="Arial" w:hAnsi="Arial" w:cs="Arial"/>
          <w:sz w:val="24"/>
          <w:szCs w:val="24"/>
        </w:rPr>
        <w:br/>
      </w:r>
      <w:r w:rsidR="00371948" w:rsidRPr="00FB33B3">
        <w:rPr>
          <w:rFonts w:ascii="Arial" w:hAnsi="Arial" w:cs="Arial"/>
          <w:sz w:val="24"/>
          <w:szCs w:val="24"/>
        </w:rPr>
        <w:t xml:space="preserve">In accordance with </w:t>
      </w:r>
      <w:r w:rsidR="00232EE2" w:rsidRPr="00FB33B3">
        <w:rPr>
          <w:rFonts w:ascii="Arial" w:hAnsi="Arial" w:cs="Arial"/>
          <w:sz w:val="24"/>
          <w:szCs w:val="24"/>
        </w:rPr>
        <w:t>the</w:t>
      </w:r>
      <w:r w:rsidR="00371948" w:rsidRPr="005B4A0B">
        <w:rPr>
          <w:rFonts w:ascii="Arial" w:hAnsi="Arial" w:cs="Arial"/>
          <w:sz w:val="24"/>
          <w:szCs w:val="24"/>
        </w:rPr>
        <w:t xml:space="preserve"> </w:t>
      </w:r>
      <w:r w:rsidR="00232EE2" w:rsidRPr="005B4A0B">
        <w:rPr>
          <w:rFonts w:ascii="Arial" w:hAnsi="Arial" w:cs="Arial"/>
          <w:sz w:val="24"/>
          <w:szCs w:val="24"/>
        </w:rPr>
        <w:t>G</w:t>
      </w:r>
      <w:r w:rsidR="00371948" w:rsidRPr="005B4A0B">
        <w:rPr>
          <w:rFonts w:ascii="Arial" w:hAnsi="Arial" w:cs="Arial"/>
          <w:sz w:val="24"/>
          <w:szCs w:val="24"/>
        </w:rPr>
        <w:t xml:space="preserve">uidance, the Council will be asked to approve a revised Treasury Management Strategy should the assumptions on which this report is based change significantly. Such circumstances may include, for example, a </w:t>
      </w:r>
      <w:r w:rsidR="009938EF" w:rsidRPr="005B4A0B">
        <w:rPr>
          <w:rFonts w:ascii="Arial" w:hAnsi="Arial" w:cs="Arial"/>
          <w:sz w:val="24"/>
          <w:szCs w:val="24"/>
        </w:rPr>
        <w:t>large, unexpected</w:t>
      </w:r>
      <w:r w:rsidR="00371948" w:rsidRPr="005B4A0B">
        <w:rPr>
          <w:rFonts w:ascii="Arial" w:hAnsi="Arial" w:cs="Arial"/>
          <w:sz w:val="24"/>
          <w:szCs w:val="24"/>
        </w:rPr>
        <w:t xml:space="preserve"> change in interest rates, or in the Council’s capital programme or in the level of its investment balances.</w:t>
      </w:r>
      <w:bookmarkStart w:id="2" w:name="_Treasury_Management_and"/>
      <w:bookmarkEnd w:id="2"/>
    </w:p>
    <w:p w14:paraId="34C65ADB" w14:textId="1A74B016" w:rsidR="00EA768C" w:rsidRDefault="00EA768C" w:rsidP="00D82C4B">
      <w:pPr>
        <w:pStyle w:val="ListParagraph"/>
        <w:ind w:left="0"/>
        <w:rPr>
          <w:rFonts w:ascii="Arial" w:hAnsi="Arial" w:cs="Arial"/>
          <w:sz w:val="24"/>
          <w:szCs w:val="24"/>
        </w:rPr>
      </w:pPr>
    </w:p>
    <w:p w14:paraId="0993EB80" w14:textId="0ABE4720" w:rsidR="000C34C9" w:rsidRDefault="000C34C9" w:rsidP="00D82C4B">
      <w:pPr>
        <w:pStyle w:val="ListParagraph"/>
        <w:ind w:left="0"/>
        <w:rPr>
          <w:rFonts w:ascii="Arial" w:hAnsi="Arial" w:cs="Arial"/>
          <w:sz w:val="24"/>
          <w:szCs w:val="24"/>
        </w:rPr>
      </w:pPr>
    </w:p>
    <w:p w14:paraId="40BB3DE3" w14:textId="6A420E32" w:rsidR="000C34C9" w:rsidRDefault="000C34C9" w:rsidP="00D82C4B">
      <w:pPr>
        <w:pStyle w:val="ListParagraph"/>
        <w:ind w:left="0"/>
        <w:rPr>
          <w:rFonts w:ascii="Arial" w:hAnsi="Arial" w:cs="Arial"/>
          <w:sz w:val="24"/>
          <w:szCs w:val="24"/>
        </w:rPr>
      </w:pPr>
    </w:p>
    <w:p w14:paraId="0327811D" w14:textId="1D90ED0F" w:rsidR="000C34C9" w:rsidRDefault="000C34C9" w:rsidP="00D82C4B">
      <w:pPr>
        <w:pStyle w:val="ListParagraph"/>
        <w:ind w:left="0"/>
        <w:rPr>
          <w:rFonts w:ascii="Arial" w:hAnsi="Arial" w:cs="Arial"/>
          <w:sz w:val="24"/>
          <w:szCs w:val="24"/>
        </w:rPr>
      </w:pPr>
    </w:p>
    <w:p w14:paraId="5BE322C7" w14:textId="33BA2454" w:rsidR="000C34C9" w:rsidRDefault="000C34C9" w:rsidP="00D82C4B">
      <w:pPr>
        <w:pStyle w:val="ListParagraph"/>
        <w:ind w:left="0"/>
        <w:rPr>
          <w:rFonts w:ascii="Arial" w:hAnsi="Arial" w:cs="Arial"/>
          <w:sz w:val="24"/>
          <w:szCs w:val="24"/>
        </w:rPr>
      </w:pPr>
    </w:p>
    <w:p w14:paraId="071083E9" w14:textId="1FA12982" w:rsidR="000C34C9" w:rsidRDefault="000C34C9" w:rsidP="00D82C4B">
      <w:pPr>
        <w:pStyle w:val="ListParagraph"/>
        <w:ind w:left="0"/>
        <w:rPr>
          <w:rFonts w:ascii="Arial" w:hAnsi="Arial" w:cs="Arial"/>
          <w:sz w:val="24"/>
          <w:szCs w:val="24"/>
        </w:rPr>
      </w:pPr>
    </w:p>
    <w:p w14:paraId="389856F4" w14:textId="77777777" w:rsidR="006D4293" w:rsidRPr="00E1158E" w:rsidRDefault="00B33950" w:rsidP="00D82C4B">
      <w:pPr>
        <w:pStyle w:val="ListParagraph"/>
        <w:ind w:left="0"/>
        <w:rPr>
          <w:rFonts w:ascii="Arial" w:hAnsi="Arial" w:cs="Arial"/>
          <w:sz w:val="24"/>
          <w:szCs w:val="24"/>
        </w:rPr>
      </w:pPr>
      <w:r>
        <w:rPr>
          <w:rFonts w:ascii="Arial" w:hAnsi="Arial" w:cs="Arial"/>
          <w:sz w:val="24"/>
          <w:szCs w:val="24"/>
        </w:rPr>
        <w:lastRenderedPageBreak/>
        <w:t>On</w:t>
      </w:r>
      <w:r w:rsidR="006D4293" w:rsidRPr="006D19C5">
        <w:rPr>
          <w:rFonts w:ascii="Arial" w:hAnsi="Arial" w:cs="Arial"/>
          <w:sz w:val="24"/>
          <w:szCs w:val="24"/>
        </w:rPr>
        <w:t xml:space="preserve"> </w:t>
      </w:r>
      <w:r w:rsidR="00BE76BA">
        <w:rPr>
          <w:rFonts w:ascii="Arial" w:hAnsi="Arial" w:cs="Arial"/>
          <w:sz w:val="24"/>
          <w:szCs w:val="24"/>
        </w:rPr>
        <w:t>30 September 202</w:t>
      </w:r>
      <w:r w:rsidR="00C31300">
        <w:rPr>
          <w:rFonts w:ascii="Arial" w:hAnsi="Arial" w:cs="Arial"/>
          <w:sz w:val="24"/>
          <w:szCs w:val="24"/>
        </w:rPr>
        <w:t>3</w:t>
      </w:r>
      <w:r w:rsidR="006D4293" w:rsidRPr="006D19C5">
        <w:rPr>
          <w:rFonts w:ascii="Arial" w:hAnsi="Arial" w:cs="Arial"/>
          <w:sz w:val="24"/>
          <w:szCs w:val="24"/>
        </w:rPr>
        <w:t xml:space="preserve"> the Council held £</w:t>
      </w:r>
      <w:r w:rsidR="00BE76BA">
        <w:rPr>
          <w:rFonts w:ascii="Arial" w:hAnsi="Arial" w:cs="Arial"/>
          <w:sz w:val="24"/>
          <w:szCs w:val="24"/>
        </w:rPr>
        <w:t>11</w:t>
      </w:r>
      <w:r w:rsidR="00C31300">
        <w:rPr>
          <w:rFonts w:ascii="Arial" w:hAnsi="Arial" w:cs="Arial"/>
          <w:sz w:val="24"/>
          <w:szCs w:val="24"/>
        </w:rPr>
        <w:t>1</w:t>
      </w:r>
      <w:r w:rsidR="00BE76BA">
        <w:rPr>
          <w:rFonts w:ascii="Arial" w:hAnsi="Arial" w:cs="Arial"/>
          <w:sz w:val="24"/>
          <w:szCs w:val="24"/>
        </w:rPr>
        <w:t>.</w:t>
      </w:r>
      <w:r w:rsidR="00C31300">
        <w:rPr>
          <w:rFonts w:ascii="Arial" w:hAnsi="Arial" w:cs="Arial"/>
          <w:sz w:val="24"/>
          <w:szCs w:val="24"/>
        </w:rPr>
        <w:t>6</w:t>
      </w:r>
      <w:r w:rsidR="006D4293" w:rsidRPr="006D19C5">
        <w:rPr>
          <w:rFonts w:ascii="Arial" w:hAnsi="Arial" w:cs="Arial"/>
          <w:sz w:val="24"/>
          <w:szCs w:val="24"/>
        </w:rPr>
        <w:t>m of investments as set out in table 1</w:t>
      </w:r>
      <w:r w:rsidR="00286F14">
        <w:rPr>
          <w:rFonts w:ascii="Arial" w:hAnsi="Arial" w:cs="Arial"/>
          <w:sz w:val="24"/>
          <w:szCs w:val="24"/>
        </w:rPr>
        <w:t>.</w:t>
      </w:r>
    </w:p>
    <w:p w14:paraId="218DCD28" w14:textId="0E31DD2A" w:rsidR="006D4293" w:rsidRPr="00E1158E" w:rsidRDefault="006D4293" w:rsidP="00D82C4B">
      <w:pPr>
        <w:ind w:left="720"/>
        <w:rPr>
          <w:rFonts w:ascii="Arial" w:hAnsi="Arial" w:cs="Arial"/>
          <w:i/>
          <w:color w:val="000000"/>
          <w:sz w:val="24"/>
          <w:szCs w:val="24"/>
        </w:rPr>
      </w:pPr>
      <w:r w:rsidRPr="00E1158E">
        <w:rPr>
          <w:rFonts w:ascii="Arial" w:hAnsi="Arial" w:cs="Arial"/>
          <w:i/>
          <w:color w:val="000000"/>
          <w:sz w:val="24"/>
          <w:szCs w:val="24"/>
        </w:rPr>
        <w:t>Table 1: Investment Portfolio Position</w:t>
      </w:r>
    </w:p>
    <w:tbl>
      <w:tblPr>
        <w:tblW w:w="7923"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ayout w:type="fixed"/>
        <w:tblLook w:val="0000" w:firstRow="0" w:lastRow="0" w:firstColumn="0" w:lastColumn="0" w:noHBand="0" w:noVBand="0"/>
      </w:tblPr>
      <w:tblGrid>
        <w:gridCol w:w="5333"/>
        <w:gridCol w:w="1134"/>
        <w:gridCol w:w="1456"/>
      </w:tblGrid>
      <w:tr w:rsidR="006D4293" w:rsidRPr="00940812" w14:paraId="54FE3963" w14:textId="77777777" w:rsidTr="001D5390">
        <w:trPr>
          <w:trHeight w:val="254"/>
          <w:jc w:val="center"/>
        </w:trPr>
        <w:tc>
          <w:tcPr>
            <w:tcW w:w="5333" w:type="dxa"/>
            <w:tcBorders>
              <w:top w:val="single" w:sz="4" w:space="0" w:color="auto"/>
              <w:left w:val="single" w:sz="4" w:space="0" w:color="auto"/>
              <w:bottom w:val="single" w:sz="4" w:space="0" w:color="auto"/>
              <w:right w:val="single" w:sz="4" w:space="0" w:color="auto"/>
            </w:tcBorders>
            <w:shd w:val="clear" w:color="auto" w:fill="D9D9D9"/>
            <w:noWrap/>
          </w:tcPr>
          <w:p w14:paraId="58043F3D" w14:textId="77777777" w:rsidR="006D4293" w:rsidRPr="00940812" w:rsidRDefault="006D4293" w:rsidP="001D5390">
            <w:pPr>
              <w:rPr>
                <w:rFonts w:ascii="Arial" w:hAnsi="Arial" w:cs="Arial"/>
                <w:bCs/>
                <w:i/>
                <w:sz w:val="24"/>
                <w:szCs w:val="24"/>
              </w:rPr>
            </w:pPr>
            <w:r w:rsidRPr="00940812">
              <w:rPr>
                <w:rFonts w:ascii="Arial" w:hAnsi="Arial" w:cs="Arial"/>
                <w:sz w:val="24"/>
                <w:szCs w:val="24"/>
              </w:rPr>
              <w:t>Investments</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5FADA7B" w14:textId="77777777" w:rsidR="006D4293" w:rsidRPr="00940812" w:rsidRDefault="006D4293" w:rsidP="001D5390">
            <w:pPr>
              <w:keepNext/>
              <w:rPr>
                <w:rFonts w:ascii="Arial" w:hAnsi="Arial" w:cs="Arial"/>
                <w:sz w:val="24"/>
                <w:szCs w:val="24"/>
              </w:rPr>
            </w:pPr>
            <w:r w:rsidRPr="00940812">
              <w:rPr>
                <w:rFonts w:ascii="Arial" w:hAnsi="Arial" w:cs="Arial"/>
                <w:sz w:val="24"/>
                <w:szCs w:val="24"/>
              </w:rPr>
              <w:t>£m</w:t>
            </w:r>
          </w:p>
        </w:tc>
        <w:tc>
          <w:tcPr>
            <w:tcW w:w="1456" w:type="dxa"/>
            <w:tcBorders>
              <w:top w:val="single" w:sz="4" w:space="0" w:color="auto"/>
              <w:left w:val="single" w:sz="4" w:space="0" w:color="auto"/>
              <w:bottom w:val="single" w:sz="4" w:space="0" w:color="auto"/>
              <w:right w:val="single" w:sz="4" w:space="0" w:color="auto"/>
            </w:tcBorders>
            <w:shd w:val="clear" w:color="auto" w:fill="D9D9D9"/>
          </w:tcPr>
          <w:p w14:paraId="739C79EC" w14:textId="77777777" w:rsidR="006D4293" w:rsidRPr="00940812" w:rsidRDefault="006D4293" w:rsidP="006D19C5">
            <w:pPr>
              <w:keepNext/>
              <w:rPr>
                <w:rFonts w:ascii="Arial" w:hAnsi="Arial" w:cs="Arial"/>
                <w:sz w:val="24"/>
                <w:szCs w:val="24"/>
              </w:rPr>
            </w:pPr>
            <w:r w:rsidRPr="00940812">
              <w:rPr>
                <w:rFonts w:ascii="Arial" w:hAnsi="Arial" w:cs="Arial"/>
                <w:sz w:val="24"/>
                <w:szCs w:val="24"/>
              </w:rPr>
              <w:t>Return %*</w:t>
            </w:r>
          </w:p>
        </w:tc>
      </w:tr>
      <w:tr w:rsidR="006D4293" w:rsidRPr="00E1158E" w14:paraId="3DE1A3D6" w14:textId="77777777" w:rsidTr="001D5390">
        <w:trPr>
          <w:trHeight w:val="254"/>
          <w:jc w:val="center"/>
        </w:trPr>
        <w:tc>
          <w:tcPr>
            <w:tcW w:w="5333" w:type="dxa"/>
            <w:tcBorders>
              <w:top w:val="single" w:sz="4" w:space="0" w:color="auto"/>
              <w:left w:val="single" w:sz="4" w:space="0" w:color="auto"/>
              <w:bottom w:val="nil"/>
              <w:right w:val="single" w:sz="4" w:space="0" w:color="auto"/>
            </w:tcBorders>
            <w:shd w:val="clear" w:color="auto" w:fill="auto"/>
            <w:noWrap/>
          </w:tcPr>
          <w:p w14:paraId="37EC5F1C" w14:textId="77777777" w:rsidR="006D4293" w:rsidRPr="00E1158E" w:rsidRDefault="006D4293" w:rsidP="001D5390">
            <w:pPr>
              <w:rPr>
                <w:rFonts w:ascii="Arial" w:hAnsi="Arial" w:cs="Arial"/>
                <w:bCs/>
                <w:sz w:val="24"/>
                <w:szCs w:val="24"/>
              </w:rPr>
            </w:pPr>
            <w:r w:rsidRPr="00E1158E">
              <w:rPr>
                <w:rFonts w:ascii="Arial" w:hAnsi="Arial" w:cs="Arial"/>
                <w:bCs/>
                <w:sz w:val="24"/>
                <w:szCs w:val="24"/>
              </w:rPr>
              <w:t>Short term Investments (cash, call accounts, deposits)</w:t>
            </w:r>
          </w:p>
        </w:tc>
        <w:tc>
          <w:tcPr>
            <w:tcW w:w="1134" w:type="dxa"/>
            <w:tcBorders>
              <w:top w:val="single" w:sz="4" w:space="0" w:color="auto"/>
              <w:left w:val="single" w:sz="4" w:space="0" w:color="auto"/>
              <w:bottom w:val="nil"/>
              <w:right w:val="single" w:sz="4" w:space="0" w:color="auto"/>
            </w:tcBorders>
            <w:shd w:val="clear" w:color="auto" w:fill="auto"/>
          </w:tcPr>
          <w:p w14:paraId="02098E57" w14:textId="77777777" w:rsidR="006D4293" w:rsidRDefault="00C31300" w:rsidP="001D5390">
            <w:pPr>
              <w:jc w:val="right"/>
              <w:rPr>
                <w:rFonts w:ascii="Arial" w:hAnsi="Arial" w:cs="Arial"/>
                <w:sz w:val="24"/>
                <w:szCs w:val="24"/>
              </w:rPr>
            </w:pPr>
            <w:r>
              <w:rPr>
                <w:rFonts w:ascii="Arial" w:hAnsi="Arial" w:cs="Arial"/>
                <w:sz w:val="24"/>
                <w:szCs w:val="24"/>
              </w:rPr>
              <w:t>43</w:t>
            </w:r>
            <w:r w:rsidR="00E00404">
              <w:rPr>
                <w:rFonts w:ascii="Arial" w:hAnsi="Arial" w:cs="Arial"/>
                <w:sz w:val="24"/>
                <w:szCs w:val="24"/>
              </w:rPr>
              <w:t>.0</w:t>
            </w:r>
          </w:p>
          <w:p w14:paraId="43A658ED" w14:textId="77777777" w:rsidR="00BE76BA" w:rsidRPr="00E1158E" w:rsidRDefault="00BE76BA" w:rsidP="001D5390">
            <w:pPr>
              <w:jc w:val="right"/>
              <w:rPr>
                <w:rFonts w:ascii="Arial" w:hAnsi="Arial" w:cs="Arial"/>
                <w:sz w:val="24"/>
                <w:szCs w:val="24"/>
              </w:rPr>
            </w:pPr>
          </w:p>
        </w:tc>
        <w:tc>
          <w:tcPr>
            <w:tcW w:w="1456" w:type="dxa"/>
            <w:tcBorders>
              <w:top w:val="single" w:sz="4" w:space="0" w:color="auto"/>
              <w:left w:val="single" w:sz="4" w:space="0" w:color="auto"/>
              <w:bottom w:val="nil"/>
              <w:right w:val="single" w:sz="4" w:space="0" w:color="auto"/>
            </w:tcBorders>
            <w:shd w:val="clear" w:color="auto" w:fill="auto"/>
          </w:tcPr>
          <w:p w14:paraId="5FAE5437" w14:textId="77777777" w:rsidR="006D4293" w:rsidRPr="00E1158E" w:rsidRDefault="006D4293" w:rsidP="001D5390">
            <w:pPr>
              <w:jc w:val="right"/>
              <w:rPr>
                <w:rFonts w:ascii="Arial" w:hAnsi="Arial" w:cs="Arial"/>
                <w:sz w:val="24"/>
                <w:szCs w:val="24"/>
              </w:rPr>
            </w:pPr>
          </w:p>
        </w:tc>
      </w:tr>
      <w:tr w:rsidR="006D4293" w:rsidRPr="00E1158E" w14:paraId="43B007B3" w14:textId="77777777" w:rsidTr="001D5390">
        <w:trPr>
          <w:trHeight w:val="510"/>
          <w:jc w:val="center"/>
        </w:trPr>
        <w:tc>
          <w:tcPr>
            <w:tcW w:w="5333" w:type="dxa"/>
            <w:tcBorders>
              <w:top w:val="nil"/>
              <w:left w:val="single" w:sz="4" w:space="0" w:color="auto"/>
              <w:bottom w:val="single" w:sz="4" w:space="0" w:color="auto"/>
              <w:right w:val="single" w:sz="4" w:space="0" w:color="auto"/>
            </w:tcBorders>
            <w:shd w:val="clear" w:color="auto" w:fill="auto"/>
            <w:noWrap/>
          </w:tcPr>
          <w:p w14:paraId="14572B20" w14:textId="77777777" w:rsidR="006D4293" w:rsidRPr="00E1158E" w:rsidRDefault="006D4293" w:rsidP="005434D9">
            <w:pPr>
              <w:rPr>
                <w:rFonts w:ascii="Arial" w:hAnsi="Arial" w:cs="Arial"/>
                <w:bCs/>
                <w:sz w:val="24"/>
                <w:szCs w:val="24"/>
              </w:rPr>
            </w:pPr>
            <w:r w:rsidRPr="00E1158E">
              <w:rPr>
                <w:rFonts w:ascii="Arial" w:hAnsi="Arial" w:cs="Arial"/>
                <w:bCs/>
                <w:sz w:val="24"/>
                <w:szCs w:val="24"/>
              </w:rPr>
              <w:t>Money Market Funds</w:t>
            </w:r>
          </w:p>
        </w:tc>
        <w:tc>
          <w:tcPr>
            <w:tcW w:w="1134" w:type="dxa"/>
            <w:tcBorders>
              <w:top w:val="nil"/>
              <w:left w:val="single" w:sz="4" w:space="0" w:color="auto"/>
              <w:bottom w:val="single" w:sz="4" w:space="0" w:color="auto"/>
              <w:right w:val="single" w:sz="4" w:space="0" w:color="auto"/>
            </w:tcBorders>
            <w:shd w:val="clear" w:color="auto" w:fill="auto"/>
          </w:tcPr>
          <w:p w14:paraId="6F1E310E" w14:textId="77777777" w:rsidR="00D62F29" w:rsidRPr="00E1158E" w:rsidRDefault="00C31300" w:rsidP="005434D9">
            <w:pPr>
              <w:jc w:val="right"/>
              <w:rPr>
                <w:rFonts w:ascii="Arial" w:hAnsi="Arial" w:cs="Arial"/>
                <w:sz w:val="24"/>
                <w:szCs w:val="24"/>
              </w:rPr>
            </w:pPr>
            <w:r>
              <w:rPr>
                <w:rFonts w:ascii="Arial" w:hAnsi="Arial" w:cs="Arial"/>
                <w:sz w:val="24"/>
                <w:szCs w:val="24"/>
              </w:rPr>
              <w:t>28.6</w:t>
            </w:r>
          </w:p>
        </w:tc>
        <w:tc>
          <w:tcPr>
            <w:tcW w:w="1456" w:type="dxa"/>
            <w:tcBorders>
              <w:top w:val="nil"/>
              <w:left w:val="single" w:sz="4" w:space="0" w:color="auto"/>
              <w:bottom w:val="single" w:sz="4" w:space="0" w:color="auto"/>
              <w:right w:val="single" w:sz="4" w:space="0" w:color="auto"/>
            </w:tcBorders>
            <w:shd w:val="clear" w:color="auto" w:fill="auto"/>
          </w:tcPr>
          <w:p w14:paraId="744CDC65" w14:textId="77777777" w:rsidR="006D4293" w:rsidRPr="00E1158E" w:rsidRDefault="006D4293" w:rsidP="001D5390">
            <w:pPr>
              <w:jc w:val="right"/>
              <w:rPr>
                <w:rFonts w:ascii="Arial" w:hAnsi="Arial" w:cs="Arial"/>
                <w:sz w:val="24"/>
                <w:szCs w:val="24"/>
              </w:rPr>
            </w:pPr>
          </w:p>
        </w:tc>
      </w:tr>
      <w:tr w:rsidR="006D4293" w:rsidRPr="00940812" w14:paraId="072A2770" w14:textId="77777777" w:rsidTr="001D5390">
        <w:trPr>
          <w:trHeight w:val="510"/>
          <w:jc w:val="center"/>
        </w:trPr>
        <w:tc>
          <w:tcPr>
            <w:tcW w:w="5333" w:type="dxa"/>
            <w:tcBorders>
              <w:top w:val="single" w:sz="4" w:space="0" w:color="auto"/>
              <w:left w:val="single" w:sz="4" w:space="0" w:color="auto"/>
              <w:bottom w:val="single" w:sz="4" w:space="0" w:color="auto"/>
              <w:right w:val="single" w:sz="4" w:space="0" w:color="auto"/>
            </w:tcBorders>
            <w:shd w:val="clear" w:color="auto" w:fill="D9D9D9"/>
            <w:noWrap/>
          </w:tcPr>
          <w:p w14:paraId="5324455A" w14:textId="77777777" w:rsidR="006D4293" w:rsidRPr="00940812" w:rsidRDefault="006D4293" w:rsidP="001D5390">
            <w:pPr>
              <w:rPr>
                <w:rFonts w:ascii="Arial" w:hAnsi="Arial" w:cs="Arial"/>
                <w:bCs/>
                <w:sz w:val="24"/>
                <w:szCs w:val="24"/>
              </w:rPr>
            </w:pPr>
            <w:r w:rsidRPr="00940812">
              <w:rPr>
                <w:rFonts w:ascii="Arial" w:hAnsi="Arial" w:cs="Arial"/>
                <w:bCs/>
                <w:sz w:val="24"/>
                <w:szCs w:val="24"/>
              </w:rPr>
              <w:t>Total Liquid Investments</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1857A0B" w14:textId="77777777" w:rsidR="006D4293" w:rsidRPr="00940812" w:rsidRDefault="00C31300" w:rsidP="001D5390">
            <w:pPr>
              <w:jc w:val="right"/>
              <w:rPr>
                <w:rFonts w:ascii="Arial" w:hAnsi="Arial" w:cs="Arial"/>
                <w:sz w:val="24"/>
                <w:szCs w:val="24"/>
              </w:rPr>
            </w:pPr>
            <w:r>
              <w:rPr>
                <w:rFonts w:ascii="Arial" w:hAnsi="Arial" w:cs="Arial"/>
                <w:sz w:val="24"/>
                <w:szCs w:val="24"/>
              </w:rPr>
              <w:t>71.6</w:t>
            </w:r>
          </w:p>
        </w:tc>
        <w:tc>
          <w:tcPr>
            <w:tcW w:w="1456" w:type="dxa"/>
            <w:tcBorders>
              <w:top w:val="single" w:sz="4" w:space="0" w:color="auto"/>
              <w:left w:val="single" w:sz="4" w:space="0" w:color="auto"/>
              <w:bottom w:val="single" w:sz="4" w:space="0" w:color="auto"/>
              <w:right w:val="single" w:sz="4" w:space="0" w:color="auto"/>
            </w:tcBorders>
            <w:shd w:val="clear" w:color="auto" w:fill="D9D9D9"/>
          </w:tcPr>
          <w:p w14:paraId="68A7C47F" w14:textId="77777777" w:rsidR="006D4293" w:rsidRPr="00940812" w:rsidRDefault="00C31300" w:rsidP="001D5390">
            <w:pPr>
              <w:jc w:val="right"/>
              <w:rPr>
                <w:rFonts w:ascii="Arial" w:hAnsi="Arial" w:cs="Arial"/>
                <w:noProof/>
                <w:sz w:val="24"/>
                <w:szCs w:val="24"/>
                <w:lang w:eastAsia="en-GB"/>
              </w:rPr>
            </w:pPr>
            <w:r>
              <w:rPr>
                <w:rFonts w:ascii="Arial" w:hAnsi="Arial" w:cs="Arial"/>
                <w:noProof/>
                <w:sz w:val="24"/>
                <w:szCs w:val="24"/>
                <w:lang w:eastAsia="en-GB"/>
              </w:rPr>
              <w:t>5.12</w:t>
            </w:r>
          </w:p>
        </w:tc>
      </w:tr>
      <w:tr w:rsidR="00FE594F" w:rsidRPr="00940812" w14:paraId="1D319A85" w14:textId="77777777" w:rsidTr="002E1C30">
        <w:trPr>
          <w:trHeight w:val="510"/>
          <w:jc w:val="center"/>
        </w:trPr>
        <w:tc>
          <w:tcPr>
            <w:tcW w:w="5333" w:type="dxa"/>
            <w:tcBorders>
              <w:top w:val="nil"/>
              <w:left w:val="single" w:sz="4" w:space="0" w:color="auto"/>
              <w:bottom w:val="single" w:sz="4" w:space="0" w:color="auto"/>
              <w:right w:val="single" w:sz="4" w:space="0" w:color="auto"/>
            </w:tcBorders>
            <w:shd w:val="clear" w:color="auto" w:fill="auto"/>
            <w:noWrap/>
          </w:tcPr>
          <w:p w14:paraId="7737AB5B" w14:textId="77777777" w:rsidR="00FE594F" w:rsidRPr="00940812" w:rsidRDefault="00493177" w:rsidP="001D5390">
            <w:pPr>
              <w:rPr>
                <w:rFonts w:ascii="Arial" w:hAnsi="Arial" w:cs="Arial"/>
                <w:bCs/>
                <w:sz w:val="24"/>
                <w:szCs w:val="24"/>
              </w:rPr>
            </w:pPr>
            <w:r>
              <w:rPr>
                <w:rFonts w:ascii="Arial" w:hAnsi="Arial" w:cs="Arial"/>
                <w:bCs/>
                <w:sz w:val="24"/>
                <w:szCs w:val="24"/>
              </w:rPr>
              <w:t xml:space="preserve">External </w:t>
            </w:r>
            <w:r w:rsidR="00FE594F" w:rsidRPr="00940812">
              <w:rPr>
                <w:rFonts w:ascii="Arial" w:hAnsi="Arial" w:cs="Arial"/>
                <w:bCs/>
                <w:sz w:val="24"/>
                <w:szCs w:val="24"/>
              </w:rPr>
              <w:t>Pooled funds</w:t>
            </w:r>
            <w:r w:rsidR="008A46B4">
              <w:rPr>
                <w:rFonts w:ascii="Arial" w:hAnsi="Arial" w:cs="Arial"/>
                <w:bCs/>
                <w:sz w:val="24"/>
                <w:szCs w:val="24"/>
              </w:rPr>
              <w:t xml:space="preserve"> </w:t>
            </w:r>
          </w:p>
        </w:tc>
        <w:tc>
          <w:tcPr>
            <w:tcW w:w="1134" w:type="dxa"/>
            <w:tcBorders>
              <w:top w:val="nil"/>
              <w:left w:val="single" w:sz="4" w:space="0" w:color="auto"/>
              <w:bottom w:val="single" w:sz="4" w:space="0" w:color="auto"/>
              <w:right w:val="single" w:sz="4" w:space="0" w:color="auto"/>
            </w:tcBorders>
            <w:shd w:val="clear" w:color="auto" w:fill="auto"/>
          </w:tcPr>
          <w:p w14:paraId="2DB5C0B0" w14:textId="77777777" w:rsidR="00FE594F" w:rsidRPr="00940812" w:rsidRDefault="002E1C30" w:rsidP="002E0FC1">
            <w:pPr>
              <w:jc w:val="right"/>
              <w:rPr>
                <w:rFonts w:ascii="Arial" w:hAnsi="Arial" w:cs="Arial"/>
                <w:sz w:val="24"/>
                <w:szCs w:val="24"/>
              </w:rPr>
            </w:pPr>
            <w:r>
              <w:rPr>
                <w:rFonts w:ascii="Arial" w:hAnsi="Arial" w:cs="Arial"/>
                <w:sz w:val="24"/>
                <w:szCs w:val="24"/>
              </w:rPr>
              <w:t>40.0</w:t>
            </w:r>
          </w:p>
        </w:tc>
        <w:tc>
          <w:tcPr>
            <w:tcW w:w="1456" w:type="dxa"/>
            <w:tcBorders>
              <w:top w:val="nil"/>
              <w:left w:val="single" w:sz="4" w:space="0" w:color="auto"/>
              <w:bottom w:val="single" w:sz="4" w:space="0" w:color="auto"/>
              <w:right w:val="single" w:sz="4" w:space="0" w:color="auto"/>
            </w:tcBorders>
            <w:shd w:val="clear" w:color="auto" w:fill="auto"/>
          </w:tcPr>
          <w:p w14:paraId="30ADF8E1" w14:textId="77777777" w:rsidR="00FE594F" w:rsidRPr="00940812" w:rsidRDefault="002C4C93" w:rsidP="005434D9">
            <w:pPr>
              <w:jc w:val="right"/>
              <w:rPr>
                <w:rFonts w:ascii="Arial" w:hAnsi="Arial" w:cs="Arial"/>
                <w:sz w:val="24"/>
                <w:szCs w:val="24"/>
              </w:rPr>
            </w:pPr>
            <w:r>
              <w:rPr>
                <w:rFonts w:ascii="Arial" w:hAnsi="Arial" w:cs="Arial"/>
                <w:sz w:val="24"/>
                <w:szCs w:val="24"/>
              </w:rPr>
              <w:t>4.</w:t>
            </w:r>
            <w:r w:rsidR="00C31300">
              <w:rPr>
                <w:rFonts w:ascii="Arial" w:hAnsi="Arial" w:cs="Arial"/>
                <w:sz w:val="24"/>
                <w:szCs w:val="24"/>
              </w:rPr>
              <w:t>6</w:t>
            </w:r>
            <w:r>
              <w:rPr>
                <w:rFonts w:ascii="Arial" w:hAnsi="Arial" w:cs="Arial"/>
                <w:sz w:val="24"/>
                <w:szCs w:val="24"/>
              </w:rPr>
              <w:t>0</w:t>
            </w:r>
          </w:p>
        </w:tc>
      </w:tr>
      <w:tr w:rsidR="00FE594F" w:rsidRPr="00940812" w14:paraId="1951335C" w14:textId="77777777" w:rsidTr="002E1C30">
        <w:trPr>
          <w:trHeight w:val="510"/>
          <w:jc w:val="center"/>
        </w:trPr>
        <w:tc>
          <w:tcPr>
            <w:tcW w:w="5333" w:type="dxa"/>
            <w:tcBorders>
              <w:top w:val="single" w:sz="4" w:space="0" w:color="auto"/>
              <w:left w:val="single" w:sz="4" w:space="0" w:color="auto"/>
              <w:bottom w:val="single" w:sz="4" w:space="0" w:color="auto"/>
              <w:right w:val="single" w:sz="4" w:space="0" w:color="auto"/>
            </w:tcBorders>
            <w:shd w:val="clear" w:color="auto" w:fill="D9D9D9"/>
            <w:noWrap/>
          </w:tcPr>
          <w:p w14:paraId="13019E6F" w14:textId="77777777" w:rsidR="00FE594F" w:rsidRPr="00940812" w:rsidRDefault="00FE594F" w:rsidP="001D5390">
            <w:pPr>
              <w:rPr>
                <w:rFonts w:ascii="Arial" w:hAnsi="Arial" w:cs="Arial"/>
                <w:bCs/>
                <w:sz w:val="24"/>
                <w:szCs w:val="24"/>
              </w:rPr>
            </w:pPr>
            <w:r w:rsidRPr="00940812">
              <w:rPr>
                <w:rFonts w:ascii="Arial" w:hAnsi="Arial" w:cs="Arial"/>
                <w:bCs/>
                <w:sz w:val="24"/>
                <w:szCs w:val="24"/>
              </w:rPr>
              <w:t xml:space="preserve">Total Treasury Financial Investments </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027D20E" w14:textId="77777777" w:rsidR="00FE594F" w:rsidRPr="00940812" w:rsidRDefault="002E1C30" w:rsidP="00CB4EE9">
            <w:pPr>
              <w:jc w:val="right"/>
              <w:rPr>
                <w:rFonts w:ascii="Arial" w:hAnsi="Arial" w:cs="Arial"/>
                <w:sz w:val="24"/>
                <w:szCs w:val="24"/>
              </w:rPr>
            </w:pPr>
            <w:r>
              <w:rPr>
                <w:rFonts w:ascii="Arial" w:hAnsi="Arial" w:cs="Arial"/>
                <w:sz w:val="24"/>
                <w:szCs w:val="24"/>
              </w:rPr>
              <w:t>11</w:t>
            </w:r>
            <w:r w:rsidR="00C31300">
              <w:rPr>
                <w:rFonts w:ascii="Arial" w:hAnsi="Arial" w:cs="Arial"/>
                <w:sz w:val="24"/>
                <w:szCs w:val="24"/>
              </w:rPr>
              <w:t>1</w:t>
            </w:r>
            <w:r>
              <w:rPr>
                <w:rFonts w:ascii="Arial" w:hAnsi="Arial" w:cs="Arial"/>
                <w:sz w:val="24"/>
                <w:szCs w:val="24"/>
              </w:rPr>
              <w:t>.</w:t>
            </w:r>
            <w:r w:rsidR="00C31300">
              <w:rPr>
                <w:rFonts w:ascii="Arial" w:hAnsi="Arial" w:cs="Arial"/>
                <w:sz w:val="24"/>
                <w:szCs w:val="24"/>
              </w:rPr>
              <w:t>6</w:t>
            </w:r>
          </w:p>
        </w:tc>
        <w:tc>
          <w:tcPr>
            <w:tcW w:w="1456" w:type="dxa"/>
            <w:tcBorders>
              <w:top w:val="single" w:sz="4" w:space="0" w:color="auto"/>
              <w:left w:val="single" w:sz="4" w:space="0" w:color="auto"/>
              <w:bottom w:val="single" w:sz="4" w:space="0" w:color="auto"/>
              <w:right w:val="single" w:sz="4" w:space="0" w:color="auto"/>
            </w:tcBorders>
            <w:shd w:val="clear" w:color="auto" w:fill="D9D9D9"/>
          </w:tcPr>
          <w:p w14:paraId="52B232BC" w14:textId="77777777" w:rsidR="00FE594F" w:rsidRPr="00940812" w:rsidRDefault="00C31300" w:rsidP="001D5390">
            <w:pPr>
              <w:jc w:val="right"/>
              <w:rPr>
                <w:rFonts w:ascii="Arial" w:hAnsi="Arial" w:cs="Arial"/>
                <w:sz w:val="24"/>
                <w:szCs w:val="24"/>
              </w:rPr>
            </w:pPr>
            <w:r>
              <w:rPr>
                <w:rFonts w:ascii="Arial" w:hAnsi="Arial" w:cs="Arial"/>
                <w:sz w:val="24"/>
                <w:szCs w:val="24"/>
              </w:rPr>
              <w:t>3.94</w:t>
            </w:r>
          </w:p>
        </w:tc>
      </w:tr>
      <w:tr w:rsidR="002E1C30" w:rsidRPr="00940812" w14:paraId="70DEDD23" w14:textId="77777777" w:rsidTr="002E1C30">
        <w:trPr>
          <w:trHeight w:val="510"/>
          <w:jc w:val="center"/>
        </w:trPr>
        <w:tc>
          <w:tcPr>
            <w:tcW w:w="5333" w:type="dxa"/>
            <w:tcBorders>
              <w:top w:val="single" w:sz="4" w:space="0" w:color="auto"/>
              <w:left w:val="single" w:sz="4" w:space="0" w:color="auto"/>
              <w:bottom w:val="single" w:sz="4" w:space="0" w:color="auto"/>
              <w:right w:val="single" w:sz="4" w:space="0" w:color="auto"/>
            </w:tcBorders>
            <w:shd w:val="clear" w:color="auto" w:fill="auto"/>
            <w:noWrap/>
          </w:tcPr>
          <w:p w14:paraId="5B2C1AD3" w14:textId="77777777" w:rsidR="002E1C30" w:rsidRPr="00940812" w:rsidRDefault="002E1C30" w:rsidP="001D5390">
            <w:pPr>
              <w:rPr>
                <w:rFonts w:ascii="Arial" w:hAnsi="Arial" w:cs="Arial"/>
                <w:bCs/>
                <w:sz w:val="24"/>
                <w:szCs w:val="24"/>
              </w:rPr>
            </w:pPr>
            <w:r>
              <w:rPr>
                <w:rFonts w:ascii="Arial" w:hAnsi="Arial" w:cs="Arial"/>
                <w:bCs/>
                <w:sz w:val="24"/>
                <w:szCs w:val="24"/>
              </w:rPr>
              <w:t>Carried Loss on Fair Value of External Funds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0DF8A7" w14:textId="77777777" w:rsidR="002E1C30" w:rsidRDefault="002E1C30" w:rsidP="00CB4EE9">
            <w:pPr>
              <w:jc w:val="right"/>
              <w:rPr>
                <w:rFonts w:ascii="Arial" w:hAnsi="Arial" w:cs="Arial"/>
                <w:sz w:val="24"/>
                <w:szCs w:val="24"/>
              </w:rPr>
            </w:pPr>
            <w:r>
              <w:rPr>
                <w:rFonts w:ascii="Arial" w:hAnsi="Arial" w:cs="Arial"/>
                <w:sz w:val="24"/>
                <w:szCs w:val="24"/>
              </w:rPr>
              <w:t>(</w:t>
            </w:r>
            <w:r w:rsidR="00C31300">
              <w:rPr>
                <w:rFonts w:ascii="Arial" w:hAnsi="Arial" w:cs="Arial"/>
                <w:sz w:val="24"/>
                <w:szCs w:val="24"/>
              </w:rPr>
              <w:t>4.7</w:t>
            </w:r>
            <w:r>
              <w:rPr>
                <w:rFonts w:ascii="Arial" w:hAnsi="Arial" w:cs="Arial"/>
                <w:sz w:val="24"/>
                <w:szCs w:val="24"/>
              </w:rPr>
              <w:t>)</w:t>
            </w:r>
          </w:p>
        </w:tc>
        <w:tc>
          <w:tcPr>
            <w:tcW w:w="1456" w:type="dxa"/>
            <w:tcBorders>
              <w:top w:val="single" w:sz="4" w:space="0" w:color="auto"/>
              <w:left w:val="single" w:sz="4" w:space="0" w:color="auto"/>
              <w:bottom w:val="nil"/>
              <w:right w:val="nil"/>
            </w:tcBorders>
            <w:shd w:val="clear" w:color="auto" w:fill="auto"/>
          </w:tcPr>
          <w:p w14:paraId="2108FD01" w14:textId="77777777" w:rsidR="002E1C30" w:rsidRDefault="002E1C30" w:rsidP="001D5390">
            <w:pPr>
              <w:jc w:val="right"/>
              <w:rPr>
                <w:rFonts w:ascii="Arial" w:hAnsi="Arial" w:cs="Arial"/>
                <w:sz w:val="24"/>
                <w:szCs w:val="24"/>
              </w:rPr>
            </w:pPr>
          </w:p>
        </w:tc>
      </w:tr>
      <w:tr w:rsidR="002E1C30" w:rsidRPr="00940812" w14:paraId="59C395A2" w14:textId="77777777" w:rsidTr="00A263C6">
        <w:trPr>
          <w:trHeight w:val="510"/>
          <w:jc w:val="center"/>
        </w:trPr>
        <w:tc>
          <w:tcPr>
            <w:tcW w:w="5333" w:type="dxa"/>
            <w:tcBorders>
              <w:top w:val="single" w:sz="4" w:space="0" w:color="auto"/>
              <w:left w:val="single" w:sz="4" w:space="0" w:color="auto"/>
              <w:bottom w:val="single" w:sz="4" w:space="0" w:color="auto"/>
              <w:right w:val="single" w:sz="4" w:space="0" w:color="auto"/>
            </w:tcBorders>
            <w:shd w:val="clear" w:color="auto" w:fill="D9D9D9"/>
            <w:noWrap/>
          </w:tcPr>
          <w:p w14:paraId="30D67663" w14:textId="77777777" w:rsidR="002E1C30" w:rsidRPr="00940812" w:rsidRDefault="002E1C30" w:rsidP="00A263C6">
            <w:pPr>
              <w:rPr>
                <w:rFonts w:ascii="Arial" w:hAnsi="Arial" w:cs="Arial"/>
                <w:bCs/>
                <w:sz w:val="24"/>
                <w:szCs w:val="24"/>
              </w:rPr>
            </w:pPr>
            <w:r>
              <w:rPr>
                <w:rFonts w:ascii="Arial" w:hAnsi="Arial" w:cs="Arial"/>
                <w:bCs/>
                <w:sz w:val="24"/>
                <w:szCs w:val="24"/>
              </w:rPr>
              <w:t>Current Value of Investments</w:t>
            </w:r>
            <w:r w:rsidRPr="00940812">
              <w:rPr>
                <w:rFonts w:ascii="Arial" w:hAnsi="Arial" w:cs="Arial"/>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2E887262" w14:textId="77777777" w:rsidR="002E1C30" w:rsidRPr="00940812" w:rsidRDefault="002E1C30" w:rsidP="00A263C6">
            <w:pPr>
              <w:jc w:val="right"/>
              <w:rPr>
                <w:rFonts w:ascii="Arial" w:hAnsi="Arial" w:cs="Arial"/>
                <w:sz w:val="24"/>
                <w:szCs w:val="24"/>
              </w:rPr>
            </w:pPr>
            <w:r>
              <w:rPr>
                <w:rFonts w:ascii="Arial" w:hAnsi="Arial" w:cs="Arial"/>
                <w:sz w:val="24"/>
                <w:szCs w:val="24"/>
              </w:rPr>
              <w:t>1</w:t>
            </w:r>
            <w:r w:rsidR="00C31300">
              <w:rPr>
                <w:rFonts w:ascii="Arial" w:hAnsi="Arial" w:cs="Arial"/>
                <w:sz w:val="24"/>
                <w:szCs w:val="24"/>
              </w:rPr>
              <w:t>06.9</w:t>
            </w:r>
          </w:p>
        </w:tc>
        <w:tc>
          <w:tcPr>
            <w:tcW w:w="1456" w:type="dxa"/>
            <w:tcBorders>
              <w:top w:val="nil"/>
              <w:left w:val="single" w:sz="4" w:space="0" w:color="auto"/>
              <w:bottom w:val="nil"/>
              <w:right w:val="nil"/>
            </w:tcBorders>
            <w:shd w:val="clear" w:color="auto" w:fill="auto"/>
          </w:tcPr>
          <w:p w14:paraId="4398D8D7" w14:textId="77777777" w:rsidR="002E1C30" w:rsidRPr="00940812" w:rsidRDefault="002E1C30" w:rsidP="00A263C6">
            <w:pPr>
              <w:jc w:val="right"/>
              <w:rPr>
                <w:rFonts w:ascii="Arial" w:hAnsi="Arial" w:cs="Arial"/>
                <w:sz w:val="24"/>
                <w:szCs w:val="24"/>
              </w:rPr>
            </w:pPr>
          </w:p>
        </w:tc>
      </w:tr>
    </w:tbl>
    <w:p w14:paraId="3F504669" w14:textId="77777777" w:rsidR="008912B7" w:rsidRDefault="006D4293" w:rsidP="008912B7">
      <w:pPr>
        <w:pStyle w:val="ListParagraph"/>
        <w:ind w:left="0"/>
        <w:rPr>
          <w:rFonts w:ascii="Arial" w:hAnsi="Arial" w:cs="Arial"/>
          <w:sz w:val="24"/>
          <w:szCs w:val="24"/>
        </w:rPr>
      </w:pPr>
      <w:r w:rsidRPr="00940812">
        <w:rPr>
          <w:rFonts w:ascii="Arial" w:hAnsi="Arial" w:cs="Arial"/>
          <w:i/>
          <w:sz w:val="20"/>
          <w:szCs w:val="20"/>
        </w:rPr>
        <w:t>*</w:t>
      </w:r>
      <w:r w:rsidR="00C31300">
        <w:rPr>
          <w:rFonts w:ascii="Arial" w:hAnsi="Arial" w:cs="Arial"/>
          <w:i/>
          <w:sz w:val="20"/>
          <w:szCs w:val="20"/>
        </w:rPr>
        <w:t>R</w:t>
      </w:r>
      <w:r w:rsidRPr="00940812">
        <w:rPr>
          <w:rFonts w:ascii="Arial" w:hAnsi="Arial" w:cs="Arial"/>
          <w:i/>
          <w:sz w:val="20"/>
          <w:szCs w:val="20"/>
        </w:rPr>
        <w:t xml:space="preserve">eturns are </w:t>
      </w:r>
      <w:r w:rsidR="00387519" w:rsidRPr="00940812">
        <w:rPr>
          <w:rFonts w:ascii="Arial" w:hAnsi="Arial" w:cs="Arial"/>
          <w:i/>
          <w:sz w:val="20"/>
          <w:szCs w:val="20"/>
        </w:rPr>
        <w:t xml:space="preserve">based on </w:t>
      </w:r>
      <w:r w:rsidR="002E1C30">
        <w:rPr>
          <w:rFonts w:ascii="Arial" w:hAnsi="Arial" w:cs="Arial"/>
          <w:i/>
          <w:sz w:val="20"/>
          <w:szCs w:val="20"/>
        </w:rPr>
        <w:t>Q</w:t>
      </w:r>
      <w:r w:rsidR="002C4C93">
        <w:rPr>
          <w:rFonts w:ascii="Arial" w:hAnsi="Arial" w:cs="Arial"/>
          <w:i/>
          <w:sz w:val="20"/>
          <w:szCs w:val="20"/>
        </w:rPr>
        <w:t>2</w:t>
      </w:r>
      <w:r w:rsidR="002E1C30">
        <w:rPr>
          <w:rFonts w:ascii="Arial" w:hAnsi="Arial" w:cs="Arial"/>
          <w:i/>
          <w:sz w:val="20"/>
          <w:szCs w:val="20"/>
        </w:rPr>
        <w:t xml:space="preserve"> </w:t>
      </w:r>
      <w:r w:rsidR="00BE76BA">
        <w:rPr>
          <w:rFonts w:ascii="Arial" w:hAnsi="Arial" w:cs="Arial"/>
          <w:i/>
          <w:sz w:val="20"/>
          <w:szCs w:val="20"/>
        </w:rPr>
        <w:t>2</w:t>
      </w:r>
      <w:r w:rsidR="00C31300">
        <w:rPr>
          <w:rFonts w:ascii="Arial" w:hAnsi="Arial" w:cs="Arial"/>
          <w:i/>
          <w:sz w:val="20"/>
          <w:szCs w:val="20"/>
        </w:rPr>
        <w:t>3</w:t>
      </w:r>
      <w:r w:rsidR="00BE76BA">
        <w:rPr>
          <w:rFonts w:ascii="Arial" w:hAnsi="Arial" w:cs="Arial"/>
          <w:i/>
          <w:sz w:val="20"/>
          <w:szCs w:val="20"/>
        </w:rPr>
        <w:t>-2</w:t>
      </w:r>
      <w:r w:rsidR="00C31300">
        <w:rPr>
          <w:rFonts w:ascii="Arial" w:hAnsi="Arial" w:cs="Arial"/>
          <w:i/>
          <w:sz w:val="20"/>
          <w:szCs w:val="20"/>
        </w:rPr>
        <w:t>4</w:t>
      </w:r>
      <w:r w:rsidR="002E1C30">
        <w:rPr>
          <w:rFonts w:ascii="Arial" w:hAnsi="Arial" w:cs="Arial"/>
          <w:i/>
          <w:sz w:val="20"/>
          <w:szCs w:val="20"/>
        </w:rPr>
        <w:t>. They are not representative of future returns.</w:t>
      </w:r>
      <w:r w:rsidR="00387519" w:rsidRPr="00940812">
        <w:rPr>
          <w:rFonts w:ascii="Arial" w:hAnsi="Arial" w:cs="Arial"/>
          <w:i/>
          <w:sz w:val="20"/>
          <w:szCs w:val="20"/>
        </w:rPr>
        <w:br/>
      </w:r>
      <w:r w:rsidR="00CF7EDA">
        <w:rPr>
          <w:rFonts w:ascii="Arial" w:hAnsi="Arial" w:cs="Arial"/>
          <w:i/>
          <w:sz w:val="20"/>
          <w:szCs w:val="20"/>
        </w:rPr>
        <w:br/>
      </w:r>
      <w:r w:rsidR="008912B7" w:rsidRPr="00E1158E">
        <w:rPr>
          <w:rFonts w:ascii="Arial" w:hAnsi="Arial" w:cs="Arial"/>
          <w:sz w:val="24"/>
          <w:szCs w:val="24"/>
        </w:rPr>
        <w:t xml:space="preserve">CIPFA’s Prudential Code for Capital Finance in Local Authorities </w:t>
      </w:r>
      <w:r w:rsidR="004F7B57">
        <w:rPr>
          <w:rFonts w:ascii="Arial" w:hAnsi="Arial" w:cs="Arial"/>
          <w:sz w:val="24"/>
          <w:szCs w:val="24"/>
        </w:rPr>
        <w:t xml:space="preserve">(“the Prudential Code”) </w:t>
      </w:r>
      <w:r w:rsidR="001B337B">
        <w:rPr>
          <w:rFonts w:ascii="Arial" w:hAnsi="Arial" w:cs="Arial"/>
          <w:sz w:val="24"/>
          <w:szCs w:val="24"/>
        </w:rPr>
        <w:t>states that, as a minimum, the Council must forecast its liability benchmark for the current and future 2 financial years. T</w:t>
      </w:r>
      <w:r w:rsidR="008912B7">
        <w:rPr>
          <w:rFonts w:ascii="Arial" w:hAnsi="Arial" w:cs="Arial"/>
          <w:sz w:val="24"/>
          <w:szCs w:val="24"/>
        </w:rPr>
        <w:t xml:space="preserve">his is shown in </w:t>
      </w:r>
      <w:r w:rsidR="003C30AE">
        <w:rPr>
          <w:rFonts w:ascii="Arial" w:hAnsi="Arial" w:cs="Arial"/>
          <w:sz w:val="24"/>
          <w:szCs w:val="24"/>
        </w:rPr>
        <w:t>t</w:t>
      </w:r>
      <w:r w:rsidR="008912B7">
        <w:rPr>
          <w:rFonts w:ascii="Arial" w:hAnsi="Arial" w:cs="Arial"/>
          <w:sz w:val="24"/>
          <w:szCs w:val="24"/>
        </w:rPr>
        <w:t xml:space="preserve">able 2 below. </w:t>
      </w:r>
      <w:r w:rsidR="000B0FF4" w:rsidRPr="000B0FF4">
        <w:rPr>
          <w:rFonts w:ascii="Arial" w:hAnsi="Arial" w:cs="Arial"/>
          <w:sz w:val="24"/>
          <w:szCs w:val="24"/>
        </w:rPr>
        <w:t>The Liability Benchmark is effectively the Net Borrowing Requirement of a local authority plus a liquidity allowance. In its simplest form, it is calculated by deducting the amount of investable resources available on the balance sheet (reserves, cash flow balances) from the amount of outstanding external debt and then adding the minimum level of investments required to manage day-to-day cash flow.</w:t>
      </w:r>
    </w:p>
    <w:p w14:paraId="05AA0CD4" w14:textId="77777777" w:rsidR="008912B7" w:rsidRDefault="008912B7" w:rsidP="008912B7">
      <w:pPr>
        <w:pStyle w:val="ListParagraph"/>
        <w:ind w:left="0"/>
        <w:rPr>
          <w:rFonts w:ascii="Arial" w:hAnsi="Arial" w:cs="Arial"/>
          <w:sz w:val="24"/>
          <w:szCs w:val="24"/>
        </w:rPr>
      </w:pPr>
    </w:p>
    <w:p w14:paraId="67BADCF5" w14:textId="77777777" w:rsidR="004935A9" w:rsidRDefault="001B337B" w:rsidP="001B337B">
      <w:pPr>
        <w:pStyle w:val="ListParagraph"/>
        <w:ind w:left="0"/>
        <w:rPr>
          <w:rFonts w:ascii="Arial" w:hAnsi="Arial" w:cs="Arial"/>
          <w:sz w:val="24"/>
          <w:szCs w:val="24"/>
        </w:rPr>
      </w:pPr>
      <w:r>
        <w:rPr>
          <w:rFonts w:ascii="Arial" w:hAnsi="Arial" w:cs="Arial"/>
          <w:sz w:val="24"/>
          <w:szCs w:val="24"/>
        </w:rPr>
        <w:t xml:space="preserve">The Code requires any </w:t>
      </w:r>
      <w:r w:rsidRPr="001B337B">
        <w:rPr>
          <w:rFonts w:ascii="Arial" w:hAnsi="Arial" w:cs="Arial"/>
          <w:sz w:val="24"/>
          <w:szCs w:val="24"/>
        </w:rPr>
        <w:t xml:space="preserve">substantial mismatches between actual loan debt outstanding and the liability benchmark </w:t>
      </w:r>
      <w:r>
        <w:rPr>
          <w:rFonts w:ascii="Arial" w:hAnsi="Arial" w:cs="Arial"/>
          <w:sz w:val="24"/>
          <w:szCs w:val="24"/>
        </w:rPr>
        <w:t xml:space="preserve">to be explained. As </w:t>
      </w:r>
      <w:r w:rsidR="008912B7">
        <w:rPr>
          <w:rFonts w:ascii="Arial" w:hAnsi="Arial" w:cs="Arial"/>
          <w:sz w:val="24"/>
          <w:szCs w:val="24"/>
        </w:rPr>
        <w:t>the Council’s net Treasury position is debt free across the entire forecast period, the Council’s liability benchmark (and C</w:t>
      </w:r>
      <w:r w:rsidR="004F7B57">
        <w:rPr>
          <w:rFonts w:ascii="Arial" w:hAnsi="Arial" w:cs="Arial"/>
          <w:sz w:val="24"/>
          <w:szCs w:val="24"/>
        </w:rPr>
        <w:t xml:space="preserve">apital </w:t>
      </w:r>
      <w:r w:rsidR="008912B7">
        <w:rPr>
          <w:rFonts w:ascii="Arial" w:hAnsi="Arial" w:cs="Arial"/>
          <w:sz w:val="24"/>
          <w:szCs w:val="24"/>
        </w:rPr>
        <w:t>F</w:t>
      </w:r>
      <w:r w:rsidR="004F7B57">
        <w:rPr>
          <w:rFonts w:ascii="Arial" w:hAnsi="Arial" w:cs="Arial"/>
          <w:sz w:val="24"/>
          <w:szCs w:val="24"/>
        </w:rPr>
        <w:t xml:space="preserve">inancing </w:t>
      </w:r>
      <w:r w:rsidR="008912B7">
        <w:rPr>
          <w:rFonts w:ascii="Arial" w:hAnsi="Arial" w:cs="Arial"/>
          <w:sz w:val="24"/>
          <w:szCs w:val="24"/>
        </w:rPr>
        <w:t>R</w:t>
      </w:r>
      <w:r w:rsidR="004F7B57">
        <w:rPr>
          <w:rFonts w:ascii="Arial" w:hAnsi="Arial" w:cs="Arial"/>
          <w:sz w:val="24"/>
          <w:szCs w:val="24"/>
        </w:rPr>
        <w:t>equirement, “CFR”</w:t>
      </w:r>
      <w:r w:rsidR="008912B7">
        <w:rPr>
          <w:rFonts w:ascii="Arial" w:hAnsi="Arial" w:cs="Arial"/>
          <w:sz w:val="24"/>
          <w:szCs w:val="24"/>
        </w:rPr>
        <w:t xml:space="preserve">) is also </w:t>
      </w:r>
      <w:r w:rsidR="004F7B57">
        <w:rPr>
          <w:rFonts w:ascii="Arial" w:hAnsi="Arial" w:cs="Arial"/>
          <w:sz w:val="24"/>
          <w:szCs w:val="24"/>
        </w:rPr>
        <w:t xml:space="preserve">nil or </w:t>
      </w:r>
      <w:r w:rsidR="008912B7">
        <w:rPr>
          <w:rFonts w:ascii="Arial" w:hAnsi="Arial" w:cs="Arial"/>
          <w:sz w:val="24"/>
          <w:szCs w:val="24"/>
        </w:rPr>
        <w:t>negative</w:t>
      </w:r>
      <w:r w:rsidR="002325CC">
        <w:rPr>
          <w:rFonts w:ascii="Arial" w:hAnsi="Arial" w:cs="Arial"/>
          <w:sz w:val="24"/>
          <w:szCs w:val="24"/>
        </w:rPr>
        <w:t xml:space="preserve"> across the forecast period, indicating that there is no present need to </w:t>
      </w:r>
      <w:r w:rsidR="002536CB">
        <w:rPr>
          <w:rFonts w:ascii="Arial" w:hAnsi="Arial" w:cs="Arial"/>
          <w:sz w:val="24"/>
          <w:szCs w:val="24"/>
        </w:rPr>
        <w:t>borrow,</w:t>
      </w:r>
      <w:r w:rsidR="002325CC">
        <w:rPr>
          <w:rFonts w:ascii="Arial" w:hAnsi="Arial" w:cs="Arial"/>
          <w:sz w:val="24"/>
          <w:szCs w:val="24"/>
        </w:rPr>
        <w:t xml:space="preserve"> </w:t>
      </w:r>
      <w:r>
        <w:rPr>
          <w:rFonts w:ascii="Arial" w:hAnsi="Arial" w:cs="Arial"/>
          <w:sz w:val="24"/>
          <w:szCs w:val="24"/>
        </w:rPr>
        <w:t>and no further explanation is required.</w:t>
      </w:r>
    </w:p>
    <w:p w14:paraId="06BB88D6" w14:textId="77777777" w:rsidR="00F56F77" w:rsidRDefault="00F56F77" w:rsidP="001B337B">
      <w:pPr>
        <w:pStyle w:val="ListParagraph"/>
        <w:ind w:left="0"/>
        <w:rPr>
          <w:rFonts w:ascii="Arial" w:hAnsi="Arial" w:cs="Arial"/>
          <w:sz w:val="24"/>
          <w:szCs w:val="24"/>
        </w:rPr>
      </w:pPr>
    </w:p>
    <w:p w14:paraId="637D2772" w14:textId="77777777" w:rsidR="00F56F77" w:rsidRDefault="00F56F77" w:rsidP="001B337B">
      <w:pPr>
        <w:pStyle w:val="ListParagraph"/>
        <w:ind w:left="0"/>
        <w:rPr>
          <w:rFonts w:ascii="Arial" w:hAnsi="Arial" w:cs="Arial"/>
          <w:sz w:val="24"/>
          <w:szCs w:val="24"/>
        </w:rPr>
      </w:pPr>
      <w:r>
        <w:rPr>
          <w:rFonts w:ascii="Arial" w:hAnsi="Arial" w:cs="Arial"/>
          <w:sz w:val="24"/>
          <w:szCs w:val="24"/>
        </w:rPr>
        <w:t xml:space="preserve">From the projection in table 2 the Council has determined that </w:t>
      </w:r>
      <w:r w:rsidR="000411FB">
        <w:rPr>
          <w:rFonts w:ascii="Arial" w:hAnsi="Arial" w:cs="Arial"/>
          <w:sz w:val="24"/>
          <w:szCs w:val="24"/>
        </w:rPr>
        <w:t>its long-term investments in pooled funds are Treasury, not Commercial, investments. They are therefore managed under part 1 of this strategy.  The Council accepts that, should it cease to be debt free, this classification will be reviewed in line with the requirements of the Treasury Code.</w:t>
      </w:r>
    </w:p>
    <w:p w14:paraId="535F38F9" w14:textId="77777777" w:rsidR="00AA2144" w:rsidRDefault="00AA2144" w:rsidP="001B337B">
      <w:pPr>
        <w:pStyle w:val="ListParagraph"/>
        <w:ind w:left="0"/>
        <w:rPr>
          <w:rFonts w:ascii="Arial" w:hAnsi="Arial" w:cs="Arial"/>
          <w:sz w:val="24"/>
          <w:szCs w:val="24"/>
        </w:rPr>
      </w:pPr>
    </w:p>
    <w:p w14:paraId="07198C44" w14:textId="77777777" w:rsidR="002E1C30" w:rsidRDefault="002E1C30" w:rsidP="004935A9">
      <w:pPr>
        <w:pStyle w:val="ListParagraph"/>
        <w:ind w:left="0"/>
        <w:rPr>
          <w:rFonts w:ascii="Arial" w:hAnsi="Arial" w:cs="Arial"/>
          <w:sz w:val="24"/>
          <w:szCs w:val="24"/>
        </w:rPr>
      </w:pPr>
    </w:p>
    <w:p w14:paraId="7A26BE14" w14:textId="77777777" w:rsidR="005875E0" w:rsidRDefault="005875E0" w:rsidP="004935A9">
      <w:pPr>
        <w:pStyle w:val="ListParagraph"/>
        <w:ind w:left="0"/>
        <w:rPr>
          <w:rFonts w:ascii="Arial" w:hAnsi="Arial" w:cs="Arial"/>
          <w:sz w:val="24"/>
          <w:szCs w:val="24"/>
        </w:rPr>
      </w:pPr>
    </w:p>
    <w:p w14:paraId="3B56FA01" w14:textId="77777777" w:rsidR="007956CD" w:rsidRDefault="007956CD" w:rsidP="004935A9">
      <w:pPr>
        <w:pStyle w:val="ListParagraph"/>
        <w:ind w:left="0"/>
        <w:rPr>
          <w:rFonts w:ascii="Arial" w:hAnsi="Arial" w:cs="Arial"/>
          <w:sz w:val="24"/>
          <w:szCs w:val="24"/>
        </w:rPr>
      </w:pPr>
    </w:p>
    <w:p w14:paraId="12C1D235" w14:textId="77777777" w:rsidR="007956CD" w:rsidRDefault="007956CD" w:rsidP="004935A9">
      <w:pPr>
        <w:pStyle w:val="ListParagraph"/>
        <w:ind w:left="0"/>
        <w:rPr>
          <w:rFonts w:ascii="Arial" w:hAnsi="Arial" w:cs="Arial"/>
          <w:sz w:val="24"/>
          <w:szCs w:val="24"/>
        </w:rPr>
      </w:pPr>
    </w:p>
    <w:p w14:paraId="510AF69D" w14:textId="64A4B6E0" w:rsidR="004935A9" w:rsidRPr="00E1158E" w:rsidRDefault="004935A9" w:rsidP="004935A9">
      <w:pPr>
        <w:pStyle w:val="ListParagraph"/>
        <w:ind w:left="0"/>
        <w:rPr>
          <w:rFonts w:ascii="Arial" w:hAnsi="Arial" w:cs="Arial"/>
          <w:i/>
          <w:color w:val="000000"/>
          <w:sz w:val="24"/>
          <w:szCs w:val="24"/>
        </w:rPr>
      </w:pPr>
      <w:r w:rsidRPr="00BF723E">
        <w:rPr>
          <w:rFonts w:ascii="Arial" w:hAnsi="Arial" w:cs="Arial"/>
          <w:i/>
          <w:color w:val="000000"/>
          <w:sz w:val="24"/>
          <w:szCs w:val="24"/>
        </w:rPr>
        <w:lastRenderedPageBreak/>
        <w:t xml:space="preserve">Table 2: </w:t>
      </w:r>
      <w:r w:rsidR="00336C06" w:rsidRPr="00BF723E">
        <w:rPr>
          <w:rFonts w:ascii="Arial" w:hAnsi="Arial" w:cs="Arial"/>
          <w:i/>
          <w:color w:val="000000"/>
          <w:sz w:val="24"/>
          <w:szCs w:val="24"/>
        </w:rPr>
        <w:t>Liability Benchmark forecast</w:t>
      </w:r>
      <w:r w:rsidRPr="00BF723E">
        <w:rPr>
          <w:rFonts w:ascii="Arial" w:hAnsi="Arial" w:cs="Arial"/>
          <w:i/>
          <w:color w:val="000000"/>
          <w:sz w:val="24"/>
          <w:szCs w:val="24"/>
        </w:rPr>
        <w:t xml:space="preserve"> to 31 March 202</w:t>
      </w:r>
      <w:r w:rsidR="000A0C53" w:rsidRPr="00BF723E">
        <w:rPr>
          <w:rFonts w:ascii="Arial" w:hAnsi="Arial" w:cs="Arial"/>
          <w:i/>
          <w:color w:val="000000"/>
          <w:sz w:val="24"/>
          <w:szCs w:val="24"/>
        </w:rPr>
        <w:t>9</w:t>
      </w:r>
      <w:r w:rsidR="007B074D">
        <w:rPr>
          <w:rFonts w:ascii="Arial" w:hAnsi="Arial" w:cs="Arial"/>
          <w:i/>
          <w:color w:val="000000"/>
          <w:sz w:val="24"/>
          <w:szCs w:val="24"/>
        </w:rPr>
        <w:t xml:space="preserve"> </w:t>
      </w:r>
      <w:r w:rsidR="00853450">
        <w:rPr>
          <w:rFonts w:ascii="Arial" w:hAnsi="Arial" w:cs="Arial"/>
          <w:i/>
          <w:color w:val="000000"/>
          <w:sz w:val="24"/>
          <w:szCs w:val="24"/>
        </w:rPr>
        <w:t>(Updated)</w:t>
      </w:r>
    </w:p>
    <w:tbl>
      <w:tblPr>
        <w:tblpPr w:leftFromText="180" w:rightFromText="180" w:vertAnchor="text" w:horzAnchor="margin" w:tblpY="209"/>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1027"/>
        <w:gridCol w:w="1026"/>
        <w:gridCol w:w="1026"/>
        <w:gridCol w:w="1173"/>
        <w:gridCol w:w="1007"/>
        <w:gridCol w:w="986"/>
      </w:tblGrid>
      <w:tr w:rsidR="004935A9" w:rsidRPr="00940812" w14:paraId="4C3E2676" w14:textId="77777777" w:rsidTr="004935A9">
        <w:trPr>
          <w:trHeight w:val="899"/>
        </w:trPr>
        <w:tc>
          <w:tcPr>
            <w:tcW w:w="3948" w:type="dxa"/>
            <w:vAlign w:val="center"/>
          </w:tcPr>
          <w:p w14:paraId="2CA3D727" w14:textId="77777777" w:rsidR="004935A9" w:rsidRPr="00940812" w:rsidRDefault="004935A9" w:rsidP="004935A9">
            <w:pPr>
              <w:spacing w:after="0"/>
              <w:rPr>
                <w:rFonts w:ascii="Arial" w:eastAsia="Times New Roman" w:hAnsi="Arial" w:cs="Arial"/>
                <w:bCs/>
                <w:sz w:val="24"/>
                <w:szCs w:val="24"/>
                <w:lang w:eastAsia="en-GB"/>
              </w:rPr>
            </w:pPr>
          </w:p>
        </w:tc>
        <w:tc>
          <w:tcPr>
            <w:tcW w:w="1027" w:type="dxa"/>
            <w:shd w:val="clear" w:color="auto" w:fill="D9D9D9"/>
            <w:vAlign w:val="center"/>
          </w:tcPr>
          <w:p w14:paraId="2481CA9C" w14:textId="77777777" w:rsidR="004935A9" w:rsidRPr="00940812" w:rsidRDefault="00F46CB6" w:rsidP="00B63B9B">
            <w:pPr>
              <w:spacing w:after="0" w:line="240" w:lineRule="auto"/>
              <w:jc w:val="center"/>
              <w:rPr>
                <w:rFonts w:ascii="Arial" w:eastAsia="Times New Roman" w:hAnsi="Arial" w:cs="Arial"/>
                <w:bCs/>
                <w:sz w:val="24"/>
                <w:szCs w:val="24"/>
                <w:lang w:eastAsia="en-GB"/>
              </w:rPr>
            </w:pPr>
            <w:r>
              <w:rPr>
                <w:rFonts w:ascii="Arial" w:eastAsia="Times New Roman" w:hAnsi="Arial" w:cs="Arial"/>
                <w:bCs/>
                <w:sz w:val="24"/>
                <w:szCs w:val="24"/>
                <w:lang w:eastAsia="en-GB"/>
              </w:rPr>
              <w:t xml:space="preserve">Actual </w:t>
            </w:r>
            <w:r w:rsidR="004935A9" w:rsidRPr="00940812">
              <w:rPr>
                <w:rFonts w:ascii="Arial" w:eastAsia="Times New Roman" w:hAnsi="Arial" w:cs="Arial"/>
                <w:bCs/>
                <w:sz w:val="24"/>
                <w:szCs w:val="24"/>
                <w:lang w:eastAsia="en-GB"/>
              </w:rPr>
              <w:t>20</w:t>
            </w:r>
            <w:r w:rsidR="004935A9">
              <w:rPr>
                <w:rFonts w:ascii="Arial" w:eastAsia="Times New Roman" w:hAnsi="Arial" w:cs="Arial"/>
                <w:bCs/>
                <w:sz w:val="24"/>
                <w:szCs w:val="24"/>
                <w:lang w:eastAsia="en-GB"/>
              </w:rPr>
              <w:t>2</w:t>
            </w:r>
            <w:r w:rsidR="009938EF">
              <w:rPr>
                <w:rFonts w:ascii="Arial" w:eastAsia="Times New Roman" w:hAnsi="Arial" w:cs="Arial"/>
                <w:bCs/>
                <w:sz w:val="24"/>
                <w:szCs w:val="24"/>
                <w:lang w:eastAsia="en-GB"/>
              </w:rPr>
              <w:t>3</w:t>
            </w:r>
            <w:r w:rsidR="00B63B9B">
              <w:rPr>
                <w:rFonts w:ascii="Arial" w:eastAsia="Times New Roman" w:hAnsi="Arial" w:cs="Arial"/>
                <w:bCs/>
                <w:sz w:val="24"/>
                <w:szCs w:val="24"/>
                <w:lang w:eastAsia="en-GB"/>
              </w:rPr>
              <w:t xml:space="preserve"> £m</w:t>
            </w:r>
          </w:p>
        </w:tc>
        <w:tc>
          <w:tcPr>
            <w:tcW w:w="1026" w:type="dxa"/>
            <w:vAlign w:val="center"/>
          </w:tcPr>
          <w:p w14:paraId="22469B8A" w14:textId="77777777" w:rsidR="00F46CB6" w:rsidRPr="00940812" w:rsidRDefault="004935A9" w:rsidP="00F46CB6">
            <w:pPr>
              <w:spacing w:after="0" w:line="240" w:lineRule="auto"/>
              <w:jc w:val="center"/>
              <w:rPr>
                <w:rFonts w:ascii="Arial" w:eastAsia="Times New Roman" w:hAnsi="Arial" w:cs="Arial"/>
                <w:bCs/>
                <w:sz w:val="24"/>
                <w:szCs w:val="24"/>
                <w:lang w:eastAsia="en-GB"/>
              </w:rPr>
            </w:pPr>
            <w:r>
              <w:rPr>
                <w:rFonts w:ascii="Arial" w:eastAsia="Times New Roman" w:hAnsi="Arial" w:cs="Arial"/>
                <w:bCs/>
                <w:sz w:val="24"/>
                <w:szCs w:val="24"/>
                <w:lang w:eastAsia="en-GB"/>
              </w:rPr>
              <w:t>20</w:t>
            </w:r>
            <w:r w:rsidR="00F46CB6">
              <w:rPr>
                <w:rFonts w:ascii="Arial" w:eastAsia="Times New Roman" w:hAnsi="Arial" w:cs="Arial"/>
                <w:bCs/>
                <w:sz w:val="24"/>
                <w:szCs w:val="24"/>
                <w:lang w:eastAsia="en-GB"/>
              </w:rPr>
              <w:t>2</w:t>
            </w:r>
            <w:r w:rsidR="009938EF">
              <w:rPr>
                <w:rFonts w:ascii="Arial" w:eastAsia="Times New Roman" w:hAnsi="Arial" w:cs="Arial"/>
                <w:bCs/>
                <w:sz w:val="24"/>
                <w:szCs w:val="24"/>
                <w:lang w:eastAsia="en-GB"/>
              </w:rPr>
              <w:t>4</w:t>
            </w:r>
            <w:r w:rsidR="00F46CB6">
              <w:rPr>
                <w:rFonts w:ascii="Arial" w:eastAsia="Times New Roman" w:hAnsi="Arial" w:cs="Arial"/>
                <w:bCs/>
                <w:sz w:val="24"/>
                <w:szCs w:val="24"/>
                <w:lang w:eastAsia="en-GB"/>
              </w:rPr>
              <w:t xml:space="preserve"> £m</w:t>
            </w:r>
          </w:p>
        </w:tc>
        <w:tc>
          <w:tcPr>
            <w:tcW w:w="1026" w:type="dxa"/>
            <w:vAlign w:val="center"/>
          </w:tcPr>
          <w:p w14:paraId="09C9C0F2" w14:textId="77777777" w:rsidR="004935A9" w:rsidRDefault="004935A9" w:rsidP="00F46CB6">
            <w:pPr>
              <w:spacing w:after="0" w:line="240" w:lineRule="auto"/>
              <w:jc w:val="center"/>
              <w:rPr>
                <w:rFonts w:ascii="Arial" w:eastAsia="Times New Roman" w:hAnsi="Arial" w:cs="Arial"/>
                <w:bCs/>
                <w:sz w:val="24"/>
                <w:szCs w:val="24"/>
                <w:lang w:eastAsia="en-GB"/>
              </w:rPr>
            </w:pPr>
            <w:r>
              <w:rPr>
                <w:rFonts w:ascii="Arial" w:eastAsia="Times New Roman" w:hAnsi="Arial" w:cs="Arial"/>
                <w:bCs/>
                <w:sz w:val="24"/>
                <w:szCs w:val="24"/>
                <w:lang w:eastAsia="en-GB"/>
              </w:rPr>
              <w:t>202</w:t>
            </w:r>
            <w:r w:rsidR="009938EF">
              <w:rPr>
                <w:rFonts w:ascii="Arial" w:eastAsia="Times New Roman" w:hAnsi="Arial" w:cs="Arial"/>
                <w:bCs/>
                <w:sz w:val="24"/>
                <w:szCs w:val="24"/>
                <w:lang w:eastAsia="en-GB"/>
              </w:rPr>
              <w:t>5</w:t>
            </w:r>
          </w:p>
          <w:p w14:paraId="1BFBC627" w14:textId="77777777" w:rsidR="00F46CB6" w:rsidRPr="00940812" w:rsidRDefault="00F46CB6" w:rsidP="00F46CB6">
            <w:pPr>
              <w:spacing w:after="0" w:line="240" w:lineRule="auto"/>
              <w:jc w:val="center"/>
              <w:rPr>
                <w:rFonts w:ascii="Arial" w:eastAsia="Times New Roman" w:hAnsi="Arial" w:cs="Arial"/>
                <w:bCs/>
                <w:sz w:val="24"/>
                <w:szCs w:val="24"/>
                <w:lang w:eastAsia="en-GB"/>
              </w:rPr>
            </w:pPr>
            <w:r>
              <w:rPr>
                <w:rFonts w:ascii="Arial" w:eastAsia="Times New Roman" w:hAnsi="Arial" w:cs="Arial"/>
                <w:bCs/>
                <w:sz w:val="24"/>
                <w:szCs w:val="24"/>
                <w:lang w:eastAsia="en-GB"/>
              </w:rPr>
              <w:t>£m</w:t>
            </w:r>
          </w:p>
        </w:tc>
        <w:tc>
          <w:tcPr>
            <w:tcW w:w="1173" w:type="dxa"/>
            <w:vAlign w:val="center"/>
          </w:tcPr>
          <w:p w14:paraId="24ED8F86" w14:textId="77777777" w:rsidR="004935A9" w:rsidRDefault="004935A9" w:rsidP="00F46CB6">
            <w:pPr>
              <w:spacing w:after="0" w:line="240" w:lineRule="auto"/>
              <w:jc w:val="center"/>
              <w:rPr>
                <w:rFonts w:ascii="Arial" w:eastAsia="Times New Roman" w:hAnsi="Arial" w:cs="Arial"/>
                <w:bCs/>
                <w:sz w:val="24"/>
                <w:szCs w:val="24"/>
                <w:lang w:eastAsia="en-GB"/>
              </w:rPr>
            </w:pPr>
            <w:r>
              <w:rPr>
                <w:rFonts w:ascii="Arial" w:eastAsia="Times New Roman" w:hAnsi="Arial" w:cs="Arial"/>
                <w:bCs/>
                <w:sz w:val="24"/>
                <w:szCs w:val="24"/>
                <w:lang w:eastAsia="en-GB"/>
              </w:rPr>
              <w:t>202</w:t>
            </w:r>
            <w:r w:rsidR="009938EF">
              <w:rPr>
                <w:rFonts w:ascii="Arial" w:eastAsia="Times New Roman" w:hAnsi="Arial" w:cs="Arial"/>
                <w:bCs/>
                <w:sz w:val="24"/>
                <w:szCs w:val="24"/>
                <w:lang w:eastAsia="en-GB"/>
              </w:rPr>
              <w:t>6</w:t>
            </w:r>
          </w:p>
          <w:p w14:paraId="48A7DADA" w14:textId="77777777" w:rsidR="00F46CB6" w:rsidRPr="00940812" w:rsidRDefault="00F46CB6" w:rsidP="00F46CB6">
            <w:pPr>
              <w:spacing w:after="0" w:line="240" w:lineRule="auto"/>
              <w:jc w:val="center"/>
              <w:rPr>
                <w:rFonts w:ascii="Arial" w:eastAsia="Times New Roman" w:hAnsi="Arial" w:cs="Arial"/>
                <w:bCs/>
                <w:sz w:val="24"/>
                <w:szCs w:val="24"/>
                <w:lang w:eastAsia="en-GB"/>
              </w:rPr>
            </w:pPr>
            <w:r>
              <w:rPr>
                <w:rFonts w:ascii="Arial" w:eastAsia="Times New Roman" w:hAnsi="Arial" w:cs="Arial"/>
                <w:bCs/>
                <w:sz w:val="24"/>
                <w:szCs w:val="24"/>
                <w:lang w:eastAsia="en-GB"/>
              </w:rPr>
              <w:t>£m</w:t>
            </w:r>
          </w:p>
        </w:tc>
        <w:tc>
          <w:tcPr>
            <w:tcW w:w="1007" w:type="dxa"/>
            <w:vAlign w:val="center"/>
          </w:tcPr>
          <w:p w14:paraId="6A83A87F" w14:textId="77777777" w:rsidR="004935A9" w:rsidRDefault="004935A9" w:rsidP="00F46CB6">
            <w:pPr>
              <w:spacing w:after="0" w:line="240" w:lineRule="auto"/>
              <w:jc w:val="center"/>
              <w:rPr>
                <w:rFonts w:ascii="Arial" w:eastAsia="Times New Roman" w:hAnsi="Arial" w:cs="Arial"/>
                <w:bCs/>
                <w:sz w:val="24"/>
                <w:szCs w:val="24"/>
                <w:lang w:eastAsia="en-GB"/>
              </w:rPr>
            </w:pPr>
            <w:r>
              <w:rPr>
                <w:rFonts w:ascii="Arial" w:eastAsia="Times New Roman" w:hAnsi="Arial" w:cs="Arial"/>
                <w:bCs/>
                <w:sz w:val="24"/>
                <w:szCs w:val="24"/>
                <w:lang w:eastAsia="en-GB"/>
              </w:rPr>
              <w:t>202</w:t>
            </w:r>
            <w:r w:rsidR="009938EF">
              <w:rPr>
                <w:rFonts w:ascii="Arial" w:eastAsia="Times New Roman" w:hAnsi="Arial" w:cs="Arial"/>
                <w:bCs/>
                <w:sz w:val="24"/>
                <w:szCs w:val="24"/>
                <w:lang w:eastAsia="en-GB"/>
              </w:rPr>
              <w:t>7</w:t>
            </w:r>
          </w:p>
          <w:p w14:paraId="57E3FF08" w14:textId="77777777" w:rsidR="00F46CB6" w:rsidRPr="00940812" w:rsidRDefault="00F46CB6" w:rsidP="00F46CB6">
            <w:pPr>
              <w:spacing w:after="0" w:line="240" w:lineRule="auto"/>
              <w:jc w:val="center"/>
              <w:rPr>
                <w:rFonts w:ascii="Arial" w:eastAsia="Times New Roman" w:hAnsi="Arial" w:cs="Arial"/>
                <w:bCs/>
                <w:sz w:val="24"/>
                <w:szCs w:val="24"/>
                <w:lang w:eastAsia="en-GB"/>
              </w:rPr>
            </w:pPr>
            <w:r>
              <w:rPr>
                <w:rFonts w:ascii="Arial" w:eastAsia="Times New Roman" w:hAnsi="Arial" w:cs="Arial"/>
                <w:bCs/>
                <w:sz w:val="24"/>
                <w:szCs w:val="24"/>
                <w:lang w:eastAsia="en-GB"/>
              </w:rPr>
              <w:t>£m</w:t>
            </w:r>
          </w:p>
        </w:tc>
        <w:tc>
          <w:tcPr>
            <w:tcW w:w="986" w:type="dxa"/>
          </w:tcPr>
          <w:p w14:paraId="60BBA926" w14:textId="77777777" w:rsidR="004935A9" w:rsidRDefault="004935A9" w:rsidP="00F46CB6">
            <w:pPr>
              <w:spacing w:after="0" w:line="240" w:lineRule="auto"/>
              <w:jc w:val="center"/>
              <w:rPr>
                <w:rFonts w:ascii="Arial" w:eastAsia="Times New Roman" w:hAnsi="Arial" w:cs="Arial"/>
                <w:bCs/>
                <w:sz w:val="24"/>
                <w:szCs w:val="24"/>
                <w:lang w:eastAsia="en-GB"/>
              </w:rPr>
            </w:pPr>
            <w:r>
              <w:rPr>
                <w:rFonts w:ascii="Arial" w:eastAsia="Times New Roman" w:hAnsi="Arial" w:cs="Arial"/>
                <w:bCs/>
                <w:sz w:val="24"/>
                <w:szCs w:val="24"/>
                <w:lang w:eastAsia="en-GB"/>
              </w:rPr>
              <w:br/>
              <w:t>202</w:t>
            </w:r>
            <w:r w:rsidR="009938EF">
              <w:rPr>
                <w:rFonts w:ascii="Arial" w:eastAsia="Times New Roman" w:hAnsi="Arial" w:cs="Arial"/>
                <w:bCs/>
                <w:sz w:val="24"/>
                <w:szCs w:val="24"/>
                <w:lang w:eastAsia="en-GB"/>
              </w:rPr>
              <w:t>8</w:t>
            </w:r>
          </w:p>
          <w:p w14:paraId="1A550F71" w14:textId="77777777" w:rsidR="00F46CB6" w:rsidRPr="00940812" w:rsidRDefault="00F46CB6" w:rsidP="00B63B9B">
            <w:pPr>
              <w:spacing w:line="240" w:lineRule="auto"/>
              <w:jc w:val="center"/>
              <w:rPr>
                <w:rFonts w:ascii="Arial" w:eastAsia="Times New Roman" w:hAnsi="Arial" w:cs="Arial"/>
                <w:bCs/>
                <w:sz w:val="24"/>
                <w:szCs w:val="24"/>
                <w:lang w:eastAsia="en-GB"/>
              </w:rPr>
            </w:pPr>
            <w:r>
              <w:rPr>
                <w:rFonts w:ascii="Arial" w:eastAsia="Times New Roman" w:hAnsi="Arial" w:cs="Arial"/>
                <w:bCs/>
                <w:sz w:val="24"/>
                <w:szCs w:val="24"/>
                <w:lang w:eastAsia="en-GB"/>
              </w:rPr>
              <w:t>£m</w:t>
            </w:r>
          </w:p>
        </w:tc>
      </w:tr>
      <w:tr w:rsidR="001B337B" w:rsidRPr="005434D9" w14:paraId="1A3214CA" w14:textId="77777777" w:rsidTr="002E1C30">
        <w:trPr>
          <w:trHeight w:val="384"/>
        </w:trPr>
        <w:tc>
          <w:tcPr>
            <w:tcW w:w="3948" w:type="dxa"/>
            <w:vAlign w:val="center"/>
          </w:tcPr>
          <w:p w14:paraId="0756507E" w14:textId="77777777" w:rsidR="001B337B" w:rsidRPr="005434D9" w:rsidRDefault="001B337B" w:rsidP="001B337B">
            <w:pPr>
              <w:spacing w:after="0"/>
              <w:rPr>
                <w:rFonts w:ascii="Arial" w:eastAsia="Times New Roman" w:hAnsi="Arial" w:cs="Arial"/>
                <w:bCs/>
                <w:sz w:val="24"/>
                <w:szCs w:val="24"/>
                <w:lang w:eastAsia="en-GB"/>
              </w:rPr>
            </w:pPr>
            <w:r>
              <w:rPr>
                <w:rFonts w:ascii="Arial" w:eastAsia="Times New Roman" w:hAnsi="Arial" w:cs="Arial"/>
                <w:bCs/>
                <w:sz w:val="24"/>
                <w:szCs w:val="24"/>
                <w:lang w:eastAsia="en-GB"/>
              </w:rPr>
              <w:t xml:space="preserve">Capital Financing </w:t>
            </w:r>
            <w:r w:rsidR="004F7B57">
              <w:rPr>
                <w:rFonts w:ascii="Arial" w:eastAsia="Times New Roman" w:hAnsi="Arial" w:cs="Arial"/>
                <w:bCs/>
                <w:sz w:val="24"/>
                <w:szCs w:val="24"/>
                <w:lang w:eastAsia="en-GB"/>
              </w:rPr>
              <w:t>R</w:t>
            </w:r>
            <w:r>
              <w:rPr>
                <w:rFonts w:ascii="Arial" w:eastAsia="Times New Roman" w:hAnsi="Arial" w:cs="Arial"/>
                <w:bCs/>
                <w:sz w:val="24"/>
                <w:szCs w:val="24"/>
                <w:lang w:eastAsia="en-GB"/>
              </w:rPr>
              <w:t>equirement</w:t>
            </w:r>
          </w:p>
        </w:tc>
        <w:tc>
          <w:tcPr>
            <w:tcW w:w="1027" w:type="dxa"/>
            <w:shd w:val="clear" w:color="auto" w:fill="D9D9D9"/>
            <w:vAlign w:val="center"/>
          </w:tcPr>
          <w:p w14:paraId="155A9A2A" w14:textId="77777777" w:rsidR="001B337B" w:rsidRPr="00387519" w:rsidRDefault="00F139B4"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w:t>
            </w:r>
            <w:r w:rsidR="001B337B">
              <w:rPr>
                <w:rFonts w:ascii="Arial" w:eastAsia="Times New Roman" w:hAnsi="Arial" w:cs="Arial"/>
                <w:bCs/>
                <w:sz w:val="24"/>
                <w:szCs w:val="24"/>
                <w:lang w:eastAsia="en-GB"/>
              </w:rPr>
              <w:t>1</w:t>
            </w:r>
            <w:r>
              <w:rPr>
                <w:rFonts w:ascii="Arial" w:eastAsia="Times New Roman" w:hAnsi="Arial" w:cs="Arial"/>
                <w:bCs/>
                <w:sz w:val="24"/>
                <w:szCs w:val="24"/>
                <w:lang w:eastAsia="en-GB"/>
              </w:rPr>
              <w:t>)</w:t>
            </w:r>
          </w:p>
        </w:tc>
        <w:tc>
          <w:tcPr>
            <w:tcW w:w="1026" w:type="dxa"/>
            <w:vAlign w:val="center"/>
          </w:tcPr>
          <w:p w14:paraId="4FD8ED10" w14:textId="06C9D2D5" w:rsidR="001B337B" w:rsidRPr="005434D9" w:rsidRDefault="00853450"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w:t>
            </w:r>
          </w:p>
        </w:tc>
        <w:tc>
          <w:tcPr>
            <w:tcW w:w="1026" w:type="dxa"/>
            <w:vAlign w:val="center"/>
          </w:tcPr>
          <w:p w14:paraId="500B544E" w14:textId="02A14935" w:rsidR="001B337B" w:rsidRPr="005434D9" w:rsidRDefault="00853450"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w:t>
            </w:r>
          </w:p>
        </w:tc>
        <w:tc>
          <w:tcPr>
            <w:tcW w:w="1173" w:type="dxa"/>
            <w:vAlign w:val="center"/>
          </w:tcPr>
          <w:p w14:paraId="5DAE17D7" w14:textId="6A7F2D9F" w:rsidR="001B337B" w:rsidRPr="005434D9" w:rsidRDefault="00853450"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w:t>
            </w:r>
          </w:p>
        </w:tc>
        <w:tc>
          <w:tcPr>
            <w:tcW w:w="1007" w:type="dxa"/>
            <w:vAlign w:val="center"/>
          </w:tcPr>
          <w:p w14:paraId="7AD57555" w14:textId="1D69EA1F" w:rsidR="001B337B" w:rsidRPr="005434D9" w:rsidRDefault="00853450"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w:t>
            </w:r>
          </w:p>
        </w:tc>
        <w:tc>
          <w:tcPr>
            <w:tcW w:w="986" w:type="dxa"/>
            <w:vAlign w:val="center"/>
          </w:tcPr>
          <w:p w14:paraId="6A034319" w14:textId="7C153B6D" w:rsidR="001B337B" w:rsidRPr="005434D9" w:rsidRDefault="00853450"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w:t>
            </w:r>
          </w:p>
        </w:tc>
      </w:tr>
      <w:tr w:rsidR="00853450" w:rsidRPr="005434D9" w14:paraId="0631B294" w14:textId="77777777" w:rsidTr="000B51D0">
        <w:trPr>
          <w:trHeight w:val="384"/>
        </w:trPr>
        <w:tc>
          <w:tcPr>
            <w:tcW w:w="3948" w:type="dxa"/>
            <w:tcBorders>
              <w:bottom w:val="single" w:sz="4" w:space="0" w:color="auto"/>
            </w:tcBorders>
            <w:vAlign w:val="center"/>
          </w:tcPr>
          <w:p w14:paraId="0E5442C8" w14:textId="77777777" w:rsidR="00853450" w:rsidRDefault="00853450" w:rsidP="00853450">
            <w:pPr>
              <w:spacing w:after="0"/>
              <w:rPr>
                <w:rFonts w:ascii="Arial" w:eastAsia="Times New Roman" w:hAnsi="Arial" w:cs="Arial"/>
                <w:bCs/>
                <w:sz w:val="24"/>
                <w:szCs w:val="24"/>
                <w:lang w:eastAsia="en-GB"/>
              </w:rPr>
            </w:pPr>
            <w:r>
              <w:rPr>
                <w:rFonts w:ascii="Arial" w:eastAsia="Times New Roman" w:hAnsi="Arial" w:cs="Arial"/>
                <w:bCs/>
                <w:sz w:val="24"/>
                <w:szCs w:val="24"/>
                <w:lang w:eastAsia="en-GB"/>
              </w:rPr>
              <w:t>Less: Other debt liabilities</w:t>
            </w:r>
          </w:p>
        </w:tc>
        <w:tc>
          <w:tcPr>
            <w:tcW w:w="1027" w:type="dxa"/>
            <w:tcBorders>
              <w:bottom w:val="single" w:sz="4" w:space="0" w:color="auto"/>
            </w:tcBorders>
            <w:shd w:val="clear" w:color="auto" w:fill="D9D9D9"/>
            <w:vAlign w:val="center"/>
          </w:tcPr>
          <w:p w14:paraId="5192AB60" w14:textId="77777777" w:rsidR="00853450" w:rsidDel="00FB33B3" w:rsidRDefault="00853450" w:rsidP="00853450">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0</w:t>
            </w:r>
          </w:p>
        </w:tc>
        <w:tc>
          <w:tcPr>
            <w:tcW w:w="1026" w:type="dxa"/>
            <w:tcBorders>
              <w:bottom w:val="single" w:sz="4" w:space="0" w:color="auto"/>
            </w:tcBorders>
            <w:vAlign w:val="center"/>
          </w:tcPr>
          <w:p w14:paraId="02C56EFA" w14:textId="77777777" w:rsidR="00853450" w:rsidDel="00FB33B3" w:rsidRDefault="00853450" w:rsidP="00853450">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0</w:t>
            </w:r>
          </w:p>
        </w:tc>
        <w:tc>
          <w:tcPr>
            <w:tcW w:w="1026" w:type="dxa"/>
            <w:tcBorders>
              <w:bottom w:val="single" w:sz="4" w:space="0" w:color="auto"/>
            </w:tcBorders>
            <w:vAlign w:val="center"/>
          </w:tcPr>
          <w:p w14:paraId="6B3F0BEA" w14:textId="77777777" w:rsidR="00853450" w:rsidDel="00FB33B3" w:rsidRDefault="00853450" w:rsidP="00853450">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0</w:t>
            </w:r>
          </w:p>
        </w:tc>
        <w:tc>
          <w:tcPr>
            <w:tcW w:w="1173" w:type="dxa"/>
            <w:tcBorders>
              <w:bottom w:val="single" w:sz="4" w:space="0" w:color="auto"/>
            </w:tcBorders>
          </w:tcPr>
          <w:p w14:paraId="6CB8F875" w14:textId="63CD69DC" w:rsidR="00853450" w:rsidDel="00FB33B3" w:rsidRDefault="00853450" w:rsidP="00853450">
            <w:pPr>
              <w:spacing w:after="0"/>
              <w:jc w:val="right"/>
              <w:rPr>
                <w:rFonts w:ascii="Arial" w:eastAsia="Times New Roman" w:hAnsi="Arial" w:cs="Arial"/>
                <w:bCs/>
                <w:sz w:val="24"/>
                <w:szCs w:val="24"/>
                <w:lang w:eastAsia="en-GB"/>
              </w:rPr>
            </w:pPr>
            <w:r w:rsidRPr="00150888">
              <w:rPr>
                <w:rFonts w:ascii="Arial" w:eastAsia="Times New Roman" w:hAnsi="Arial" w:cs="Arial"/>
                <w:bCs/>
                <w:sz w:val="24"/>
                <w:szCs w:val="24"/>
                <w:lang w:eastAsia="en-GB"/>
              </w:rPr>
              <w:t>0</w:t>
            </w:r>
          </w:p>
        </w:tc>
        <w:tc>
          <w:tcPr>
            <w:tcW w:w="1007" w:type="dxa"/>
            <w:tcBorders>
              <w:bottom w:val="single" w:sz="4" w:space="0" w:color="auto"/>
            </w:tcBorders>
          </w:tcPr>
          <w:p w14:paraId="0F20995E" w14:textId="5A63055F" w:rsidR="00853450" w:rsidDel="00FB33B3" w:rsidRDefault="00853450" w:rsidP="00853450">
            <w:pPr>
              <w:spacing w:after="0"/>
              <w:jc w:val="right"/>
              <w:rPr>
                <w:rFonts w:ascii="Arial" w:eastAsia="Times New Roman" w:hAnsi="Arial" w:cs="Arial"/>
                <w:bCs/>
                <w:sz w:val="24"/>
                <w:szCs w:val="24"/>
                <w:lang w:eastAsia="en-GB"/>
              </w:rPr>
            </w:pPr>
            <w:r w:rsidRPr="00150888">
              <w:rPr>
                <w:rFonts w:ascii="Arial" w:eastAsia="Times New Roman" w:hAnsi="Arial" w:cs="Arial"/>
                <w:bCs/>
                <w:sz w:val="24"/>
                <w:szCs w:val="24"/>
                <w:lang w:eastAsia="en-GB"/>
              </w:rPr>
              <w:t>0</w:t>
            </w:r>
          </w:p>
        </w:tc>
        <w:tc>
          <w:tcPr>
            <w:tcW w:w="986" w:type="dxa"/>
            <w:tcBorders>
              <w:bottom w:val="single" w:sz="4" w:space="0" w:color="auto"/>
            </w:tcBorders>
          </w:tcPr>
          <w:p w14:paraId="70A85E2C" w14:textId="23D1EF4C" w:rsidR="00853450" w:rsidDel="00FB33B3" w:rsidRDefault="00853450" w:rsidP="00853450">
            <w:pPr>
              <w:spacing w:after="0"/>
              <w:jc w:val="right"/>
              <w:rPr>
                <w:rFonts w:ascii="Arial" w:eastAsia="Times New Roman" w:hAnsi="Arial" w:cs="Arial"/>
                <w:bCs/>
                <w:sz w:val="24"/>
                <w:szCs w:val="24"/>
                <w:lang w:eastAsia="en-GB"/>
              </w:rPr>
            </w:pPr>
            <w:r w:rsidRPr="00150888">
              <w:rPr>
                <w:rFonts w:ascii="Arial" w:eastAsia="Times New Roman" w:hAnsi="Arial" w:cs="Arial"/>
                <w:bCs/>
                <w:sz w:val="24"/>
                <w:szCs w:val="24"/>
                <w:lang w:eastAsia="en-GB"/>
              </w:rPr>
              <w:t>0</w:t>
            </w:r>
          </w:p>
        </w:tc>
      </w:tr>
      <w:tr w:rsidR="001B337B" w:rsidRPr="005434D9" w14:paraId="00DD9552" w14:textId="77777777" w:rsidTr="004935A9">
        <w:trPr>
          <w:trHeight w:val="384"/>
        </w:trPr>
        <w:tc>
          <w:tcPr>
            <w:tcW w:w="3948" w:type="dxa"/>
            <w:tcBorders>
              <w:bottom w:val="single" w:sz="4" w:space="0" w:color="auto"/>
            </w:tcBorders>
            <w:vAlign w:val="center"/>
          </w:tcPr>
          <w:p w14:paraId="3B9C7D28" w14:textId="77777777" w:rsidR="001B337B" w:rsidRDefault="001B337B" w:rsidP="001B337B">
            <w:pPr>
              <w:spacing w:after="0"/>
              <w:rPr>
                <w:rFonts w:ascii="Arial" w:eastAsia="Times New Roman" w:hAnsi="Arial" w:cs="Arial"/>
                <w:bCs/>
                <w:sz w:val="24"/>
                <w:szCs w:val="24"/>
                <w:lang w:eastAsia="en-GB"/>
              </w:rPr>
            </w:pPr>
            <w:r>
              <w:rPr>
                <w:rFonts w:ascii="Arial" w:eastAsia="Times New Roman" w:hAnsi="Arial" w:cs="Arial"/>
                <w:bCs/>
                <w:sz w:val="24"/>
                <w:szCs w:val="24"/>
                <w:lang w:eastAsia="en-GB"/>
              </w:rPr>
              <w:t>Balance sheet resources</w:t>
            </w:r>
          </w:p>
        </w:tc>
        <w:tc>
          <w:tcPr>
            <w:tcW w:w="1027" w:type="dxa"/>
            <w:tcBorders>
              <w:bottom w:val="single" w:sz="4" w:space="0" w:color="auto"/>
            </w:tcBorders>
            <w:shd w:val="clear" w:color="auto" w:fill="D9D9D9"/>
            <w:vAlign w:val="center"/>
          </w:tcPr>
          <w:p w14:paraId="7D7A3381" w14:textId="77777777" w:rsidR="001B337B" w:rsidDel="00FB33B3" w:rsidRDefault="001B337B" w:rsidP="001B337B">
            <w:pPr>
              <w:spacing w:after="0"/>
              <w:jc w:val="right"/>
              <w:rPr>
                <w:rFonts w:ascii="Arial" w:eastAsia="Times New Roman" w:hAnsi="Arial" w:cs="Arial"/>
                <w:bCs/>
                <w:sz w:val="24"/>
                <w:szCs w:val="24"/>
                <w:lang w:eastAsia="en-GB"/>
              </w:rPr>
            </w:pPr>
          </w:p>
        </w:tc>
        <w:tc>
          <w:tcPr>
            <w:tcW w:w="1026" w:type="dxa"/>
            <w:tcBorders>
              <w:bottom w:val="single" w:sz="4" w:space="0" w:color="auto"/>
            </w:tcBorders>
            <w:vAlign w:val="center"/>
          </w:tcPr>
          <w:p w14:paraId="5416E31C" w14:textId="77777777" w:rsidR="001B337B" w:rsidDel="00FB33B3" w:rsidRDefault="001B337B" w:rsidP="001B337B">
            <w:pPr>
              <w:spacing w:after="0"/>
              <w:jc w:val="right"/>
              <w:rPr>
                <w:rFonts w:ascii="Arial" w:eastAsia="Times New Roman" w:hAnsi="Arial" w:cs="Arial"/>
                <w:bCs/>
                <w:sz w:val="24"/>
                <w:szCs w:val="24"/>
                <w:lang w:eastAsia="en-GB"/>
              </w:rPr>
            </w:pPr>
          </w:p>
        </w:tc>
        <w:tc>
          <w:tcPr>
            <w:tcW w:w="1026" w:type="dxa"/>
            <w:tcBorders>
              <w:bottom w:val="single" w:sz="4" w:space="0" w:color="auto"/>
            </w:tcBorders>
            <w:vAlign w:val="center"/>
          </w:tcPr>
          <w:p w14:paraId="0D137DC5" w14:textId="77777777" w:rsidR="001B337B" w:rsidDel="00FB33B3" w:rsidRDefault="001B337B" w:rsidP="001B337B">
            <w:pPr>
              <w:spacing w:after="0"/>
              <w:jc w:val="right"/>
              <w:rPr>
                <w:rFonts w:ascii="Arial" w:eastAsia="Times New Roman" w:hAnsi="Arial" w:cs="Arial"/>
                <w:bCs/>
                <w:sz w:val="24"/>
                <w:szCs w:val="24"/>
                <w:lang w:eastAsia="en-GB"/>
              </w:rPr>
            </w:pPr>
          </w:p>
        </w:tc>
        <w:tc>
          <w:tcPr>
            <w:tcW w:w="1173" w:type="dxa"/>
            <w:tcBorders>
              <w:bottom w:val="single" w:sz="4" w:space="0" w:color="auto"/>
            </w:tcBorders>
            <w:vAlign w:val="center"/>
          </w:tcPr>
          <w:p w14:paraId="3FCCA4D1" w14:textId="77777777" w:rsidR="001B337B" w:rsidDel="00FB33B3" w:rsidRDefault="001B337B" w:rsidP="001B337B">
            <w:pPr>
              <w:spacing w:after="0"/>
              <w:jc w:val="right"/>
              <w:rPr>
                <w:rFonts w:ascii="Arial" w:eastAsia="Times New Roman" w:hAnsi="Arial" w:cs="Arial"/>
                <w:bCs/>
                <w:sz w:val="24"/>
                <w:szCs w:val="24"/>
                <w:lang w:eastAsia="en-GB"/>
              </w:rPr>
            </w:pPr>
          </w:p>
        </w:tc>
        <w:tc>
          <w:tcPr>
            <w:tcW w:w="1007" w:type="dxa"/>
            <w:tcBorders>
              <w:bottom w:val="single" w:sz="4" w:space="0" w:color="auto"/>
            </w:tcBorders>
            <w:vAlign w:val="center"/>
          </w:tcPr>
          <w:p w14:paraId="28DBACE2" w14:textId="77777777" w:rsidR="001B337B" w:rsidDel="00FB33B3" w:rsidRDefault="001B337B" w:rsidP="001B337B">
            <w:pPr>
              <w:spacing w:after="0"/>
              <w:jc w:val="right"/>
              <w:rPr>
                <w:rFonts w:ascii="Arial" w:eastAsia="Times New Roman" w:hAnsi="Arial" w:cs="Arial"/>
                <w:bCs/>
                <w:sz w:val="24"/>
                <w:szCs w:val="24"/>
                <w:lang w:eastAsia="en-GB"/>
              </w:rPr>
            </w:pPr>
          </w:p>
        </w:tc>
        <w:tc>
          <w:tcPr>
            <w:tcW w:w="986" w:type="dxa"/>
            <w:tcBorders>
              <w:bottom w:val="single" w:sz="4" w:space="0" w:color="auto"/>
            </w:tcBorders>
            <w:vAlign w:val="center"/>
          </w:tcPr>
          <w:p w14:paraId="0E843478" w14:textId="77777777" w:rsidR="001B337B" w:rsidDel="00FB33B3" w:rsidRDefault="001B337B" w:rsidP="001B337B">
            <w:pPr>
              <w:spacing w:after="0"/>
              <w:jc w:val="right"/>
              <w:rPr>
                <w:rFonts w:ascii="Arial" w:eastAsia="Times New Roman" w:hAnsi="Arial" w:cs="Arial"/>
                <w:bCs/>
                <w:sz w:val="24"/>
                <w:szCs w:val="24"/>
                <w:lang w:eastAsia="en-GB"/>
              </w:rPr>
            </w:pPr>
          </w:p>
        </w:tc>
      </w:tr>
      <w:tr w:rsidR="001B337B" w:rsidRPr="005434D9" w14:paraId="5CBE5D70" w14:textId="77777777" w:rsidTr="004935A9">
        <w:trPr>
          <w:trHeight w:val="384"/>
        </w:trPr>
        <w:tc>
          <w:tcPr>
            <w:tcW w:w="3948" w:type="dxa"/>
            <w:tcBorders>
              <w:bottom w:val="single" w:sz="4" w:space="0" w:color="auto"/>
            </w:tcBorders>
            <w:vAlign w:val="center"/>
          </w:tcPr>
          <w:p w14:paraId="4FB62755" w14:textId="77777777" w:rsidR="001B337B" w:rsidRDefault="001B337B" w:rsidP="001B337B">
            <w:pPr>
              <w:numPr>
                <w:ilvl w:val="0"/>
                <w:numId w:val="25"/>
              </w:numPr>
              <w:spacing w:after="0"/>
              <w:rPr>
                <w:rFonts w:ascii="Arial" w:eastAsia="Times New Roman" w:hAnsi="Arial" w:cs="Arial"/>
                <w:bCs/>
                <w:sz w:val="24"/>
                <w:szCs w:val="24"/>
                <w:lang w:eastAsia="en-GB"/>
              </w:rPr>
            </w:pPr>
            <w:r>
              <w:rPr>
                <w:rFonts w:ascii="Arial" w:eastAsia="Times New Roman" w:hAnsi="Arial" w:cs="Arial"/>
                <w:bCs/>
                <w:sz w:val="24"/>
                <w:szCs w:val="24"/>
                <w:lang w:eastAsia="en-GB"/>
              </w:rPr>
              <w:t>Usable Reserves</w:t>
            </w:r>
          </w:p>
        </w:tc>
        <w:tc>
          <w:tcPr>
            <w:tcW w:w="1027" w:type="dxa"/>
            <w:tcBorders>
              <w:bottom w:val="single" w:sz="4" w:space="0" w:color="auto"/>
            </w:tcBorders>
            <w:shd w:val="clear" w:color="auto" w:fill="D9D9D9"/>
            <w:vAlign w:val="center"/>
          </w:tcPr>
          <w:p w14:paraId="1A0FB8BB" w14:textId="63B9EF68" w:rsidR="000A0C53" w:rsidDel="00FB33B3" w:rsidRDefault="00853450" w:rsidP="000A0C53">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10</w:t>
            </w:r>
            <w:r w:rsidR="000A0C53">
              <w:rPr>
                <w:rFonts w:ascii="Arial" w:eastAsia="Times New Roman" w:hAnsi="Arial" w:cs="Arial"/>
                <w:bCs/>
                <w:sz w:val="24"/>
                <w:szCs w:val="24"/>
                <w:lang w:eastAsia="en-GB"/>
              </w:rPr>
              <w:t>7</w:t>
            </w:r>
          </w:p>
        </w:tc>
        <w:tc>
          <w:tcPr>
            <w:tcW w:w="1026" w:type="dxa"/>
            <w:tcBorders>
              <w:bottom w:val="single" w:sz="4" w:space="0" w:color="auto"/>
            </w:tcBorders>
            <w:vAlign w:val="center"/>
          </w:tcPr>
          <w:p w14:paraId="682E9C7F" w14:textId="728F70D6" w:rsidR="001B337B" w:rsidDel="00FB33B3"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94</w:t>
            </w:r>
          </w:p>
        </w:tc>
        <w:tc>
          <w:tcPr>
            <w:tcW w:w="1026" w:type="dxa"/>
            <w:tcBorders>
              <w:bottom w:val="single" w:sz="4" w:space="0" w:color="auto"/>
            </w:tcBorders>
            <w:vAlign w:val="center"/>
          </w:tcPr>
          <w:p w14:paraId="5F36A7AD" w14:textId="68BAFCD5" w:rsidR="001B337B" w:rsidDel="00FB33B3"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108</w:t>
            </w:r>
          </w:p>
        </w:tc>
        <w:tc>
          <w:tcPr>
            <w:tcW w:w="1173" w:type="dxa"/>
            <w:tcBorders>
              <w:bottom w:val="single" w:sz="4" w:space="0" w:color="auto"/>
            </w:tcBorders>
            <w:vAlign w:val="center"/>
          </w:tcPr>
          <w:p w14:paraId="4ECB7522" w14:textId="4475A93C" w:rsidR="001B337B" w:rsidDel="00FB33B3"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105</w:t>
            </w:r>
          </w:p>
        </w:tc>
        <w:tc>
          <w:tcPr>
            <w:tcW w:w="1007" w:type="dxa"/>
            <w:tcBorders>
              <w:bottom w:val="single" w:sz="4" w:space="0" w:color="auto"/>
            </w:tcBorders>
            <w:vAlign w:val="center"/>
          </w:tcPr>
          <w:p w14:paraId="6E5978A8" w14:textId="709B2DF9" w:rsidR="001B337B" w:rsidDel="00FB33B3" w:rsidRDefault="00853450"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105</w:t>
            </w:r>
          </w:p>
        </w:tc>
        <w:tc>
          <w:tcPr>
            <w:tcW w:w="986" w:type="dxa"/>
            <w:tcBorders>
              <w:bottom w:val="single" w:sz="4" w:space="0" w:color="auto"/>
            </w:tcBorders>
            <w:vAlign w:val="center"/>
          </w:tcPr>
          <w:p w14:paraId="7976C707" w14:textId="639B3C9A" w:rsidR="001B337B" w:rsidDel="00FB33B3" w:rsidRDefault="00853450"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10</w:t>
            </w:r>
            <w:r w:rsidR="000A0C53">
              <w:rPr>
                <w:rFonts w:ascii="Arial" w:eastAsia="Times New Roman" w:hAnsi="Arial" w:cs="Arial"/>
                <w:bCs/>
                <w:sz w:val="24"/>
                <w:szCs w:val="24"/>
                <w:lang w:eastAsia="en-GB"/>
              </w:rPr>
              <w:t>5</w:t>
            </w:r>
          </w:p>
        </w:tc>
      </w:tr>
      <w:tr w:rsidR="001B337B" w:rsidRPr="005434D9" w14:paraId="04D4012F" w14:textId="77777777" w:rsidTr="004935A9">
        <w:trPr>
          <w:trHeight w:val="384"/>
        </w:trPr>
        <w:tc>
          <w:tcPr>
            <w:tcW w:w="3948" w:type="dxa"/>
            <w:tcBorders>
              <w:bottom w:val="single" w:sz="4" w:space="0" w:color="auto"/>
            </w:tcBorders>
            <w:vAlign w:val="center"/>
          </w:tcPr>
          <w:p w14:paraId="0E13824F" w14:textId="77777777" w:rsidR="001B337B" w:rsidRDefault="001B337B" w:rsidP="001B337B">
            <w:pPr>
              <w:numPr>
                <w:ilvl w:val="0"/>
                <w:numId w:val="25"/>
              </w:numPr>
              <w:spacing w:after="0"/>
              <w:rPr>
                <w:rFonts w:ascii="Arial" w:eastAsia="Times New Roman" w:hAnsi="Arial" w:cs="Arial"/>
                <w:bCs/>
                <w:sz w:val="24"/>
                <w:szCs w:val="24"/>
                <w:lang w:eastAsia="en-GB"/>
              </w:rPr>
            </w:pPr>
            <w:r>
              <w:rPr>
                <w:rFonts w:ascii="Arial" w:eastAsia="Times New Roman" w:hAnsi="Arial" w:cs="Arial"/>
                <w:bCs/>
                <w:sz w:val="24"/>
                <w:szCs w:val="24"/>
                <w:lang w:eastAsia="en-GB"/>
              </w:rPr>
              <w:t>Working capital</w:t>
            </w:r>
          </w:p>
        </w:tc>
        <w:tc>
          <w:tcPr>
            <w:tcW w:w="1027" w:type="dxa"/>
            <w:tcBorders>
              <w:bottom w:val="single" w:sz="4" w:space="0" w:color="auto"/>
            </w:tcBorders>
            <w:shd w:val="clear" w:color="auto" w:fill="D9D9D9"/>
            <w:vAlign w:val="center"/>
          </w:tcPr>
          <w:p w14:paraId="1D7AC467" w14:textId="11769305" w:rsidR="001B337B" w:rsidDel="00FB33B3"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w:t>
            </w:r>
            <w:r w:rsidR="00853450">
              <w:rPr>
                <w:rFonts w:ascii="Arial" w:eastAsia="Times New Roman" w:hAnsi="Arial" w:cs="Arial"/>
                <w:bCs/>
                <w:sz w:val="24"/>
                <w:szCs w:val="24"/>
                <w:lang w:eastAsia="en-GB"/>
              </w:rPr>
              <w:t>2</w:t>
            </w:r>
            <w:r>
              <w:rPr>
                <w:rFonts w:ascii="Arial" w:eastAsia="Times New Roman" w:hAnsi="Arial" w:cs="Arial"/>
                <w:bCs/>
                <w:sz w:val="24"/>
                <w:szCs w:val="24"/>
                <w:lang w:eastAsia="en-GB"/>
              </w:rPr>
              <w:t>)</w:t>
            </w:r>
          </w:p>
        </w:tc>
        <w:tc>
          <w:tcPr>
            <w:tcW w:w="1026" w:type="dxa"/>
            <w:tcBorders>
              <w:bottom w:val="single" w:sz="4" w:space="0" w:color="auto"/>
            </w:tcBorders>
            <w:vAlign w:val="center"/>
          </w:tcPr>
          <w:p w14:paraId="09CD63A3" w14:textId="5F9593E9" w:rsidR="001B337B" w:rsidDel="00FB33B3"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w:t>
            </w:r>
            <w:r w:rsidR="00853450">
              <w:rPr>
                <w:rFonts w:ascii="Arial" w:eastAsia="Times New Roman" w:hAnsi="Arial" w:cs="Arial"/>
                <w:bCs/>
                <w:sz w:val="24"/>
                <w:szCs w:val="24"/>
                <w:lang w:eastAsia="en-GB"/>
              </w:rPr>
              <w:t>2</w:t>
            </w:r>
            <w:r>
              <w:rPr>
                <w:rFonts w:ascii="Arial" w:eastAsia="Times New Roman" w:hAnsi="Arial" w:cs="Arial"/>
                <w:bCs/>
                <w:sz w:val="24"/>
                <w:szCs w:val="24"/>
                <w:lang w:eastAsia="en-GB"/>
              </w:rPr>
              <w:t>)</w:t>
            </w:r>
          </w:p>
        </w:tc>
        <w:tc>
          <w:tcPr>
            <w:tcW w:w="1026" w:type="dxa"/>
            <w:tcBorders>
              <w:bottom w:val="single" w:sz="4" w:space="0" w:color="auto"/>
            </w:tcBorders>
            <w:vAlign w:val="center"/>
          </w:tcPr>
          <w:p w14:paraId="27740AE1" w14:textId="3D041DA1" w:rsidR="001B337B" w:rsidDel="00FB33B3"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w:t>
            </w:r>
            <w:r w:rsidR="00853450">
              <w:rPr>
                <w:rFonts w:ascii="Arial" w:eastAsia="Times New Roman" w:hAnsi="Arial" w:cs="Arial"/>
                <w:bCs/>
                <w:sz w:val="24"/>
                <w:szCs w:val="24"/>
                <w:lang w:eastAsia="en-GB"/>
              </w:rPr>
              <w:t>7</w:t>
            </w:r>
            <w:r>
              <w:rPr>
                <w:rFonts w:ascii="Arial" w:eastAsia="Times New Roman" w:hAnsi="Arial" w:cs="Arial"/>
                <w:bCs/>
                <w:sz w:val="24"/>
                <w:szCs w:val="24"/>
                <w:lang w:eastAsia="en-GB"/>
              </w:rPr>
              <w:t>)</w:t>
            </w:r>
          </w:p>
        </w:tc>
        <w:tc>
          <w:tcPr>
            <w:tcW w:w="1173" w:type="dxa"/>
            <w:tcBorders>
              <w:bottom w:val="single" w:sz="4" w:space="0" w:color="auto"/>
            </w:tcBorders>
            <w:vAlign w:val="center"/>
          </w:tcPr>
          <w:p w14:paraId="29D22917" w14:textId="077C13E2" w:rsidR="001B337B" w:rsidDel="00FB33B3"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w:t>
            </w:r>
            <w:r w:rsidR="00853450">
              <w:rPr>
                <w:rFonts w:ascii="Arial" w:eastAsia="Times New Roman" w:hAnsi="Arial" w:cs="Arial"/>
                <w:bCs/>
                <w:sz w:val="24"/>
                <w:szCs w:val="24"/>
                <w:lang w:eastAsia="en-GB"/>
              </w:rPr>
              <w:t>7</w:t>
            </w:r>
            <w:r>
              <w:rPr>
                <w:rFonts w:ascii="Arial" w:eastAsia="Times New Roman" w:hAnsi="Arial" w:cs="Arial"/>
                <w:bCs/>
                <w:sz w:val="24"/>
                <w:szCs w:val="24"/>
                <w:lang w:eastAsia="en-GB"/>
              </w:rPr>
              <w:t>)</w:t>
            </w:r>
          </w:p>
        </w:tc>
        <w:tc>
          <w:tcPr>
            <w:tcW w:w="1007" w:type="dxa"/>
            <w:tcBorders>
              <w:bottom w:val="single" w:sz="4" w:space="0" w:color="auto"/>
            </w:tcBorders>
            <w:vAlign w:val="center"/>
          </w:tcPr>
          <w:p w14:paraId="7E7F188A" w14:textId="0D084BCD" w:rsidR="001B337B" w:rsidDel="00FB33B3"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w:t>
            </w:r>
            <w:r w:rsidR="00853450">
              <w:rPr>
                <w:rFonts w:ascii="Arial" w:eastAsia="Times New Roman" w:hAnsi="Arial" w:cs="Arial"/>
                <w:bCs/>
                <w:sz w:val="24"/>
                <w:szCs w:val="24"/>
                <w:lang w:eastAsia="en-GB"/>
              </w:rPr>
              <w:t>7</w:t>
            </w:r>
            <w:r>
              <w:rPr>
                <w:rFonts w:ascii="Arial" w:eastAsia="Times New Roman" w:hAnsi="Arial" w:cs="Arial"/>
                <w:bCs/>
                <w:sz w:val="24"/>
                <w:szCs w:val="24"/>
                <w:lang w:eastAsia="en-GB"/>
              </w:rPr>
              <w:t>)</w:t>
            </w:r>
          </w:p>
        </w:tc>
        <w:tc>
          <w:tcPr>
            <w:tcW w:w="986" w:type="dxa"/>
            <w:tcBorders>
              <w:bottom w:val="single" w:sz="4" w:space="0" w:color="auto"/>
            </w:tcBorders>
            <w:vAlign w:val="center"/>
          </w:tcPr>
          <w:p w14:paraId="6CDD6762" w14:textId="3D9268BD" w:rsidR="001B337B" w:rsidDel="00FB33B3"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w:t>
            </w:r>
            <w:r w:rsidR="00853450">
              <w:rPr>
                <w:rFonts w:ascii="Arial" w:eastAsia="Times New Roman" w:hAnsi="Arial" w:cs="Arial"/>
                <w:bCs/>
                <w:sz w:val="24"/>
                <w:szCs w:val="24"/>
                <w:lang w:eastAsia="en-GB"/>
              </w:rPr>
              <w:t>7</w:t>
            </w:r>
            <w:r>
              <w:rPr>
                <w:rFonts w:ascii="Arial" w:eastAsia="Times New Roman" w:hAnsi="Arial" w:cs="Arial"/>
                <w:bCs/>
                <w:sz w:val="24"/>
                <w:szCs w:val="24"/>
                <w:lang w:eastAsia="en-GB"/>
              </w:rPr>
              <w:t>)</w:t>
            </w:r>
          </w:p>
        </w:tc>
      </w:tr>
      <w:tr w:rsidR="001B337B" w:rsidRPr="005434D9" w14:paraId="7743D548" w14:textId="77777777" w:rsidTr="004935A9">
        <w:trPr>
          <w:trHeight w:val="384"/>
        </w:trPr>
        <w:tc>
          <w:tcPr>
            <w:tcW w:w="3948" w:type="dxa"/>
            <w:tcBorders>
              <w:top w:val="single" w:sz="12" w:space="0" w:color="auto"/>
              <w:left w:val="single" w:sz="4" w:space="0" w:color="auto"/>
              <w:bottom w:val="single" w:sz="12" w:space="0" w:color="auto"/>
              <w:right w:val="single" w:sz="12" w:space="0" w:color="auto"/>
            </w:tcBorders>
            <w:shd w:val="clear" w:color="auto" w:fill="D9D9D9"/>
            <w:vAlign w:val="center"/>
          </w:tcPr>
          <w:p w14:paraId="543E0ED0" w14:textId="77777777" w:rsidR="001B337B" w:rsidRPr="005434D9" w:rsidRDefault="001B337B" w:rsidP="001B337B">
            <w:pPr>
              <w:spacing w:after="0"/>
              <w:rPr>
                <w:rFonts w:ascii="Arial" w:eastAsia="Times New Roman" w:hAnsi="Arial" w:cs="Arial"/>
                <w:bCs/>
                <w:sz w:val="24"/>
                <w:szCs w:val="24"/>
                <w:lang w:eastAsia="en-GB"/>
              </w:rPr>
            </w:pPr>
            <w:r>
              <w:rPr>
                <w:rFonts w:ascii="Arial" w:eastAsia="Times New Roman" w:hAnsi="Arial" w:cs="Arial"/>
                <w:bCs/>
                <w:sz w:val="24"/>
                <w:szCs w:val="24"/>
                <w:lang w:eastAsia="en-GB"/>
              </w:rPr>
              <w:t>Treasury Investments</w:t>
            </w:r>
          </w:p>
        </w:tc>
        <w:tc>
          <w:tcPr>
            <w:tcW w:w="1027" w:type="dxa"/>
            <w:tcBorders>
              <w:top w:val="single" w:sz="12" w:space="0" w:color="auto"/>
              <w:left w:val="single" w:sz="12" w:space="0" w:color="auto"/>
              <w:bottom w:val="single" w:sz="12" w:space="0" w:color="auto"/>
              <w:right w:val="single" w:sz="12" w:space="0" w:color="auto"/>
            </w:tcBorders>
            <w:shd w:val="clear" w:color="auto" w:fill="D9D9D9"/>
            <w:vAlign w:val="center"/>
          </w:tcPr>
          <w:p w14:paraId="6BCB17E1" w14:textId="1E7ACB9A" w:rsidR="001B337B" w:rsidRPr="00CB4EE9" w:rsidRDefault="00853450"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10</w:t>
            </w:r>
            <w:r w:rsidR="000A0C53">
              <w:rPr>
                <w:rFonts w:ascii="Arial" w:eastAsia="Times New Roman" w:hAnsi="Arial" w:cs="Arial"/>
                <w:bCs/>
                <w:sz w:val="24"/>
                <w:szCs w:val="24"/>
                <w:lang w:eastAsia="en-GB"/>
              </w:rPr>
              <w:t>4</w:t>
            </w:r>
          </w:p>
        </w:tc>
        <w:tc>
          <w:tcPr>
            <w:tcW w:w="1026" w:type="dxa"/>
            <w:tcBorders>
              <w:top w:val="single" w:sz="12" w:space="0" w:color="auto"/>
              <w:left w:val="single" w:sz="12" w:space="0" w:color="auto"/>
              <w:bottom w:val="single" w:sz="12" w:space="0" w:color="auto"/>
              <w:right w:val="single" w:sz="12" w:space="0" w:color="auto"/>
            </w:tcBorders>
            <w:shd w:val="clear" w:color="auto" w:fill="D9D9D9"/>
            <w:vAlign w:val="center"/>
          </w:tcPr>
          <w:p w14:paraId="695FF62A" w14:textId="5D65A568" w:rsidR="001B337B" w:rsidRPr="005434D9"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91</w:t>
            </w:r>
          </w:p>
        </w:tc>
        <w:tc>
          <w:tcPr>
            <w:tcW w:w="1026" w:type="dxa"/>
            <w:tcBorders>
              <w:top w:val="single" w:sz="12" w:space="0" w:color="auto"/>
              <w:left w:val="single" w:sz="12" w:space="0" w:color="auto"/>
              <w:bottom w:val="single" w:sz="12" w:space="0" w:color="auto"/>
              <w:right w:val="single" w:sz="12" w:space="0" w:color="auto"/>
            </w:tcBorders>
            <w:shd w:val="clear" w:color="auto" w:fill="D9D9D9"/>
            <w:vAlign w:val="center"/>
          </w:tcPr>
          <w:p w14:paraId="2173AAF6" w14:textId="3B9D86FC" w:rsidR="001B337B" w:rsidRPr="005434D9"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97</w:t>
            </w:r>
          </w:p>
        </w:tc>
        <w:tc>
          <w:tcPr>
            <w:tcW w:w="1173" w:type="dxa"/>
            <w:tcBorders>
              <w:top w:val="single" w:sz="12" w:space="0" w:color="auto"/>
              <w:left w:val="single" w:sz="12" w:space="0" w:color="auto"/>
              <w:bottom w:val="single" w:sz="12" w:space="0" w:color="auto"/>
              <w:right w:val="single" w:sz="12" w:space="0" w:color="auto"/>
            </w:tcBorders>
            <w:shd w:val="clear" w:color="auto" w:fill="D9D9D9"/>
            <w:vAlign w:val="center"/>
          </w:tcPr>
          <w:p w14:paraId="6D7262F3" w14:textId="299ADF25" w:rsidR="001B337B" w:rsidRPr="005434D9"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97</w:t>
            </w:r>
          </w:p>
        </w:tc>
        <w:tc>
          <w:tcPr>
            <w:tcW w:w="1007" w:type="dxa"/>
            <w:tcBorders>
              <w:top w:val="single" w:sz="12" w:space="0" w:color="auto"/>
              <w:left w:val="single" w:sz="12" w:space="0" w:color="auto"/>
              <w:bottom w:val="single" w:sz="12" w:space="0" w:color="auto"/>
              <w:right w:val="single" w:sz="12" w:space="0" w:color="auto"/>
            </w:tcBorders>
            <w:shd w:val="clear" w:color="auto" w:fill="D9D9D9"/>
            <w:vAlign w:val="center"/>
          </w:tcPr>
          <w:p w14:paraId="584AFE56" w14:textId="70163D13" w:rsidR="001B337B" w:rsidRPr="005434D9"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97</w:t>
            </w:r>
          </w:p>
        </w:tc>
        <w:tc>
          <w:tcPr>
            <w:tcW w:w="986" w:type="dxa"/>
            <w:tcBorders>
              <w:top w:val="single" w:sz="12" w:space="0" w:color="auto"/>
              <w:left w:val="single" w:sz="12" w:space="0" w:color="auto"/>
              <w:bottom w:val="single" w:sz="12" w:space="0" w:color="auto"/>
              <w:right w:val="single" w:sz="4" w:space="0" w:color="auto"/>
            </w:tcBorders>
            <w:shd w:val="clear" w:color="auto" w:fill="D9D9D9"/>
            <w:vAlign w:val="center"/>
          </w:tcPr>
          <w:p w14:paraId="500BFF09" w14:textId="00DA6C75" w:rsidR="001B337B" w:rsidRPr="005434D9"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97</w:t>
            </w:r>
          </w:p>
        </w:tc>
      </w:tr>
      <w:tr w:rsidR="001B337B" w:rsidRPr="005434D9" w14:paraId="67D07368" w14:textId="77777777" w:rsidTr="004935A9">
        <w:trPr>
          <w:trHeight w:val="384"/>
        </w:trPr>
        <w:tc>
          <w:tcPr>
            <w:tcW w:w="3948" w:type="dxa"/>
            <w:tcBorders>
              <w:top w:val="single" w:sz="4" w:space="0" w:color="auto"/>
            </w:tcBorders>
            <w:vAlign w:val="center"/>
          </w:tcPr>
          <w:p w14:paraId="005A2345" w14:textId="77777777" w:rsidR="001B337B" w:rsidRPr="005434D9" w:rsidRDefault="001B337B" w:rsidP="001B337B">
            <w:pPr>
              <w:spacing w:after="0"/>
              <w:rPr>
                <w:rFonts w:ascii="Arial" w:eastAsia="Times New Roman" w:hAnsi="Arial" w:cs="Arial"/>
                <w:bCs/>
                <w:sz w:val="24"/>
                <w:szCs w:val="24"/>
                <w:lang w:eastAsia="en-GB"/>
              </w:rPr>
            </w:pPr>
            <w:r>
              <w:rPr>
                <w:rFonts w:ascii="Arial" w:eastAsia="Times New Roman" w:hAnsi="Arial" w:cs="Arial"/>
                <w:bCs/>
                <w:sz w:val="24"/>
                <w:szCs w:val="24"/>
                <w:lang w:eastAsia="en-GB"/>
              </w:rPr>
              <w:t>Minimum Liquidity Allowance</w:t>
            </w:r>
            <w:r w:rsidRPr="005434D9" w:rsidDel="00FB33B3">
              <w:rPr>
                <w:rFonts w:ascii="Arial" w:eastAsia="Times New Roman" w:hAnsi="Arial" w:cs="Arial"/>
                <w:bCs/>
                <w:sz w:val="24"/>
                <w:szCs w:val="24"/>
                <w:lang w:eastAsia="en-GB"/>
              </w:rPr>
              <w:t xml:space="preserve"> </w:t>
            </w:r>
          </w:p>
        </w:tc>
        <w:tc>
          <w:tcPr>
            <w:tcW w:w="1027" w:type="dxa"/>
            <w:tcBorders>
              <w:top w:val="single" w:sz="4" w:space="0" w:color="auto"/>
            </w:tcBorders>
            <w:shd w:val="clear" w:color="auto" w:fill="D9D9D9"/>
            <w:vAlign w:val="center"/>
          </w:tcPr>
          <w:p w14:paraId="1D07C823" w14:textId="77777777" w:rsidR="001B337B" w:rsidRPr="00CB4EE9" w:rsidRDefault="00F139B4"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w:t>
            </w:r>
            <w:r w:rsidR="001B337B">
              <w:rPr>
                <w:rFonts w:ascii="Arial" w:eastAsia="Times New Roman" w:hAnsi="Arial" w:cs="Arial"/>
                <w:bCs/>
                <w:sz w:val="24"/>
                <w:szCs w:val="24"/>
                <w:lang w:eastAsia="en-GB"/>
              </w:rPr>
              <w:t>10</w:t>
            </w:r>
            <w:r>
              <w:rPr>
                <w:rFonts w:ascii="Arial" w:eastAsia="Times New Roman" w:hAnsi="Arial" w:cs="Arial"/>
                <w:bCs/>
                <w:sz w:val="24"/>
                <w:szCs w:val="24"/>
                <w:lang w:eastAsia="en-GB"/>
              </w:rPr>
              <w:t>)</w:t>
            </w:r>
          </w:p>
        </w:tc>
        <w:tc>
          <w:tcPr>
            <w:tcW w:w="1026" w:type="dxa"/>
            <w:tcBorders>
              <w:top w:val="single" w:sz="4" w:space="0" w:color="auto"/>
            </w:tcBorders>
            <w:vAlign w:val="center"/>
          </w:tcPr>
          <w:p w14:paraId="4E95B7CA" w14:textId="77777777" w:rsidR="001B337B" w:rsidRPr="005434D9" w:rsidRDefault="00F139B4"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w:t>
            </w:r>
            <w:r w:rsidR="001B337B">
              <w:rPr>
                <w:rFonts w:ascii="Arial" w:eastAsia="Times New Roman" w:hAnsi="Arial" w:cs="Arial"/>
                <w:bCs/>
                <w:sz w:val="24"/>
                <w:szCs w:val="24"/>
                <w:lang w:eastAsia="en-GB"/>
              </w:rPr>
              <w:t>10</w:t>
            </w:r>
            <w:r>
              <w:rPr>
                <w:rFonts w:ascii="Arial" w:eastAsia="Times New Roman" w:hAnsi="Arial" w:cs="Arial"/>
                <w:bCs/>
                <w:sz w:val="24"/>
                <w:szCs w:val="24"/>
                <w:lang w:eastAsia="en-GB"/>
              </w:rPr>
              <w:t>)</w:t>
            </w:r>
          </w:p>
        </w:tc>
        <w:tc>
          <w:tcPr>
            <w:tcW w:w="1026" w:type="dxa"/>
            <w:tcBorders>
              <w:top w:val="single" w:sz="4" w:space="0" w:color="auto"/>
            </w:tcBorders>
            <w:vAlign w:val="center"/>
          </w:tcPr>
          <w:p w14:paraId="60B896C6" w14:textId="77777777" w:rsidR="001B337B" w:rsidRPr="005434D9" w:rsidRDefault="00F139B4"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(10)</w:t>
            </w:r>
          </w:p>
        </w:tc>
        <w:tc>
          <w:tcPr>
            <w:tcW w:w="1173" w:type="dxa"/>
            <w:tcBorders>
              <w:top w:val="single" w:sz="4" w:space="0" w:color="auto"/>
            </w:tcBorders>
            <w:vAlign w:val="center"/>
          </w:tcPr>
          <w:p w14:paraId="247D1454" w14:textId="77777777" w:rsidR="001B337B" w:rsidRPr="005434D9" w:rsidRDefault="00F139B4"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(10)</w:t>
            </w:r>
          </w:p>
        </w:tc>
        <w:tc>
          <w:tcPr>
            <w:tcW w:w="1007" w:type="dxa"/>
            <w:tcBorders>
              <w:top w:val="single" w:sz="4" w:space="0" w:color="auto"/>
            </w:tcBorders>
            <w:vAlign w:val="center"/>
          </w:tcPr>
          <w:p w14:paraId="6D81B1A8" w14:textId="77777777" w:rsidR="001B337B" w:rsidRPr="005434D9" w:rsidRDefault="00F139B4"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(10)</w:t>
            </w:r>
          </w:p>
        </w:tc>
        <w:tc>
          <w:tcPr>
            <w:tcW w:w="986" w:type="dxa"/>
            <w:tcBorders>
              <w:top w:val="single" w:sz="4" w:space="0" w:color="auto"/>
            </w:tcBorders>
            <w:vAlign w:val="center"/>
          </w:tcPr>
          <w:p w14:paraId="23895D63" w14:textId="77777777" w:rsidR="001B337B" w:rsidRPr="005434D9" w:rsidRDefault="00F139B4"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(10)</w:t>
            </w:r>
          </w:p>
        </w:tc>
      </w:tr>
      <w:tr w:rsidR="001B337B" w:rsidRPr="005434D9" w14:paraId="3591EC89" w14:textId="77777777" w:rsidTr="004935A9">
        <w:trPr>
          <w:trHeight w:val="384"/>
        </w:trPr>
        <w:tc>
          <w:tcPr>
            <w:tcW w:w="3948" w:type="dxa"/>
            <w:tcBorders>
              <w:top w:val="single" w:sz="12" w:space="0" w:color="auto"/>
              <w:left w:val="single" w:sz="4" w:space="0" w:color="auto"/>
              <w:bottom w:val="single" w:sz="12" w:space="0" w:color="auto"/>
              <w:right w:val="single" w:sz="12" w:space="0" w:color="auto"/>
            </w:tcBorders>
            <w:shd w:val="clear" w:color="auto" w:fill="D9D9D9"/>
            <w:vAlign w:val="center"/>
          </w:tcPr>
          <w:p w14:paraId="42E851D2" w14:textId="77777777" w:rsidR="001B337B" w:rsidRPr="005434D9" w:rsidRDefault="001B337B" w:rsidP="001B337B">
            <w:pPr>
              <w:spacing w:after="0"/>
              <w:rPr>
                <w:rFonts w:ascii="Arial" w:eastAsia="Times New Roman" w:hAnsi="Arial" w:cs="Arial"/>
                <w:bCs/>
                <w:sz w:val="24"/>
                <w:szCs w:val="24"/>
                <w:lang w:eastAsia="en-GB"/>
              </w:rPr>
            </w:pPr>
            <w:r>
              <w:rPr>
                <w:rFonts w:ascii="Arial" w:eastAsia="Times New Roman" w:hAnsi="Arial" w:cs="Arial"/>
                <w:bCs/>
                <w:sz w:val="24"/>
                <w:szCs w:val="24"/>
                <w:lang w:eastAsia="en-GB"/>
              </w:rPr>
              <w:t>(Liability)/ Investment Benchmark</w:t>
            </w:r>
            <w:r w:rsidRPr="005434D9" w:rsidDel="00FB33B3">
              <w:rPr>
                <w:rFonts w:ascii="Arial" w:eastAsia="Times New Roman" w:hAnsi="Arial" w:cs="Arial"/>
                <w:bCs/>
                <w:sz w:val="24"/>
                <w:szCs w:val="24"/>
                <w:lang w:eastAsia="en-GB"/>
              </w:rPr>
              <w:t xml:space="preserve"> </w:t>
            </w:r>
          </w:p>
        </w:tc>
        <w:tc>
          <w:tcPr>
            <w:tcW w:w="1027" w:type="dxa"/>
            <w:tcBorders>
              <w:top w:val="single" w:sz="12" w:space="0" w:color="auto"/>
              <w:left w:val="single" w:sz="12" w:space="0" w:color="auto"/>
              <w:bottom w:val="single" w:sz="12" w:space="0" w:color="auto"/>
              <w:right w:val="single" w:sz="12" w:space="0" w:color="auto"/>
            </w:tcBorders>
            <w:shd w:val="clear" w:color="auto" w:fill="D9D9D9"/>
            <w:vAlign w:val="center"/>
          </w:tcPr>
          <w:p w14:paraId="6597B47C" w14:textId="554188A0" w:rsidR="001B337B" w:rsidRPr="00CB4EE9"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94</w:t>
            </w:r>
          </w:p>
        </w:tc>
        <w:tc>
          <w:tcPr>
            <w:tcW w:w="1026" w:type="dxa"/>
            <w:tcBorders>
              <w:top w:val="single" w:sz="12" w:space="0" w:color="auto"/>
              <w:left w:val="single" w:sz="12" w:space="0" w:color="auto"/>
              <w:bottom w:val="single" w:sz="12" w:space="0" w:color="auto"/>
              <w:right w:val="single" w:sz="12" w:space="0" w:color="auto"/>
            </w:tcBorders>
            <w:shd w:val="clear" w:color="auto" w:fill="D9D9D9"/>
            <w:vAlign w:val="center"/>
          </w:tcPr>
          <w:p w14:paraId="07F3F907" w14:textId="39D9F7BB" w:rsidR="001B337B" w:rsidRPr="005434D9" w:rsidRDefault="00853450"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8</w:t>
            </w:r>
            <w:r w:rsidR="000A0C53">
              <w:rPr>
                <w:rFonts w:ascii="Arial" w:eastAsia="Times New Roman" w:hAnsi="Arial" w:cs="Arial"/>
                <w:bCs/>
                <w:sz w:val="24"/>
                <w:szCs w:val="24"/>
                <w:lang w:eastAsia="en-GB"/>
              </w:rPr>
              <w:t>1</w:t>
            </w:r>
          </w:p>
        </w:tc>
        <w:tc>
          <w:tcPr>
            <w:tcW w:w="1026" w:type="dxa"/>
            <w:tcBorders>
              <w:top w:val="single" w:sz="12" w:space="0" w:color="auto"/>
              <w:left w:val="single" w:sz="12" w:space="0" w:color="auto"/>
              <w:bottom w:val="single" w:sz="12" w:space="0" w:color="auto"/>
              <w:right w:val="single" w:sz="12" w:space="0" w:color="auto"/>
            </w:tcBorders>
            <w:shd w:val="clear" w:color="auto" w:fill="D9D9D9"/>
            <w:vAlign w:val="center"/>
          </w:tcPr>
          <w:p w14:paraId="35A53E50" w14:textId="442B16A9" w:rsidR="001B337B" w:rsidRPr="005434D9"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87</w:t>
            </w:r>
          </w:p>
        </w:tc>
        <w:tc>
          <w:tcPr>
            <w:tcW w:w="1173" w:type="dxa"/>
            <w:tcBorders>
              <w:top w:val="single" w:sz="12" w:space="0" w:color="auto"/>
              <w:left w:val="single" w:sz="12" w:space="0" w:color="auto"/>
              <w:bottom w:val="single" w:sz="12" w:space="0" w:color="auto"/>
              <w:right w:val="single" w:sz="12" w:space="0" w:color="auto"/>
            </w:tcBorders>
            <w:shd w:val="clear" w:color="auto" w:fill="D9D9D9"/>
            <w:vAlign w:val="center"/>
          </w:tcPr>
          <w:p w14:paraId="1F544274" w14:textId="6F6E2489" w:rsidR="001B337B" w:rsidRPr="005434D9"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87</w:t>
            </w:r>
          </w:p>
        </w:tc>
        <w:tc>
          <w:tcPr>
            <w:tcW w:w="1007" w:type="dxa"/>
            <w:tcBorders>
              <w:top w:val="single" w:sz="12" w:space="0" w:color="auto"/>
              <w:left w:val="single" w:sz="12" w:space="0" w:color="auto"/>
              <w:bottom w:val="single" w:sz="12" w:space="0" w:color="auto"/>
              <w:right w:val="single" w:sz="12" w:space="0" w:color="auto"/>
            </w:tcBorders>
            <w:shd w:val="clear" w:color="auto" w:fill="D9D9D9"/>
            <w:vAlign w:val="center"/>
          </w:tcPr>
          <w:p w14:paraId="7E86293D" w14:textId="7E7ECAFF" w:rsidR="001B337B" w:rsidRPr="005434D9"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87</w:t>
            </w:r>
          </w:p>
        </w:tc>
        <w:tc>
          <w:tcPr>
            <w:tcW w:w="986" w:type="dxa"/>
            <w:tcBorders>
              <w:top w:val="single" w:sz="12" w:space="0" w:color="auto"/>
              <w:left w:val="single" w:sz="12" w:space="0" w:color="auto"/>
              <w:bottom w:val="single" w:sz="12" w:space="0" w:color="auto"/>
              <w:right w:val="single" w:sz="4" w:space="0" w:color="auto"/>
            </w:tcBorders>
            <w:shd w:val="clear" w:color="auto" w:fill="D9D9D9"/>
            <w:vAlign w:val="center"/>
          </w:tcPr>
          <w:p w14:paraId="7BE905D6" w14:textId="5AFC58AA" w:rsidR="001B337B" w:rsidRPr="005434D9" w:rsidRDefault="000A0C53" w:rsidP="001B337B">
            <w:pPr>
              <w:spacing w:after="0"/>
              <w:jc w:val="right"/>
              <w:rPr>
                <w:rFonts w:ascii="Arial" w:eastAsia="Times New Roman" w:hAnsi="Arial" w:cs="Arial"/>
                <w:bCs/>
                <w:sz w:val="24"/>
                <w:szCs w:val="24"/>
                <w:lang w:eastAsia="en-GB"/>
              </w:rPr>
            </w:pPr>
            <w:r>
              <w:rPr>
                <w:rFonts w:ascii="Arial" w:eastAsia="Times New Roman" w:hAnsi="Arial" w:cs="Arial"/>
                <w:bCs/>
                <w:sz w:val="24"/>
                <w:szCs w:val="24"/>
                <w:lang w:eastAsia="en-GB"/>
              </w:rPr>
              <w:t>87</w:t>
            </w:r>
          </w:p>
        </w:tc>
      </w:tr>
      <w:tr w:rsidR="001B337B" w:rsidRPr="005434D9" w14:paraId="49B238C2" w14:textId="77777777" w:rsidTr="004935A9">
        <w:trPr>
          <w:trHeight w:val="384"/>
        </w:trPr>
        <w:tc>
          <w:tcPr>
            <w:tcW w:w="10193" w:type="dxa"/>
            <w:gridSpan w:val="7"/>
            <w:tcBorders>
              <w:top w:val="single" w:sz="4" w:space="0" w:color="auto"/>
              <w:left w:val="nil"/>
              <w:bottom w:val="nil"/>
              <w:right w:val="nil"/>
            </w:tcBorders>
            <w:shd w:val="clear" w:color="auto" w:fill="auto"/>
            <w:vAlign w:val="center"/>
          </w:tcPr>
          <w:p w14:paraId="3A2C1F1C" w14:textId="77777777" w:rsidR="001B337B" w:rsidRPr="005434D9" w:rsidRDefault="001B337B" w:rsidP="001B337B">
            <w:pPr>
              <w:spacing w:after="0"/>
              <w:rPr>
                <w:rFonts w:ascii="Arial" w:eastAsia="Times New Roman" w:hAnsi="Arial" w:cs="Arial"/>
                <w:bCs/>
                <w:i/>
                <w:sz w:val="20"/>
                <w:szCs w:val="20"/>
                <w:lang w:eastAsia="en-GB"/>
              </w:rPr>
            </w:pPr>
          </w:p>
        </w:tc>
      </w:tr>
    </w:tbl>
    <w:p w14:paraId="55383E2C" w14:textId="77777777" w:rsidR="00336C06" w:rsidRDefault="00B8596E" w:rsidP="003C1688">
      <w:pPr>
        <w:pStyle w:val="ListParagraph"/>
        <w:ind w:left="0"/>
        <w:rPr>
          <w:rFonts w:ascii="Arial" w:hAnsi="Arial" w:cs="Arial"/>
          <w:sz w:val="24"/>
          <w:szCs w:val="24"/>
        </w:rPr>
      </w:pPr>
      <w:r w:rsidRPr="00B8596E">
        <w:rPr>
          <w:rFonts w:ascii="Arial" w:hAnsi="Arial" w:cs="Arial"/>
          <w:sz w:val="24"/>
          <w:szCs w:val="24"/>
        </w:rPr>
        <w:t>The abov</w:t>
      </w:r>
      <w:r w:rsidR="008912B7">
        <w:rPr>
          <w:rFonts w:ascii="Arial" w:hAnsi="Arial" w:cs="Arial"/>
          <w:sz w:val="24"/>
          <w:szCs w:val="24"/>
        </w:rPr>
        <w:t xml:space="preserve">e figures are based on </w:t>
      </w:r>
      <w:r>
        <w:rPr>
          <w:rFonts w:ascii="Arial" w:hAnsi="Arial" w:cs="Arial"/>
          <w:sz w:val="24"/>
          <w:szCs w:val="24"/>
        </w:rPr>
        <w:t xml:space="preserve">resource projections </w:t>
      </w:r>
      <w:r w:rsidRPr="00B8596E">
        <w:rPr>
          <w:rFonts w:ascii="Arial" w:hAnsi="Arial" w:cs="Arial"/>
          <w:sz w:val="24"/>
          <w:szCs w:val="24"/>
        </w:rPr>
        <w:t xml:space="preserve">and include assumptions about timing of transactions that may differ from actual delivery. </w:t>
      </w:r>
    </w:p>
    <w:p w14:paraId="69B5F3B3" w14:textId="77777777" w:rsidR="00336C06" w:rsidRDefault="00336C06" w:rsidP="003C1688">
      <w:pPr>
        <w:pStyle w:val="ListParagraph"/>
        <w:ind w:left="0"/>
        <w:rPr>
          <w:rFonts w:ascii="Arial" w:hAnsi="Arial" w:cs="Arial"/>
          <w:sz w:val="24"/>
          <w:szCs w:val="24"/>
        </w:rPr>
      </w:pPr>
    </w:p>
    <w:p w14:paraId="04531271" w14:textId="77777777" w:rsidR="00DC1000" w:rsidRDefault="00336C06" w:rsidP="003C1688">
      <w:pPr>
        <w:pStyle w:val="ListParagraph"/>
        <w:ind w:left="0"/>
        <w:rPr>
          <w:rFonts w:ascii="Arial" w:hAnsi="Arial" w:cs="Arial"/>
          <w:sz w:val="24"/>
          <w:szCs w:val="24"/>
        </w:rPr>
      </w:pPr>
      <w:r>
        <w:rPr>
          <w:rFonts w:ascii="Arial" w:hAnsi="Arial" w:cs="Arial"/>
          <w:sz w:val="24"/>
          <w:szCs w:val="24"/>
        </w:rPr>
        <w:t>An assumption that debt liabilities will increase slightly in 2024</w:t>
      </w:r>
      <w:r w:rsidR="00234D7F">
        <w:rPr>
          <w:rFonts w:ascii="Arial" w:hAnsi="Arial" w:cs="Arial"/>
          <w:sz w:val="24"/>
          <w:szCs w:val="24"/>
        </w:rPr>
        <w:t>-</w:t>
      </w:r>
      <w:r>
        <w:rPr>
          <w:rFonts w:ascii="Arial" w:hAnsi="Arial" w:cs="Arial"/>
          <w:sz w:val="24"/>
          <w:szCs w:val="24"/>
        </w:rPr>
        <w:t xml:space="preserve">25 due to </w:t>
      </w:r>
      <w:r w:rsidR="00727E56" w:rsidRPr="002B66DE">
        <w:rPr>
          <w:rFonts w:ascii="Arial" w:hAnsi="Arial" w:cs="Arial"/>
          <w:sz w:val="24"/>
          <w:szCs w:val="24"/>
        </w:rPr>
        <w:t>the implementation of IFRS1</w:t>
      </w:r>
      <w:r w:rsidR="002B66DE" w:rsidRPr="002B66DE">
        <w:rPr>
          <w:rFonts w:ascii="Arial" w:hAnsi="Arial" w:cs="Arial"/>
          <w:sz w:val="24"/>
          <w:szCs w:val="24"/>
        </w:rPr>
        <w:t>6</w:t>
      </w:r>
      <w:r w:rsidR="00727E56" w:rsidRPr="002B66DE">
        <w:rPr>
          <w:rFonts w:ascii="Arial" w:hAnsi="Arial" w:cs="Arial"/>
          <w:sz w:val="24"/>
          <w:szCs w:val="24"/>
        </w:rPr>
        <w:t xml:space="preserve"> </w:t>
      </w:r>
      <w:r>
        <w:rPr>
          <w:rFonts w:ascii="Arial" w:hAnsi="Arial" w:cs="Arial"/>
          <w:sz w:val="24"/>
          <w:szCs w:val="24"/>
        </w:rPr>
        <w:t>has been incorporated into these forecasts.</w:t>
      </w:r>
      <w:r w:rsidR="00727E56">
        <w:rPr>
          <w:rFonts w:ascii="Arial" w:hAnsi="Arial" w:cs="Arial"/>
          <w:sz w:val="24"/>
          <w:szCs w:val="24"/>
        </w:rPr>
        <w:t xml:space="preserve"> </w:t>
      </w:r>
      <w:r w:rsidRPr="00336C06">
        <w:rPr>
          <w:rFonts w:ascii="Arial" w:hAnsi="Arial" w:cs="Arial"/>
          <w:sz w:val="24"/>
          <w:szCs w:val="24"/>
        </w:rPr>
        <w:t xml:space="preserve">The Council’s operational boundary and authorised debt ceilings are set out in tables 5 and 6 (page 15) and are set at a level that will accommodate possible short-term working capital requirements or any financial lease liabilities that will be recognised following the adoption of IFRS16 on 1 April 2024.  </w:t>
      </w:r>
    </w:p>
    <w:p w14:paraId="01F7288F" w14:textId="77777777" w:rsidR="00DC1000" w:rsidRDefault="00DC1000" w:rsidP="003C1688">
      <w:pPr>
        <w:pStyle w:val="ListParagraph"/>
        <w:ind w:left="0"/>
        <w:rPr>
          <w:rFonts w:ascii="Arial" w:hAnsi="Arial" w:cs="Arial"/>
          <w:sz w:val="24"/>
          <w:szCs w:val="24"/>
        </w:rPr>
      </w:pPr>
    </w:p>
    <w:p w14:paraId="01DBAF93" w14:textId="77777777" w:rsidR="00B8596E" w:rsidRDefault="00B8596E" w:rsidP="003C1688">
      <w:pPr>
        <w:pStyle w:val="ListParagraph"/>
        <w:ind w:left="0"/>
        <w:rPr>
          <w:rFonts w:ascii="Arial" w:hAnsi="Arial" w:cs="Arial"/>
          <w:sz w:val="24"/>
          <w:szCs w:val="24"/>
        </w:rPr>
      </w:pPr>
      <w:r>
        <w:rPr>
          <w:rFonts w:ascii="Arial" w:hAnsi="Arial" w:cs="Arial"/>
          <w:sz w:val="24"/>
          <w:szCs w:val="24"/>
        </w:rPr>
        <w:t>The Liquidity allowance is set at £</w:t>
      </w:r>
      <w:r w:rsidR="00507F7F">
        <w:rPr>
          <w:rFonts w:ascii="Arial" w:hAnsi="Arial" w:cs="Arial"/>
          <w:sz w:val="24"/>
          <w:szCs w:val="24"/>
        </w:rPr>
        <w:t>10m and is</w:t>
      </w:r>
      <w:r>
        <w:rPr>
          <w:rFonts w:ascii="Arial" w:hAnsi="Arial" w:cs="Arial"/>
          <w:sz w:val="24"/>
          <w:szCs w:val="24"/>
        </w:rPr>
        <w:t xml:space="preserve"> the minimum level of funds invested to maintain professional investor status under </w:t>
      </w:r>
      <w:r w:rsidR="004568E7">
        <w:rPr>
          <w:rFonts w:ascii="Arial" w:hAnsi="Arial" w:cs="Arial"/>
          <w:sz w:val="24"/>
          <w:szCs w:val="24"/>
        </w:rPr>
        <w:t>the relevant financial regulations</w:t>
      </w:r>
      <w:r>
        <w:rPr>
          <w:rFonts w:ascii="Arial" w:hAnsi="Arial" w:cs="Arial"/>
          <w:sz w:val="24"/>
          <w:szCs w:val="24"/>
        </w:rPr>
        <w:t>.</w:t>
      </w:r>
    </w:p>
    <w:p w14:paraId="63EB41AA" w14:textId="77777777" w:rsidR="00662C6F" w:rsidRPr="003745C6" w:rsidRDefault="00662C6F" w:rsidP="003745C6">
      <w:pPr>
        <w:pStyle w:val="Heading1"/>
        <w:rPr>
          <w:rFonts w:ascii="Arial" w:hAnsi="Arial" w:cs="Arial"/>
          <w:color w:val="auto"/>
        </w:rPr>
      </w:pPr>
      <w:bookmarkStart w:id="3" w:name="_Risk_Appetite_Statement"/>
      <w:bookmarkStart w:id="4" w:name="_Toc115768660"/>
      <w:bookmarkEnd w:id="3"/>
      <w:r w:rsidRPr="003745C6">
        <w:rPr>
          <w:rFonts w:ascii="Arial" w:hAnsi="Arial" w:cs="Arial"/>
          <w:color w:val="auto"/>
        </w:rPr>
        <w:t>Risk Appetite Statement</w:t>
      </w:r>
      <w:bookmarkEnd w:id="4"/>
      <w:r w:rsidR="00467121">
        <w:rPr>
          <w:rFonts w:ascii="Arial" w:hAnsi="Arial" w:cs="Arial"/>
          <w:color w:val="auto"/>
        </w:rPr>
        <w:br/>
      </w:r>
    </w:p>
    <w:p w14:paraId="53430E7D" w14:textId="77777777" w:rsidR="00467121" w:rsidRDefault="00467121" w:rsidP="001E4240">
      <w:p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Pr>
          <w:rFonts w:ascii="Arial" w:hAnsi="Arial" w:cs="Arial"/>
          <w:sz w:val="24"/>
          <w:szCs w:val="24"/>
        </w:rPr>
        <w:t xml:space="preserve">Any investment made by the Council </w:t>
      </w:r>
      <w:r w:rsidRPr="00467121">
        <w:rPr>
          <w:rFonts w:ascii="Arial" w:hAnsi="Arial" w:cs="Arial"/>
          <w:sz w:val="24"/>
          <w:szCs w:val="24"/>
        </w:rPr>
        <w:t xml:space="preserve">should be proportionate to </w:t>
      </w:r>
      <w:r>
        <w:rPr>
          <w:rFonts w:ascii="Arial" w:hAnsi="Arial" w:cs="Arial"/>
          <w:sz w:val="24"/>
          <w:szCs w:val="24"/>
        </w:rPr>
        <w:t xml:space="preserve">its </w:t>
      </w:r>
      <w:r w:rsidRPr="00467121">
        <w:rPr>
          <w:rFonts w:ascii="Arial" w:hAnsi="Arial" w:cs="Arial"/>
          <w:sz w:val="24"/>
          <w:szCs w:val="24"/>
        </w:rPr>
        <w:t>financial capacity – so that plausible losses can be absorbed in budgets or reserves without unmanageable detriment to local services</w:t>
      </w:r>
      <w:r w:rsidR="00C9287B">
        <w:rPr>
          <w:rFonts w:ascii="Arial" w:hAnsi="Arial" w:cs="Arial"/>
          <w:sz w:val="24"/>
          <w:szCs w:val="24"/>
        </w:rPr>
        <w:t>.</w:t>
      </w:r>
    </w:p>
    <w:p w14:paraId="4E8FADA5" w14:textId="77777777" w:rsidR="00467121" w:rsidRDefault="00662C6F" w:rsidP="001E4240">
      <w:p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sidRPr="00E1158E">
        <w:rPr>
          <w:rFonts w:ascii="Arial" w:hAnsi="Arial" w:cs="Arial"/>
          <w:sz w:val="24"/>
          <w:szCs w:val="24"/>
        </w:rPr>
        <w:t xml:space="preserve">As a debt free </w:t>
      </w:r>
      <w:r w:rsidR="002536CB" w:rsidRPr="00E1158E">
        <w:rPr>
          <w:rFonts w:ascii="Arial" w:hAnsi="Arial" w:cs="Arial"/>
          <w:sz w:val="24"/>
          <w:szCs w:val="24"/>
        </w:rPr>
        <w:t>authority,</w:t>
      </w:r>
      <w:r w:rsidRPr="00E1158E">
        <w:rPr>
          <w:rFonts w:ascii="Arial" w:hAnsi="Arial" w:cs="Arial"/>
          <w:sz w:val="24"/>
          <w:szCs w:val="24"/>
        </w:rPr>
        <w:t xml:space="preserve"> the Council’s highest priority in its treasury management function is the security of those investments in accordance with the priorities set out in the CIPFA </w:t>
      </w:r>
      <w:r w:rsidR="004F7B57">
        <w:rPr>
          <w:rFonts w:ascii="Arial" w:hAnsi="Arial" w:cs="Arial"/>
          <w:sz w:val="24"/>
          <w:szCs w:val="24"/>
        </w:rPr>
        <w:t xml:space="preserve">Treasury </w:t>
      </w:r>
      <w:r w:rsidRPr="00E1158E">
        <w:rPr>
          <w:rFonts w:ascii="Arial" w:hAnsi="Arial" w:cs="Arial"/>
          <w:sz w:val="24"/>
          <w:szCs w:val="24"/>
        </w:rPr>
        <w:t xml:space="preserve">Code.  </w:t>
      </w:r>
      <w:r w:rsidR="004F7B57">
        <w:rPr>
          <w:rFonts w:ascii="Arial" w:hAnsi="Arial" w:cs="Arial"/>
          <w:sz w:val="24"/>
          <w:szCs w:val="24"/>
        </w:rPr>
        <w:t>W</w:t>
      </w:r>
      <w:r w:rsidRPr="00E1158E">
        <w:rPr>
          <w:rFonts w:ascii="Arial" w:hAnsi="Arial" w:cs="Arial"/>
          <w:sz w:val="24"/>
          <w:szCs w:val="24"/>
        </w:rPr>
        <w:t xml:space="preserve">hilst fundamentally risk averse the Council will </w:t>
      </w:r>
      <w:r w:rsidR="004F7B57">
        <w:rPr>
          <w:rFonts w:ascii="Arial" w:hAnsi="Arial" w:cs="Arial"/>
          <w:sz w:val="24"/>
          <w:szCs w:val="24"/>
        </w:rPr>
        <w:t xml:space="preserve">however </w:t>
      </w:r>
      <w:r w:rsidRPr="00E1158E">
        <w:rPr>
          <w:rFonts w:ascii="Arial" w:hAnsi="Arial" w:cs="Arial"/>
          <w:sz w:val="24"/>
          <w:szCs w:val="24"/>
        </w:rPr>
        <w:t>accept some modest degree of risk</w:t>
      </w:r>
      <w:r w:rsidR="00467121">
        <w:rPr>
          <w:rFonts w:ascii="Arial" w:hAnsi="Arial" w:cs="Arial"/>
          <w:sz w:val="24"/>
          <w:szCs w:val="24"/>
        </w:rPr>
        <w:t>.</w:t>
      </w:r>
    </w:p>
    <w:p w14:paraId="790583C8" w14:textId="77777777" w:rsidR="00467121" w:rsidRDefault="00F14640" w:rsidP="00AA2347">
      <w:pPr>
        <w:rPr>
          <w:rFonts w:ascii="Arial" w:hAnsi="Arial" w:cs="Arial"/>
          <w:sz w:val="24"/>
          <w:szCs w:val="24"/>
        </w:rPr>
      </w:pPr>
      <w:r>
        <w:rPr>
          <w:rFonts w:ascii="Arial" w:hAnsi="Arial" w:cs="Arial"/>
          <w:sz w:val="24"/>
          <w:szCs w:val="24"/>
        </w:rPr>
        <w:t xml:space="preserve">The Council mitigates </w:t>
      </w:r>
      <w:r w:rsidR="00467121">
        <w:rPr>
          <w:rFonts w:ascii="Arial" w:hAnsi="Arial" w:cs="Arial"/>
          <w:sz w:val="24"/>
          <w:szCs w:val="24"/>
        </w:rPr>
        <w:t xml:space="preserve">Treasury </w:t>
      </w:r>
      <w:r>
        <w:rPr>
          <w:rFonts w:ascii="Arial" w:hAnsi="Arial" w:cs="Arial"/>
          <w:sz w:val="24"/>
          <w:szCs w:val="24"/>
        </w:rPr>
        <w:t>investment risk by using</w:t>
      </w:r>
      <w:r w:rsidR="00662C6F" w:rsidRPr="00E1158E">
        <w:rPr>
          <w:rFonts w:ascii="Arial" w:hAnsi="Arial" w:cs="Arial"/>
          <w:sz w:val="24"/>
          <w:szCs w:val="24"/>
        </w:rPr>
        <w:t xml:space="preserve"> </w:t>
      </w:r>
      <w:r w:rsidR="00467121">
        <w:rPr>
          <w:rFonts w:ascii="Arial" w:hAnsi="Arial" w:cs="Arial"/>
          <w:sz w:val="24"/>
          <w:szCs w:val="24"/>
        </w:rPr>
        <w:t xml:space="preserve">counterparty limits based on the available resources to plausible </w:t>
      </w:r>
      <w:r w:rsidR="00C9287B">
        <w:rPr>
          <w:rFonts w:ascii="Arial" w:hAnsi="Arial" w:cs="Arial"/>
          <w:sz w:val="24"/>
          <w:szCs w:val="24"/>
        </w:rPr>
        <w:t>losses and</w:t>
      </w:r>
      <w:r w:rsidR="00467121">
        <w:rPr>
          <w:rFonts w:ascii="Arial" w:hAnsi="Arial" w:cs="Arial"/>
          <w:sz w:val="24"/>
          <w:szCs w:val="24"/>
        </w:rPr>
        <w:t xml:space="preserve"> ensures that investments are </w:t>
      </w:r>
      <w:r w:rsidR="00662C6F" w:rsidRPr="00E1158E">
        <w:rPr>
          <w:rFonts w:ascii="Arial" w:hAnsi="Arial" w:cs="Arial"/>
          <w:sz w:val="24"/>
          <w:szCs w:val="24"/>
        </w:rPr>
        <w:t xml:space="preserve">diversified </w:t>
      </w:r>
      <w:r w:rsidR="00467121">
        <w:rPr>
          <w:rFonts w:ascii="Arial" w:hAnsi="Arial" w:cs="Arial"/>
          <w:sz w:val="24"/>
          <w:szCs w:val="24"/>
        </w:rPr>
        <w:t xml:space="preserve">across </w:t>
      </w:r>
      <w:r w:rsidR="00662C6F" w:rsidRPr="00E1158E">
        <w:rPr>
          <w:rFonts w:ascii="Arial" w:hAnsi="Arial" w:cs="Arial"/>
          <w:sz w:val="24"/>
          <w:szCs w:val="24"/>
        </w:rPr>
        <w:t xml:space="preserve">high credit quality counterparties </w:t>
      </w:r>
      <w:r>
        <w:rPr>
          <w:rFonts w:ascii="Arial" w:hAnsi="Arial" w:cs="Arial"/>
          <w:sz w:val="24"/>
          <w:szCs w:val="24"/>
        </w:rPr>
        <w:t>as set out in this strategy.</w:t>
      </w:r>
      <w:r w:rsidR="00662C6F" w:rsidRPr="00E1158E">
        <w:rPr>
          <w:rFonts w:ascii="Arial" w:hAnsi="Arial" w:cs="Arial"/>
          <w:sz w:val="24"/>
          <w:szCs w:val="24"/>
        </w:rPr>
        <w:t xml:space="preserve"> </w:t>
      </w:r>
    </w:p>
    <w:p w14:paraId="639D7EA0" w14:textId="77777777" w:rsidR="00662C6F" w:rsidRDefault="00662C6F" w:rsidP="00AA2347">
      <w:pPr>
        <w:rPr>
          <w:rFonts w:ascii="Arial" w:hAnsi="Arial" w:cs="Arial"/>
          <w:sz w:val="24"/>
          <w:szCs w:val="24"/>
        </w:rPr>
      </w:pPr>
      <w:r w:rsidRPr="00E1158E">
        <w:rPr>
          <w:rFonts w:ascii="Arial" w:hAnsi="Arial" w:cs="Arial"/>
          <w:sz w:val="24"/>
          <w:szCs w:val="24"/>
        </w:rPr>
        <w:lastRenderedPageBreak/>
        <w:t xml:space="preserve">When investing surplus cash, the Council will not necessarily limit itself to making deposits with the UK Government and local </w:t>
      </w:r>
      <w:r w:rsidR="00B33950" w:rsidRPr="00E1158E">
        <w:rPr>
          <w:rFonts w:ascii="Arial" w:hAnsi="Arial" w:cs="Arial"/>
          <w:sz w:val="24"/>
          <w:szCs w:val="24"/>
        </w:rPr>
        <w:t>authorities but</w:t>
      </w:r>
      <w:r w:rsidRPr="00E1158E">
        <w:rPr>
          <w:rFonts w:ascii="Arial" w:hAnsi="Arial" w:cs="Arial"/>
          <w:sz w:val="24"/>
          <w:szCs w:val="24"/>
        </w:rPr>
        <w:t xml:space="preserve"> may invest in other bodies including certain unrated building societies</w:t>
      </w:r>
      <w:r w:rsidR="00F14640">
        <w:rPr>
          <w:rFonts w:ascii="Arial" w:hAnsi="Arial" w:cs="Arial"/>
          <w:sz w:val="24"/>
          <w:szCs w:val="24"/>
        </w:rPr>
        <w:t xml:space="preserve"> and</w:t>
      </w:r>
      <w:r w:rsidRPr="00E1158E">
        <w:rPr>
          <w:rFonts w:ascii="Arial" w:hAnsi="Arial" w:cs="Arial"/>
          <w:sz w:val="24"/>
          <w:szCs w:val="24"/>
        </w:rPr>
        <w:t xml:space="preserve"> money market funds. The Council may also invest surplus funds through tradable instruments such as gilts, treasury bills, certificates of deposit, corporate bonds</w:t>
      </w:r>
      <w:r w:rsidR="00B33950">
        <w:rPr>
          <w:rFonts w:ascii="Arial" w:hAnsi="Arial" w:cs="Arial"/>
          <w:sz w:val="24"/>
          <w:szCs w:val="24"/>
        </w:rPr>
        <w:t>,</w:t>
      </w:r>
      <w:r w:rsidRPr="00E1158E">
        <w:rPr>
          <w:rFonts w:ascii="Arial" w:hAnsi="Arial" w:cs="Arial"/>
          <w:sz w:val="24"/>
          <w:szCs w:val="24"/>
        </w:rPr>
        <w:t xml:space="preserve"> and pooled funds. The duration of such investments will be carefully considered to limit that risk of them having to be sold (although they may be) prior to maturity, mitigating the risk of the capital sum being diminished through price movements.</w:t>
      </w:r>
    </w:p>
    <w:p w14:paraId="2C0F9A6A" w14:textId="77777777" w:rsidR="00467121" w:rsidRPr="00E1158E" w:rsidRDefault="00467121" w:rsidP="00467121">
      <w:pPr>
        <w:rPr>
          <w:rFonts w:ascii="Arial" w:hAnsi="Arial" w:cs="Arial"/>
          <w:sz w:val="24"/>
          <w:szCs w:val="24"/>
        </w:rPr>
      </w:pPr>
      <w:r>
        <w:rPr>
          <w:rFonts w:ascii="Arial" w:hAnsi="Arial" w:cs="Arial"/>
          <w:sz w:val="24"/>
          <w:szCs w:val="24"/>
        </w:rPr>
        <w:t>For Commercial and Service investments, the Council uses a combination of factors that are set out in parts 2 and 3 of this document.</w:t>
      </w:r>
    </w:p>
    <w:p w14:paraId="6DA3A9A0" w14:textId="77777777" w:rsidR="00D2575F" w:rsidRPr="003745C6" w:rsidRDefault="00D2575F" w:rsidP="009C0A79">
      <w:pPr>
        <w:pStyle w:val="Heading1"/>
        <w:rPr>
          <w:rFonts w:ascii="Arial" w:hAnsi="Arial" w:cs="Arial"/>
          <w:color w:val="auto"/>
        </w:rPr>
      </w:pPr>
      <w:bookmarkStart w:id="5" w:name="_Treasury_Investments"/>
      <w:bookmarkStart w:id="6" w:name="_Toc115768661"/>
      <w:bookmarkEnd w:id="5"/>
      <w:r w:rsidRPr="005B4A0B">
        <w:rPr>
          <w:rFonts w:ascii="Arial" w:hAnsi="Arial" w:cs="Arial"/>
          <w:color w:val="auto"/>
        </w:rPr>
        <w:t xml:space="preserve">Treasury Investments </w:t>
      </w:r>
      <w:r w:rsidR="00296E56" w:rsidRPr="005B4A0B">
        <w:rPr>
          <w:rFonts w:ascii="Arial" w:hAnsi="Arial" w:cs="Arial"/>
          <w:color w:val="auto"/>
        </w:rPr>
        <w:t>and Borrowing</w:t>
      </w:r>
      <w:bookmarkEnd w:id="6"/>
      <w:r w:rsidR="001D1A14" w:rsidRPr="003745C6">
        <w:rPr>
          <w:rFonts w:ascii="Arial" w:hAnsi="Arial" w:cs="Arial"/>
          <w:color w:val="auto"/>
        </w:rPr>
        <w:br/>
      </w:r>
    </w:p>
    <w:p w14:paraId="3AAF4627" w14:textId="77777777" w:rsidR="007F3B5B" w:rsidRPr="00E1158E" w:rsidRDefault="007F3B5B" w:rsidP="007F3B5B">
      <w:pPr>
        <w:ind w:left="27"/>
        <w:rPr>
          <w:rFonts w:ascii="Arial" w:hAnsi="Arial" w:cs="Arial"/>
          <w:sz w:val="24"/>
          <w:szCs w:val="24"/>
        </w:rPr>
      </w:pPr>
      <w:r w:rsidRPr="00E1158E">
        <w:rPr>
          <w:rFonts w:ascii="Arial" w:hAnsi="Arial" w:cs="Arial"/>
          <w:sz w:val="24"/>
          <w:szCs w:val="24"/>
        </w:rPr>
        <w:t xml:space="preserve">In line with the Council’s </w:t>
      </w:r>
      <w:r w:rsidR="00232860" w:rsidRPr="00EA768C">
        <w:rPr>
          <w:rFonts w:ascii="Arial" w:hAnsi="Arial" w:cs="Arial"/>
          <w:sz w:val="24"/>
          <w:szCs w:val="24"/>
        </w:rPr>
        <w:t>Treasury Management Policy Statement</w:t>
      </w:r>
      <w:r w:rsidRPr="00E1158E">
        <w:rPr>
          <w:rFonts w:ascii="Arial" w:hAnsi="Arial" w:cs="Arial"/>
          <w:sz w:val="24"/>
          <w:szCs w:val="24"/>
        </w:rPr>
        <w:t>, treasury management includes all the activities necessary for:</w:t>
      </w:r>
    </w:p>
    <w:p w14:paraId="712316B7" w14:textId="77777777" w:rsidR="007F3B5B" w:rsidRPr="00E1158E" w:rsidRDefault="007F3B5B" w:rsidP="00AA2347">
      <w:pPr>
        <w:numPr>
          <w:ilvl w:val="0"/>
          <w:numId w:val="9"/>
        </w:numPr>
        <w:rPr>
          <w:rFonts w:ascii="Arial" w:hAnsi="Arial" w:cs="Arial"/>
          <w:sz w:val="24"/>
          <w:szCs w:val="24"/>
        </w:rPr>
      </w:pPr>
      <w:r w:rsidRPr="00E1158E">
        <w:rPr>
          <w:rFonts w:ascii="Arial" w:hAnsi="Arial" w:cs="Arial"/>
          <w:sz w:val="24"/>
          <w:szCs w:val="24"/>
        </w:rPr>
        <w:t xml:space="preserve">Cash </w:t>
      </w:r>
      <w:proofErr w:type="gramStart"/>
      <w:r w:rsidRPr="00E1158E">
        <w:rPr>
          <w:rFonts w:ascii="Arial" w:hAnsi="Arial" w:cs="Arial"/>
          <w:sz w:val="24"/>
          <w:szCs w:val="24"/>
        </w:rPr>
        <w:t>management</w:t>
      </w:r>
      <w:r w:rsidR="003F1A87">
        <w:rPr>
          <w:rFonts w:ascii="Arial" w:hAnsi="Arial" w:cs="Arial"/>
          <w:sz w:val="24"/>
          <w:szCs w:val="24"/>
        </w:rPr>
        <w:t>;</w:t>
      </w:r>
      <w:proofErr w:type="gramEnd"/>
    </w:p>
    <w:p w14:paraId="6A2B4E6F" w14:textId="77777777" w:rsidR="007F3B5B" w:rsidRPr="00E1158E" w:rsidRDefault="007F3B5B" w:rsidP="00AA2347">
      <w:pPr>
        <w:numPr>
          <w:ilvl w:val="0"/>
          <w:numId w:val="9"/>
        </w:numPr>
        <w:rPr>
          <w:rFonts w:ascii="Arial" w:hAnsi="Arial" w:cs="Arial"/>
          <w:sz w:val="24"/>
          <w:szCs w:val="24"/>
        </w:rPr>
      </w:pPr>
      <w:r w:rsidRPr="00E1158E">
        <w:rPr>
          <w:rFonts w:ascii="Arial" w:hAnsi="Arial" w:cs="Arial"/>
          <w:sz w:val="24"/>
          <w:szCs w:val="24"/>
        </w:rPr>
        <w:t>Liquidity planning and control; and,</w:t>
      </w:r>
    </w:p>
    <w:p w14:paraId="1A6CDE28" w14:textId="77777777" w:rsidR="007F3B5B" w:rsidRPr="00E1158E" w:rsidRDefault="007F3B5B" w:rsidP="00AA2347">
      <w:pPr>
        <w:numPr>
          <w:ilvl w:val="0"/>
          <w:numId w:val="9"/>
        </w:numPr>
        <w:rPr>
          <w:rFonts w:ascii="Arial" w:hAnsi="Arial" w:cs="Arial"/>
          <w:sz w:val="24"/>
          <w:szCs w:val="24"/>
        </w:rPr>
      </w:pPr>
      <w:r w:rsidRPr="00E1158E">
        <w:rPr>
          <w:rFonts w:ascii="Arial" w:hAnsi="Arial" w:cs="Arial"/>
          <w:sz w:val="24"/>
          <w:szCs w:val="24"/>
        </w:rPr>
        <w:t>Corporate finance, including medium and long term financing and investing.</w:t>
      </w:r>
    </w:p>
    <w:p w14:paraId="5D93523C" w14:textId="77777777" w:rsidR="007F3B5B" w:rsidRPr="00E1158E" w:rsidRDefault="00336C06" w:rsidP="007F3B5B">
      <w:pPr>
        <w:ind w:left="27"/>
        <w:rPr>
          <w:rFonts w:ascii="Arial" w:hAnsi="Arial" w:cs="Arial"/>
          <w:bCs/>
          <w:color w:val="000000"/>
          <w:sz w:val="24"/>
          <w:szCs w:val="24"/>
        </w:rPr>
      </w:pPr>
      <w:r w:rsidRPr="00336C06">
        <w:rPr>
          <w:rFonts w:ascii="Arial" w:hAnsi="Arial" w:cs="Arial"/>
          <w:bCs/>
          <w:color w:val="000000"/>
          <w:sz w:val="24"/>
          <w:szCs w:val="24"/>
        </w:rPr>
        <w:t xml:space="preserve">The contribution that treasury investments make to the objectives of the Authority is to support effective treasury management activities.  Successfully identifying, </w:t>
      </w:r>
      <w:proofErr w:type="gramStart"/>
      <w:r w:rsidRPr="00336C06">
        <w:rPr>
          <w:rFonts w:ascii="Arial" w:hAnsi="Arial" w:cs="Arial"/>
          <w:bCs/>
          <w:color w:val="000000"/>
          <w:sz w:val="24"/>
          <w:szCs w:val="24"/>
        </w:rPr>
        <w:t>monitoring</w:t>
      </w:r>
      <w:proofErr w:type="gramEnd"/>
      <w:r w:rsidRPr="00336C06">
        <w:rPr>
          <w:rFonts w:ascii="Arial" w:hAnsi="Arial" w:cs="Arial"/>
          <w:bCs/>
          <w:color w:val="000000"/>
          <w:sz w:val="24"/>
          <w:szCs w:val="24"/>
        </w:rPr>
        <w:t xml:space="preserve"> and mitigating risk is the cornerstone of effective treasury management, although the Council acknowledges that effective treasury management also supports the achievement of business and service objectives.</w:t>
      </w:r>
    </w:p>
    <w:p w14:paraId="77C6C05A" w14:textId="77777777" w:rsidR="00447A8E" w:rsidRPr="00E1158E" w:rsidRDefault="00D2575F" w:rsidP="003C1688">
      <w:pPr>
        <w:pStyle w:val="ListParagraph"/>
        <w:ind w:left="0"/>
        <w:rPr>
          <w:rFonts w:ascii="Arial" w:hAnsi="Arial" w:cs="Arial"/>
          <w:sz w:val="24"/>
          <w:szCs w:val="24"/>
        </w:rPr>
      </w:pPr>
      <w:r w:rsidRPr="00E1158E">
        <w:rPr>
          <w:rFonts w:ascii="Arial" w:hAnsi="Arial" w:cs="Arial"/>
          <w:sz w:val="24"/>
          <w:szCs w:val="24"/>
        </w:rPr>
        <w:t>The Authority typically receives its income in cash (</w:t>
      </w:r>
      <w:proofErr w:type="gramStart"/>
      <w:r w:rsidRPr="00E1158E">
        <w:rPr>
          <w:rFonts w:ascii="Arial" w:hAnsi="Arial" w:cs="Arial"/>
          <w:sz w:val="24"/>
          <w:szCs w:val="24"/>
        </w:rPr>
        <w:t>e.g.</w:t>
      </w:r>
      <w:proofErr w:type="gramEnd"/>
      <w:r w:rsidRPr="00E1158E">
        <w:rPr>
          <w:rFonts w:ascii="Arial" w:hAnsi="Arial" w:cs="Arial"/>
          <w:sz w:val="24"/>
          <w:szCs w:val="24"/>
        </w:rPr>
        <w:t xml:space="preserve"> from taxes and grants) before it pays for its expenditure in cash (e.g. through payroll and invoices). It also holds reserves for future expenditure and collects local taxes on behalf of other local authorities and central government. These activities lead to a cash surplus which is invested in accordance with</w:t>
      </w:r>
      <w:r w:rsidR="002D679A" w:rsidRPr="00E1158E">
        <w:rPr>
          <w:rFonts w:ascii="Arial" w:hAnsi="Arial" w:cs="Arial"/>
          <w:sz w:val="24"/>
          <w:szCs w:val="24"/>
        </w:rPr>
        <w:t xml:space="preserve"> </w:t>
      </w:r>
      <w:r w:rsidR="00447A8E" w:rsidRPr="00E1158E">
        <w:rPr>
          <w:rFonts w:ascii="Arial" w:hAnsi="Arial" w:cs="Arial"/>
          <w:sz w:val="24"/>
          <w:szCs w:val="24"/>
        </w:rPr>
        <w:t>the CIPFA Code</w:t>
      </w:r>
      <w:r w:rsidRPr="00E1158E">
        <w:rPr>
          <w:rFonts w:ascii="Arial" w:hAnsi="Arial" w:cs="Arial"/>
          <w:sz w:val="24"/>
          <w:szCs w:val="24"/>
        </w:rPr>
        <w:t xml:space="preserve">. </w:t>
      </w:r>
    </w:p>
    <w:p w14:paraId="1ECE46DE" w14:textId="77777777" w:rsidR="00447A8E" w:rsidRPr="00E1158E" w:rsidRDefault="00447A8E" w:rsidP="003C1688">
      <w:pPr>
        <w:pStyle w:val="ListParagraph"/>
        <w:ind w:left="0"/>
        <w:rPr>
          <w:rFonts w:ascii="Arial" w:hAnsi="Arial" w:cs="Arial"/>
          <w:sz w:val="24"/>
          <w:szCs w:val="24"/>
        </w:rPr>
      </w:pPr>
    </w:p>
    <w:p w14:paraId="6A816406" w14:textId="2085DBFB" w:rsidR="006D2A8B" w:rsidRPr="00E1158E" w:rsidRDefault="00D2575F" w:rsidP="003D17F2">
      <w:pPr>
        <w:pStyle w:val="ListParagraph"/>
        <w:ind w:left="0"/>
        <w:rPr>
          <w:rFonts w:ascii="Arial" w:hAnsi="Arial" w:cs="Arial"/>
          <w:sz w:val="24"/>
          <w:szCs w:val="24"/>
        </w:rPr>
      </w:pPr>
      <w:r w:rsidRPr="00E1158E">
        <w:rPr>
          <w:rFonts w:ascii="Arial" w:hAnsi="Arial" w:cs="Arial"/>
          <w:sz w:val="24"/>
          <w:szCs w:val="24"/>
        </w:rPr>
        <w:t xml:space="preserve">The </w:t>
      </w:r>
      <w:r w:rsidR="00336C06">
        <w:rPr>
          <w:rFonts w:ascii="Arial" w:hAnsi="Arial" w:cs="Arial"/>
          <w:sz w:val="24"/>
          <w:szCs w:val="24"/>
        </w:rPr>
        <w:t xml:space="preserve">stable long-term </w:t>
      </w:r>
      <w:r w:rsidRPr="00E1158E">
        <w:rPr>
          <w:rFonts w:ascii="Arial" w:hAnsi="Arial" w:cs="Arial"/>
          <w:sz w:val="24"/>
          <w:szCs w:val="24"/>
        </w:rPr>
        <w:t xml:space="preserve">balance of treasury investments is expected to fluctuate </w:t>
      </w:r>
      <w:r w:rsidRPr="00507F7F">
        <w:rPr>
          <w:rFonts w:ascii="Arial" w:hAnsi="Arial" w:cs="Arial"/>
          <w:sz w:val="24"/>
          <w:szCs w:val="24"/>
        </w:rPr>
        <w:t xml:space="preserve">between </w:t>
      </w:r>
      <w:r w:rsidRPr="00BF723E">
        <w:rPr>
          <w:rFonts w:ascii="Arial" w:hAnsi="Arial" w:cs="Arial"/>
          <w:sz w:val="24"/>
          <w:szCs w:val="24"/>
        </w:rPr>
        <w:t>£</w:t>
      </w:r>
      <w:r w:rsidR="00853450" w:rsidRPr="00BF723E">
        <w:rPr>
          <w:rFonts w:ascii="Arial" w:hAnsi="Arial" w:cs="Arial"/>
          <w:sz w:val="24"/>
          <w:szCs w:val="24"/>
        </w:rPr>
        <w:t>109</w:t>
      </w:r>
      <w:r w:rsidR="00507F7F" w:rsidRPr="00BF723E">
        <w:rPr>
          <w:rFonts w:ascii="Arial" w:hAnsi="Arial" w:cs="Arial"/>
          <w:sz w:val="24"/>
          <w:szCs w:val="24"/>
        </w:rPr>
        <w:t xml:space="preserve">m </w:t>
      </w:r>
      <w:r w:rsidRPr="00BF723E">
        <w:rPr>
          <w:rFonts w:ascii="Arial" w:hAnsi="Arial" w:cs="Arial"/>
          <w:sz w:val="24"/>
          <w:szCs w:val="24"/>
        </w:rPr>
        <w:t>and £</w:t>
      </w:r>
      <w:r w:rsidR="00853450" w:rsidRPr="00BF723E">
        <w:rPr>
          <w:rFonts w:ascii="Arial" w:hAnsi="Arial" w:cs="Arial"/>
          <w:sz w:val="24"/>
          <w:szCs w:val="24"/>
        </w:rPr>
        <w:t>99</w:t>
      </w:r>
      <w:r w:rsidRPr="00BF723E">
        <w:rPr>
          <w:rFonts w:ascii="Arial" w:hAnsi="Arial" w:cs="Arial"/>
          <w:sz w:val="24"/>
          <w:szCs w:val="24"/>
        </w:rPr>
        <w:t>m</w:t>
      </w:r>
      <w:r w:rsidRPr="00E1158E">
        <w:rPr>
          <w:rFonts w:ascii="Arial" w:hAnsi="Arial" w:cs="Arial"/>
          <w:sz w:val="24"/>
          <w:szCs w:val="24"/>
        </w:rPr>
        <w:t xml:space="preserve"> during the 20</w:t>
      </w:r>
      <w:r w:rsidR="00FB10B2">
        <w:rPr>
          <w:rFonts w:ascii="Arial" w:hAnsi="Arial" w:cs="Arial"/>
          <w:sz w:val="24"/>
          <w:szCs w:val="24"/>
        </w:rPr>
        <w:t>2</w:t>
      </w:r>
      <w:r w:rsidR="00336C06">
        <w:rPr>
          <w:rFonts w:ascii="Arial" w:hAnsi="Arial" w:cs="Arial"/>
          <w:sz w:val="24"/>
          <w:szCs w:val="24"/>
        </w:rPr>
        <w:t>3</w:t>
      </w:r>
      <w:r w:rsidR="00F46CB6">
        <w:rPr>
          <w:rFonts w:ascii="Arial" w:hAnsi="Arial" w:cs="Arial"/>
          <w:sz w:val="24"/>
          <w:szCs w:val="24"/>
        </w:rPr>
        <w:t>-</w:t>
      </w:r>
      <w:r w:rsidRPr="00E1158E">
        <w:rPr>
          <w:rFonts w:ascii="Arial" w:hAnsi="Arial" w:cs="Arial"/>
          <w:sz w:val="24"/>
          <w:szCs w:val="24"/>
        </w:rPr>
        <w:t>2</w:t>
      </w:r>
      <w:r w:rsidR="00336C06">
        <w:rPr>
          <w:rFonts w:ascii="Arial" w:hAnsi="Arial" w:cs="Arial"/>
          <w:sz w:val="24"/>
          <w:szCs w:val="24"/>
        </w:rPr>
        <w:t>4</w:t>
      </w:r>
      <w:r w:rsidRPr="00E1158E">
        <w:rPr>
          <w:rFonts w:ascii="Arial" w:hAnsi="Arial" w:cs="Arial"/>
          <w:sz w:val="24"/>
          <w:szCs w:val="24"/>
        </w:rPr>
        <w:t xml:space="preserve"> financial year</w:t>
      </w:r>
      <w:r w:rsidR="00507F7F">
        <w:rPr>
          <w:rFonts w:ascii="Arial" w:hAnsi="Arial" w:cs="Arial"/>
          <w:sz w:val="24"/>
          <w:szCs w:val="24"/>
        </w:rPr>
        <w:t xml:space="preserve"> (table </w:t>
      </w:r>
      <w:r w:rsidR="006A0D2E">
        <w:rPr>
          <w:rFonts w:ascii="Arial" w:hAnsi="Arial" w:cs="Arial"/>
          <w:sz w:val="24"/>
          <w:szCs w:val="24"/>
        </w:rPr>
        <w:t>2</w:t>
      </w:r>
      <w:r w:rsidR="00507F7F">
        <w:rPr>
          <w:rFonts w:ascii="Arial" w:hAnsi="Arial" w:cs="Arial"/>
          <w:sz w:val="24"/>
          <w:szCs w:val="24"/>
        </w:rPr>
        <w:t>, above)</w:t>
      </w:r>
      <w:r w:rsidRPr="00E1158E">
        <w:rPr>
          <w:rFonts w:ascii="Arial" w:hAnsi="Arial" w:cs="Arial"/>
          <w:sz w:val="24"/>
          <w:szCs w:val="24"/>
        </w:rPr>
        <w:t>.</w:t>
      </w:r>
      <w:r w:rsidR="00447A8E" w:rsidRPr="00E1158E">
        <w:rPr>
          <w:rFonts w:ascii="Arial" w:hAnsi="Arial" w:cs="Arial"/>
          <w:sz w:val="24"/>
          <w:szCs w:val="24"/>
        </w:rPr>
        <w:t xml:space="preserve"> </w:t>
      </w:r>
      <w:r w:rsidR="00447A8E" w:rsidRPr="00E1158E">
        <w:rPr>
          <w:rFonts w:ascii="Arial" w:hAnsi="Arial" w:cs="Arial"/>
          <w:sz w:val="24"/>
          <w:szCs w:val="24"/>
        </w:rPr>
        <w:br/>
      </w:r>
      <w:r w:rsidR="00564F2C">
        <w:rPr>
          <w:rFonts w:ascii="Arial" w:hAnsi="Arial" w:cs="Arial"/>
          <w:bCs/>
          <w:color w:val="000000"/>
          <w:sz w:val="24"/>
          <w:szCs w:val="24"/>
        </w:rPr>
        <w:br/>
      </w:r>
      <w:r w:rsidR="00447A8E" w:rsidRPr="00E1158E">
        <w:rPr>
          <w:rFonts w:ascii="Arial" w:hAnsi="Arial" w:cs="Arial"/>
          <w:bCs/>
          <w:color w:val="000000"/>
          <w:sz w:val="24"/>
          <w:szCs w:val="24"/>
        </w:rPr>
        <w:t>The Council does not intend to borrow any monies, except for short term cash flow purposes for revenue and capital commitments.</w:t>
      </w:r>
    </w:p>
    <w:p w14:paraId="3E241086" w14:textId="77777777" w:rsidR="000C34C9" w:rsidRDefault="000C34C9" w:rsidP="000C34C9">
      <w:pPr>
        <w:pStyle w:val="Heading2"/>
        <w:spacing w:before="0" w:after="0"/>
        <w:rPr>
          <w:rFonts w:ascii="Arial" w:hAnsi="Arial" w:cs="Arial"/>
          <w:color w:val="auto"/>
        </w:rPr>
      </w:pPr>
      <w:bookmarkStart w:id="7" w:name="_Toc115768662"/>
    </w:p>
    <w:p w14:paraId="00E72EEC" w14:textId="6956B329" w:rsidR="006E4684" w:rsidRPr="003745C6" w:rsidRDefault="006E4684" w:rsidP="003C1688">
      <w:pPr>
        <w:pStyle w:val="Heading2"/>
        <w:rPr>
          <w:rFonts w:ascii="Arial" w:hAnsi="Arial" w:cs="Arial"/>
          <w:color w:val="auto"/>
        </w:rPr>
      </w:pPr>
      <w:r w:rsidRPr="003745C6">
        <w:rPr>
          <w:rFonts w:ascii="Arial" w:hAnsi="Arial" w:cs="Arial"/>
          <w:color w:val="auto"/>
        </w:rPr>
        <w:t>Investment Objective</w:t>
      </w:r>
      <w:bookmarkEnd w:id="7"/>
      <w:r w:rsidR="003D1F4A" w:rsidRPr="003745C6">
        <w:rPr>
          <w:rFonts w:ascii="Arial" w:hAnsi="Arial" w:cs="Arial"/>
          <w:color w:val="auto"/>
        </w:rPr>
        <w:t xml:space="preserve"> </w:t>
      </w:r>
    </w:p>
    <w:p w14:paraId="3FFFC710" w14:textId="77777777" w:rsidR="00447A8E" w:rsidRPr="00E1158E" w:rsidRDefault="00447A8E" w:rsidP="00966668">
      <w:p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sidRPr="00E1158E">
        <w:rPr>
          <w:rFonts w:ascii="Arial" w:hAnsi="Arial" w:cs="Arial"/>
          <w:sz w:val="24"/>
          <w:szCs w:val="24"/>
        </w:rPr>
        <w:t xml:space="preserve">The Council’s objective when investing money is to comply with the principles stated in this strategy document, striking an appropriate balance between risk and return in line with the Council’s </w:t>
      </w:r>
      <w:r w:rsidR="002538DB" w:rsidRPr="002538DB">
        <w:rPr>
          <w:rFonts w:ascii="Arial" w:hAnsi="Arial" w:cs="Arial"/>
          <w:sz w:val="24"/>
          <w:szCs w:val="24"/>
        </w:rPr>
        <w:t>risk appetite statement</w:t>
      </w:r>
      <w:r w:rsidRPr="00E1158E">
        <w:rPr>
          <w:rFonts w:ascii="Arial" w:hAnsi="Arial" w:cs="Arial"/>
          <w:sz w:val="24"/>
          <w:szCs w:val="24"/>
        </w:rPr>
        <w:t>.</w:t>
      </w:r>
    </w:p>
    <w:p w14:paraId="5284748C" w14:textId="77777777" w:rsidR="000934E6" w:rsidRPr="003745C6" w:rsidRDefault="003D17F2" w:rsidP="009C0A79">
      <w:pPr>
        <w:pStyle w:val="Heading2"/>
        <w:rPr>
          <w:rFonts w:ascii="Arial" w:hAnsi="Arial" w:cs="Arial"/>
          <w:color w:val="auto"/>
          <w:szCs w:val="24"/>
        </w:rPr>
      </w:pPr>
      <w:r>
        <w:rPr>
          <w:rFonts w:ascii="Arial" w:hAnsi="Arial" w:cs="Arial"/>
          <w:color w:val="auto"/>
        </w:rPr>
        <w:br/>
      </w:r>
      <w:bookmarkStart w:id="8" w:name="_Toc115768663"/>
      <w:r w:rsidR="002D679A" w:rsidRPr="003745C6">
        <w:rPr>
          <w:rFonts w:ascii="Arial" w:hAnsi="Arial" w:cs="Arial"/>
          <w:color w:val="auto"/>
        </w:rPr>
        <w:t>Counterparty limits</w:t>
      </w:r>
      <w:bookmarkEnd w:id="8"/>
    </w:p>
    <w:p w14:paraId="3E780BF5" w14:textId="77777777" w:rsidR="003D1F4A" w:rsidRPr="00E1158E" w:rsidRDefault="000934E6" w:rsidP="003C1688">
      <w:p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sidRPr="00E1158E">
        <w:rPr>
          <w:rFonts w:ascii="Arial" w:hAnsi="Arial" w:cs="Arial"/>
          <w:sz w:val="24"/>
          <w:szCs w:val="24"/>
        </w:rPr>
        <w:t>T</w:t>
      </w:r>
      <w:r w:rsidR="003D1F4A" w:rsidRPr="00E1158E">
        <w:rPr>
          <w:rFonts w:ascii="Arial" w:hAnsi="Arial" w:cs="Arial"/>
          <w:sz w:val="24"/>
          <w:szCs w:val="24"/>
        </w:rPr>
        <w:t xml:space="preserve">he Council may invest its surplus funds with any of the counterparties in table </w:t>
      </w:r>
      <w:r w:rsidR="006A0D2E">
        <w:rPr>
          <w:rFonts w:ascii="Arial" w:hAnsi="Arial" w:cs="Arial"/>
          <w:sz w:val="24"/>
          <w:szCs w:val="24"/>
        </w:rPr>
        <w:t>3</w:t>
      </w:r>
      <w:r w:rsidR="003D1F4A" w:rsidRPr="00E1158E">
        <w:rPr>
          <w:rFonts w:ascii="Arial" w:hAnsi="Arial" w:cs="Arial"/>
          <w:sz w:val="24"/>
          <w:szCs w:val="24"/>
        </w:rPr>
        <w:t xml:space="preserve"> below, subject to the cash limits (per counterparty) and time limits shown.</w:t>
      </w:r>
      <w:r w:rsidR="008D4E73" w:rsidRPr="00E1158E">
        <w:rPr>
          <w:rFonts w:ascii="Arial" w:hAnsi="Arial" w:cs="Arial"/>
          <w:sz w:val="24"/>
          <w:szCs w:val="24"/>
        </w:rPr>
        <w:t xml:space="preserve"> </w:t>
      </w:r>
    </w:p>
    <w:p w14:paraId="1E6F7B77" w14:textId="77777777" w:rsidR="00366EA4" w:rsidRDefault="007B2BB3" w:rsidP="003745C6">
      <w:pPr>
        <w:rPr>
          <w:rFonts w:ascii="Arial" w:hAnsi="Arial" w:cs="Arial"/>
          <w:sz w:val="24"/>
          <w:szCs w:val="24"/>
        </w:rPr>
      </w:pPr>
      <w:r w:rsidRPr="003745C6">
        <w:rPr>
          <w:rFonts w:ascii="Arial" w:hAnsi="Arial" w:cs="Arial"/>
          <w:sz w:val="24"/>
          <w:szCs w:val="24"/>
        </w:rPr>
        <w:t xml:space="preserve">The Authority’s </w:t>
      </w:r>
      <w:r w:rsidR="00336C06">
        <w:rPr>
          <w:rFonts w:ascii="Arial" w:hAnsi="Arial" w:cs="Arial"/>
          <w:sz w:val="24"/>
          <w:szCs w:val="24"/>
        </w:rPr>
        <w:t xml:space="preserve">available </w:t>
      </w:r>
      <w:r w:rsidRPr="003745C6">
        <w:rPr>
          <w:rFonts w:ascii="Arial" w:hAnsi="Arial" w:cs="Arial"/>
          <w:sz w:val="24"/>
          <w:szCs w:val="24"/>
        </w:rPr>
        <w:t xml:space="preserve">reserves available to cover investment losses are forecast to be </w:t>
      </w:r>
      <w:r w:rsidRPr="000D2F24">
        <w:rPr>
          <w:rFonts w:ascii="Arial" w:hAnsi="Arial" w:cs="Arial"/>
          <w:sz w:val="24"/>
          <w:szCs w:val="24"/>
        </w:rPr>
        <w:t>£</w:t>
      </w:r>
      <w:r w:rsidR="0026009D">
        <w:rPr>
          <w:rFonts w:ascii="Arial" w:hAnsi="Arial" w:cs="Arial"/>
          <w:sz w:val="24"/>
          <w:szCs w:val="24"/>
        </w:rPr>
        <w:t>84</w:t>
      </w:r>
      <w:r w:rsidRPr="003745C6">
        <w:rPr>
          <w:rFonts w:ascii="Arial" w:hAnsi="Arial" w:cs="Arial"/>
          <w:sz w:val="24"/>
          <w:szCs w:val="24"/>
        </w:rPr>
        <w:t>m on 31st March 2</w:t>
      </w:r>
      <w:r w:rsidR="00C71F6B">
        <w:rPr>
          <w:rFonts w:ascii="Arial" w:hAnsi="Arial" w:cs="Arial"/>
          <w:sz w:val="24"/>
          <w:szCs w:val="24"/>
        </w:rPr>
        <w:t>02</w:t>
      </w:r>
      <w:r w:rsidR="00336C06">
        <w:rPr>
          <w:rFonts w:ascii="Arial" w:hAnsi="Arial" w:cs="Arial"/>
          <w:sz w:val="24"/>
          <w:szCs w:val="24"/>
        </w:rPr>
        <w:t xml:space="preserve">4. </w:t>
      </w:r>
    </w:p>
    <w:p w14:paraId="35E04651" w14:textId="77777777" w:rsidR="00336C06" w:rsidRDefault="00336C06" w:rsidP="003745C6">
      <w:pPr>
        <w:rPr>
          <w:rFonts w:ascii="Arial" w:hAnsi="Arial" w:cs="Arial"/>
          <w:sz w:val="24"/>
          <w:szCs w:val="24"/>
        </w:rPr>
      </w:pPr>
      <w:r>
        <w:rPr>
          <w:rFonts w:ascii="Arial" w:hAnsi="Arial" w:cs="Arial"/>
          <w:sz w:val="24"/>
          <w:szCs w:val="24"/>
        </w:rPr>
        <w:t>From this figure the following sums are excluded as they would not be available to fund any loss:</w:t>
      </w:r>
    </w:p>
    <w:p w14:paraId="77F67334" w14:textId="77777777" w:rsidR="00336C06" w:rsidRDefault="00336C06" w:rsidP="00336C06">
      <w:pPr>
        <w:numPr>
          <w:ilvl w:val="0"/>
          <w:numId w:val="30"/>
        </w:numPr>
        <w:rPr>
          <w:rFonts w:ascii="Arial" w:hAnsi="Arial" w:cs="Arial"/>
          <w:sz w:val="24"/>
          <w:szCs w:val="24"/>
        </w:rPr>
      </w:pPr>
      <w:r>
        <w:rPr>
          <w:rFonts w:ascii="Arial" w:hAnsi="Arial" w:cs="Arial"/>
          <w:sz w:val="24"/>
          <w:szCs w:val="24"/>
        </w:rPr>
        <w:t>Forecast CIL balance</w:t>
      </w:r>
      <w:r>
        <w:rPr>
          <w:rFonts w:ascii="Arial" w:hAnsi="Arial" w:cs="Arial"/>
          <w:sz w:val="24"/>
          <w:szCs w:val="24"/>
        </w:rPr>
        <w:tab/>
        <w:t>£</w:t>
      </w:r>
      <w:proofErr w:type="gramStart"/>
      <w:r w:rsidR="00327BAA">
        <w:rPr>
          <w:rFonts w:ascii="Arial" w:hAnsi="Arial" w:cs="Arial"/>
          <w:sz w:val="24"/>
          <w:szCs w:val="24"/>
        </w:rPr>
        <w:t>5</w:t>
      </w:r>
      <w:r>
        <w:rPr>
          <w:rFonts w:ascii="Arial" w:hAnsi="Arial" w:cs="Arial"/>
          <w:sz w:val="24"/>
          <w:szCs w:val="24"/>
        </w:rPr>
        <w:t>m</w:t>
      </w:r>
      <w:proofErr w:type="gramEnd"/>
    </w:p>
    <w:p w14:paraId="44AE93AB" w14:textId="77777777" w:rsidR="00336C06" w:rsidRDefault="00336C06" w:rsidP="002E1C30">
      <w:pPr>
        <w:numPr>
          <w:ilvl w:val="0"/>
          <w:numId w:val="30"/>
        </w:numPr>
        <w:rPr>
          <w:rFonts w:ascii="Arial" w:hAnsi="Arial" w:cs="Arial"/>
          <w:sz w:val="24"/>
          <w:szCs w:val="24"/>
        </w:rPr>
      </w:pPr>
      <w:r>
        <w:rPr>
          <w:rFonts w:ascii="Arial" w:hAnsi="Arial" w:cs="Arial"/>
          <w:sz w:val="24"/>
          <w:szCs w:val="24"/>
        </w:rPr>
        <w:t>Capital rec</w:t>
      </w:r>
      <w:r w:rsidR="00366EA4">
        <w:rPr>
          <w:rFonts w:ascii="Arial" w:hAnsi="Arial" w:cs="Arial"/>
          <w:sz w:val="24"/>
          <w:szCs w:val="24"/>
        </w:rPr>
        <w:t>eipts</w:t>
      </w:r>
      <w:r>
        <w:rPr>
          <w:rFonts w:ascii="Arial" w:hAnsi="Arial" w:cs="Arial"/>
          <w:sz w:val="24"/>
          <w:szCs w:val="24"/>
        </w:rPr>
        <w:t xml:space="preserve"> reserve</w:t>
      </w:r>
      <w:r>
        <w:rPr>
          <w:rFonts w:ascii="Arial" w:hAnsi="Arial" w:cs="Arial"/>
          <w:sz w:val="24"/>
          <w:szCs w:val="24"/>
        </w:rPr>
        <w:tab/>
        <w:t>£</w:t>
      </w:r>
      <w:proofErr w:type="gramStart"/>
      <w:r w:rsidR="007A380A">
        <w:rPr>
          <w:rFonts w:ascii="Arial" w:hAnsi="Arial" w:cs="Arial"/>
          <w:sz w:val="24"/>
          <w:szCs w:val="24"/>
        </w:rPr>
        <w:t>2</w:t>
      </w:r>
      <w:r>
        <w:rPr>
          <w:rFonts w:ascii="Arial" w:hAnsi="Arial" w:cs="Arial"/>
          <w:sz w:val="24"/>
          <w:szCs w:val="24"/>
        </w:rPr>
        <w:t>m</w:t>
      </w:r>
      <w:proofErr w:type="gramEnd"/>
    </w:p>
    <w:p w14:paraId="7863D1AC" w14:textId="77777777" w:rsidR="007B2BB3" w:rsidRDefault="007B2BB3" w:rsidP="003745C6">
      <w:pPr>
        <w:rPr>
          <w:rFonts w:ascii="Arial" w:hAnsi="Arial" w:cs="Arial"/>
          <w:sz w:val="24"/>
          <w:szCs w:val="24"/>
        </w:rPr>
      </w:pPr>
      <w:r>
        <w:rPr>
          <w:rFonts w:ascii="Arial" w:hAnsi="Arial" w:cs="Arial"/>
          <w:sz w:val="24"/>
          <w:szCs w:val="24"/>
        </w:rPr>
        <w:t xml:space="preserve">The Authority’s expected </w:t>
      </w:r>
      <w:r w:rsidR="003C30AE">
        <w:rPr>
          <w:rFonts w:ascii="Arial" w:hAnsi="Arial" w:cs="Arial"/>
          <w:sz w:val="24"/>
          <w:szCs w:val="24"/>
        </w:rPr>
        <w:t>available reserves</w:t>
      </w:r>
      <w:r w:rsidR="00336C06">
        <w:rPr>
          <w:rFonts w:ascii="Arial" w:hAnsi="Arial" w:cs="Arial"/>
          <w:sz w:val="24"/>
          <w:szCs w:val="24"/>
        </w:rPr>
        <w:t xml:space="preserve"> to cover any default is therefore</w:t>
      </w:r>
      <w:r w:rsidR="00366EA4">
        <w:rPr>
          <w:rFonts w:ascii="Arial" w:hAnsi="Arial" w:cs="Arial"/>
          <w:sz w:val="24"/>
          <w:szCs w:val="24"/>
        </w:rPr>
        <w:t xml:space="preserve"> £</w:t>
      </w:r>
      <w:r w:rsidR="0026009D">
        <w:rPr>
          <w:rFonts w:ascii="Arial" w:hAnsi="Arial" w:cs="Arial"/>
          <w:sz w:val="24"/>
          <w:szCs w:val="24"/>
        </w:rPr>
        <w:t>77</w:t>
      </w:r>
      <w:r w:rsidR="00366EA4">
        <w:rPr>
          <w:rFonts w:ascii="Arial" w:hAnsi="Arial" w:cs="Arial"/>
          <w:sz w:val="24"/>
          <w:szCs w:val="24"/>
        </w:rPr>
        <w:t>m.</w:t>
      </w:r>
    </w:p>
    <w:p w14:paraId="286FA96C" w14:textId="77777777" w:rsidR="00203BD4" w:rsidRDefault="00203BD4" w:rsidP="003745C6">
      <w:pPr>
        <w:rPr>
          <w:rFonts w:ascii="Arial" w:hAnsi="Arial" w:cs="Arial"/>
          <w:sz w:val="24"/>
          <w:szCs w:val="24"/>
        </w:rPr>
      </w:pPr>
      <w:r w:rsidRPr="007B2BB3">
        <w:rPr>
          <w:rFonts w:ascii="Arial" w:hAnsi="Arial" w:cs="Arial"/>
          <w:sz w:val="24"/>
          <w:szCs w:val="24"/>
        </w:rPr>
        <w:t>The</w:t>
      </w:r>
      <w:r>
        <w:rPr>
          <w:rFonts w:ascii="Arial" w:hAnsi="Arial" w:cs="Arial"/>
          <w:sz w:val="24"/>
          <w:szCs w:val="24"/>
        </w:rPr>
        <w:t xml:space="preserve"> Counterparty and sector limits below are set such that no one default will incur a loss of either:</w:t>
      </w:r>
    </w:p>
    <w:p w14:paraId="5EC36A7A" w14:textId="77777777" w:rsidR="00203BD4" w:rsidRDefault="00203BD4" w:rsidP="003745C6">
      <w:pPr>
        <w:numPr>
          <w:ilvl w:val="0"/>
          <w:numId w:val="12"/>
        </w:numPr>
        <w:rPr>
          <w:rFonts w:ascii="Arial" w:hAnsi="Arial" w:cs="Arial"/>
          <w:sz w:val="24"/>
          <w:szCs w:val="24"/>
        </w:rPr>
      </w:pPr>
      <w:r>
        <w:rPr>
          <w:rFonts w:ascii="Arial" w:hAnsi="Arial" w:cs="Arial"/>
          <w:sz w:val="24"/>
          <w:szCs w:val="24"/>
        </w:rPr>
        <w:t>10% of the Council’s expected average investment balance</w:t>
      </w:r>
      <w:r w:rsidR="00366EA4">
        <w:rPr>
          <w:rFonts w:ascii="Arial" w:hAnsi="Arial" w:cs="Arial"/>
          <w:sz w:val="24"/>
          <w:szCs w:val="24"/>
        </w:rPr>
        <w:t>, equivalent to £8m</w:t>
      </w:r>
      <w:r>
        <w:rPr>
          <w:rFonts w:ascii="Arial" w:hAnsi="Arial" w:cs="Arial"/>
          <w:sz w:val="24"/>
          <w:szCs w:val="24"/>
        </w:rPr>
        <w:t xml:space="preserve">; or, </w:t>
      </w:r>
    </w:p>
    <w:p w14:paraId="09D8A6C9" w14:textId="77777777" w:rsidR="00203BD4" w:rsidRDefault="00203BD4" w:rsidP="003745C6">
      <w:pPr>
        <w:numPr>
          <w:ilvl w:val="0"/>
          <w:numId w:val="12"/>
        </w:numPr>
        <w:rPr>
          <w:rFonts w:ascii="Arial" w:hAnsi="Arial" w:cs="Arial"/>
          <w:sz w:val="24"/>
          <w:szCs w:val="24"/>
        </w:rPr>
      </w:pPr>
      <w:r>
        <w:rPr>
          <w:rFonts w:ascii="Arial" w:hAnsi="Arial" w:cs="Arial"/>
          <w:sz w:val="24"/>
          <w:szCs w:val="24"/>
        </w:rPr>
        <w:t xml:space="preserve">15% of the Council’s </w:t>
      </w:r>
      <w:r w:rsidR="00DD689F">
        <w:rPr>
          <w:rFonts w:ascii="Arial" w:hAnsi="Arial" w:cs="Arial"/>
          <w:sz w:val="24"/>
          <w:szCs w:val="24"/>
        </w:rPr>
        <w:t>available reserves as defined above</w:t>
      </w:r>
      <w:r w:rsidR="00366EA4">
        <w:rPr>
          <w:rFonts w:ascii="Arial" w:hAnsi="Arial" w:cs="Arial"/>
          <w:sz w:val="24"/>
          <w:szCs w:val="24"/>
        </w:rPr>
        <w:t>, equivalent to £1</w:t>
      </w:r>
      <w:r w:rsidR="00AA2144">
        <w:rPr>
          <w:rFonts w:ascii="Arial" w:hAnsi="Arial" w:cs="Arial"/>
          <w:sz w:val="24"/>
          <w:szCs w:val="24"/>
        </w:rPr>
        <w:t>2</w:t>
      </w:r>
      <w:r w:rsidR="00366EA4">
        <w:rPr>
          <w:rFonts w:ascii="Arial" w:hAnsi="Arial" w:cs="Arial"/>
          <w:sz w:val="24"/>
          <w:szCs w:val="24"/>
        </w:rPr>
        <w:t xml:space="preserve">m. </w:t>
      </w:r>
    </w:p>
    <w:p w14:paraId="5783260A" w14:textId="77777777" w:rsidR="00762302" w:rsidRDefault="00762302" w:rsidP="003745C6">
      <w:pPr>
        <w:rPr>
          <w:rFonts w:ascii="Arial" w:hAnsi="Arial" w:cs="Arial"/>
          <w:sz w:val="24"/>
          <w:szCs w:val="24"/>
        </w:rPr>
      </w:pPr>
      <w:r>
        <w:rPr>
          <w:rFonts w:ascii="Arial" w:hAnsi="Arial" w:cs="Arial"/>
          <w:sz w:val="24"/>
          <w:szCs w:val="24"/>
        </w:rPr>
        <w:t xml:space="preserve">Given the forecasts above, </w:t>
      </w:r>
      <w:r w:rsidR="0026009D">
        <w:rPr>
          <w:rFonts w:ascii="Arial" w:hAnsi="Arial" w:cs="Arial"/>
          <w:sz w:val="24"/>
          <w:szCs w:val="24"/>
        </w:rPr>
        <w:t>t</w:t>
      </w:r>
      <w:r w:rsidR="00366EA4">
        <w:rPr>
          <w:rFonts w:ascii="Arial" w:hAnsi="Arial" w:cs="Arial"/>
          <w:sz w:val="24"/>
          <w:szCs w:val="24"/>
        </w:rPr>
        <w:t xml:space="preserve">he </w:t>
      </w:r>
      <w:r>
        <w:rPr>
          <w:rFonts w:ascii="Arial" w:hAnsi="Arial" w:cs="Arial"/>
          <w:sz w:val="24"/>
          <w:szCs w:val="24"/>
        </w:rPr>
        <w:t xml:space="preserve">general counterparty investment limit </w:t>
      </w:r>
      <w:r w:rsidR="006A0D2E">
        <w:rPr>
          <w:rFonts w:ascii="Arial" w:hAnsi="Arial" w:cs="Arial"/>
          <w:sz w:val="24"/>
          <w:szCs w:val="24"/>
        </w:rPr>
        <w:t>for 202</w:t>
      </w:r>
      <w:r w:rsidR="0026009D">
        <w:rPr>
          <w:rFonts w:ascii="Arial" w:hAnsi="Arial" w:cs="Arial"/>
          <w:sz w:val="24"/>
          <w:szCs w:val="24"/>
        </w:rPr>
        <w:t xml:space="preserve">4-25 remains at </w:t>
      </w:r>
      <w:r w:rsidR="00366EA4">
        <w:rPr>
          <w:rFonts w:ascii="Arial" w:hAnsi="Arial" w:cs="Arial"/>
          <w:sz w:val="24"/>
          <w:szCs w:val="24"/>
        </w:rPr>
        <w:t>£7</w:t>
      </w:r>
      <w:r w:rsidR="006A1C0A">
        <w:rPr>
          <w:rFonts w:ascii="Arial" w:hAnsi="Arial" w:cs="Arial"/>
          <w:sz w:val="24"/>
          <w:szCs w:val="24"/>
        </w:rPr>
        <w:t>m</w:t>
      </w:r>
      <w:r>
        <w:rPr>
          <w:rFonts w:ascii="Arial" w:hAnsi="Arial" w:cs="Arial"/>
          <w:sz w:val="24"/>
          <w:szCs w:val="24"/>
        </w:rPr>
        <w:t>.</w:t>
      </w:r>
      <w:r w:rsidR="00DC1000">
        <w:rPr>
          <w:rFonts w:ascii="Arial" w:hAnsi="Arial" w:cs="Arial"/>
          <w:sz w:val="24"/>
          <w:szCs w:val="24"/>
        </w:rPr>
        <w:t xml:space="preserve"> </w:t>
      </w:r>
    </w:p>
    <w:p w14:paraId="5D57303D" w14:textId="77777777" w:rsidR="0001053F" w:rsidRDefault="0026009D" w:rsidP="003745C6">
      <w:pPr>
        <w:rPr>
          <w:rFonts w:ascii="Arial" w:hAnsi="Arial" w:cs="Arial"/>
          <w:sz w:val="24"/>
          <w:szCs w:val="24"/>
        </w:rPr>
      </w:pPr>
      <w:r>
        <w:rPr>
          <w:rFonts w:ascii="Arial" w:hAnsi="Arial" w:cs="Arial"/>
          <w:sz w:val="24"/>
          <w:szCs w:val="24"/>
        </w:rPr>
        <w:t xml:space="preserve">The </w:t>
      </w:r>
      <w:r w:rsidR="0001053F">
        <w:rPr>
          <w:rFonts w:ascii="Arial" w:hAnsi="Arial" w:cs="Arial"/>
          <w:sz w:val="24"/>
          <w:szCs w:val="24"/>
        </w:rPr>
        <w:t xml:space="preserve">Council’s investment with the CCLA property fund </w:t>
      </w:r>
      <w:r>
        <w:rPr>
          <w:rFonts w:ascii="Arial" w:hAnsi="Arial" w:cs="Arial"/>
          <w:sz w:val="24"/>
          <w:szCs w:val="24"/>
        </w:rPr>
        <w:t xml:space="preserve">has a </w:t>
      </w:r>
      <w:r w:rsidR="0001053F">
        <w:rPr>
          <w:rFonts w:ascii="Arial" w:hAnsi="Arial" w:cs="Arial"/>
          <w:sz w:val="24"/>
          <w:szCs w:val="24"/>
        </w:rPr>
        <w:t>higher, separate limit</w:t>
      </w:r>
      <w:r>
        <w:rPr>
          <w:rFonts w:ascii="Arial" w:hAnsi="Arial" w:cs="Arial"/>
          <w:sz w:val="24"/>
          <w:szCs w:val="24"/>
        </w:rPr>
        <w:t xml:space="preserve"> of £15m, currently £10m is invested with this counterparty</w:t>
      </w:r>
      <w:r w:rsidR="0001053F">
        <w:rPr>
          <w:rFonts w:ascii="Arial" w:hAnsi="Arial" w:cs="Arial"/>
          <w:sz w:val="24"/>
          <w:szCs w:val="24"/>
        </w:rPr>
        <w:t xml:space="preserve">. Where this counterparty limits in tables </w:t>
      </w:r>
      <w:r w:rsidR="009B2917">
        <w:rPr>
          <w:rFonts w:ascii="Arial" w:hAnsi="Arial" w:cs="Arial"/>
          <w:sz w:val="24"/>
          <w:szCs w:val="24"/>
        </w:rPr>
        <w:t>3</w:t>
      </w:r>
      <w:r w:rsidR="0001053F">
        <w:rPr>
          <w:rFonts w:ascii="Arial" w:hAnsi="Arial" w:cs="Arial"/>
          <w:sz w:val="24"/>
          <w:szCs w:val="24"/>
        </w:rPr>
        <w:t xml:space="preserve"> and </w:t>
      </w:r>
      <w:r w:rsidR="009B2917">
        <w:rPr>
          <w:rFonts w:ascii="Arial" w:hAnsi="Arial" w:cs="Arial"/>
          <w:sz w:val="24"/>
          <w:szCs w:val="24"/>
        </w:rPr>
        <w:t>4</w:t>
      </w:r>
      <w:r w:rsidR="0001053F">
        <w:rPr>
          <w:rFonts w:ascii="Arial" w:hAnsi="Arial" w:cs="Arial"/>
          <w:sz w:val="24"/>
          <w:szCs w:val="24"/>
        </w:rPr>
        <w:t xml:space="preserve"> fall between financial years, any new limit will only apply once existing investments as </w:t>
      </w:r>
      <w:proofErr w:type="gramStart"/>
      <w:r w:rsidR="0001053F">
        <w:rPr>
          <w:rFonts w:ascii="Arial" w:hAnsi="Arial" w:cs="Arial"/>
          <w:sz w:val="24"/>
          <w:szCs w:val="24"/>
        </w:rPr>
        <w:t>at</w:t>
      </w:r>
      <w:proofErr w:type="gramEnd"/>
      <w:r w:rsidR="0001053F">
        <w:rPr>
          <w:rFonts w:ascii="Arial" w:hAnsi="Arial" w:cs="Arial"/>
          <w:sz w:val="24"/>
          <w:szCs w:val="24"/>
        </w:rPr>
        <w:t xml:space="preserve"> 1 April reach the end of their present deposit period. </w:t>
      </w:r>
      <w:r w:rsidR="003F1A87">
        <w:rPr>
          <w:rFonts w:ascii="Arial" w:hAnsi="Arial" w:cs="Arial"/>
          <w:sz w:val="24"/>
          <w:szCs w:val="24"/>
        </w:rPr>
        <w:t xml:space="preserve">For external pooled funds, the limit applied will be that in force on the date of the investment. Should counterparty limits fall after this date, a balanced view will be taken by the s.151 officer as to </w:t>
      </w:r>
      <w:r w:rsidR="00366EA4">
        <w:rPr>
          <w:rFonts w:ascii="Arial" w:hAnsi="Arial" w:cs="Arial"/>
          <w:sz w:val="24"/>
          <w:szCs w:val="24"/>
        </w:rPr>
        <w:t>when</w:t>
      </w:r>
      <w:r w:rsidR="003F1A87">
        <w:rPr>
          <w:rFonts w:ascii="Arial" w:hAnsi="Arial" w:cs="Arial"/>
          <w:sz w:val="24"/>
          <w:szCs w:val="24"/>
        </w:rPr>
        <w:t xml:space="preserve"> the investment above the new limit will be redeemed. </w:t>
      </w:r>
    </w:p>
    <w:p w14:paraId="74E26F7F" w14:textId="77777777" w:rsidR="00627A64" w:rsidRDefault="007B2BB3" w:rsidP="003745C6">
      <w:pPr>
        <w:rPr>
          <w:rFonts w:ascii="Arial" w:hAnsi="Arial" w:cs="Arial"/>
          <w:sz w:val="24"/>
          <w:szCs w:val="24"/>
        </w:rPr>
      </w:pPr>
      <w:r w:rsidRPr="007B2BB3">
        <w:rPr>
          <w:rFonts w:ascii="Arial" w:hAnsi="Arial" w:cs="Arial"/>
          <w:sz w:val="24"/>
          <w:szCs w:val="24"/>
        </w:rPr>
        <w:t xml:space="preserve">A group of entities under the same ownership will be treated as a single organisation for </w:t>
      </w:r>
      <w:r w:rsidR="005E39A9">
        <w:rPr>
          <w:rFonts w:ascii="Arial" w:hAnsi="Arial" w:cs="Arial"/>
          <w:sz w:val="24"/>
          <w:szCs w:val="24"/>
        </w:rPr>
        <w:t xml:space="preserve">counterparty </w:t>
      </w:r>
      <w:r w:rsidRPr="007B2BB3">
        <w:rPr>
          <w:rFonts w:ascii="Arial" w:hAnsi="Arial" w:cs="Arial"/>
          <w:sz w:val="24"/>
          <w:szCs w:val="24"/>
        </w:rPr>
        <w:t>limit purposes.</w:t>
      </w:r>
    </w:p>
    <w:p w14:paraId="2DDC4516" w14:textId="77777777" w:rsidR="002E1C30" w:rsidRDefault="00627A64" w:rsidP="003745C6">
      <w:pPr>
        <w:rPr>
          <w:rFonts w:ascii="Arial" w:hAnsi="Arial" w:cs="Arial"/>
          <w:i/>
          <w:sz w:val="24"/>
          <w:szCs w:val="24"/>
        </w:rPr>
      </w:pPr>
      <w:r>
        <w:rPr>
          <w:rFonts w:ascii="Arial" w:hAnsi="Arial" w:cs="Arial"/>
          <w:sz w:val="24"/>
          <w:szCs w:val="24"/>
        </w:rPr>
        <w:t xml:space="preserve">In addition to the limits set on individual counterparties in </w:t>
      </w:r>
      <w:r w:rsidR="00DA56C3">
        <w:rPr>
          <w:rFonts w:ascii="Arial" w:hAnsi="Arial" w:cs="Arial"/>
          <w:sz w:val="24"/>
          <w:szCs w:val="24"/>
        </w:rPr>
        <w:t>t</w:t>
      </w:r>
      <w:r>
        <w:rPr>
          <w:rFonts w:ascii="Arial" w:hAnsi="Arial" w:cs="Arial"/>
          <w:sz w:val="24"/>
          <w:szCs w:val="24"/>
        </w:rPr>
        <w:t xml:space="preserve">able </w:t>
      </w:r>
      <w:r w:rsidR="009B2917">
        <w:rPr>
          <w:rFonts w:ascii="Arial" w:hAnsi="Arial" w:cs="Arial"/>
          <w:sz w:val="24"/>
          <w:szCs w:val="24"/>
        </w:rPr>
        <w:t>3</w:t>
      </w:r>
      <w:r>
        <w:rPr>
          <w:rFonts w:ascii="Arial" w:hAnsi="Arial" w:cs="Arial"/>
          <w:sz w:val="24"/>
          <w:szCs w:val="24"/>
        </w:rPr>
        <w:t xml:space="preserve"> below, </w:t>
      </w:r>
      <w:r w:rsidR="006A0D2E">
        <w:rPr>
          <w:rFonts w:ascii="Arial" w:hAnsi="Arial" w:cs="Arial"/>
          <w:sz w:val="24"/>
          <w:szCs w:val="24"/>
        </w:rPr>
        <w:t>t</w:t>
      </w:r>
      <w:r>
        <w:rPr>
          <w:rFonts w:ascii="Arial" w:hAnsi="Arial" w:cs="Arial"/>
          <w:sz w:val="24"/>
          <w:szCs w:val="24"/>
        </w:rPr>
        <w:t xml:space="preserve">able </w:t>
      </w:r>
      <w:r w:rsidR="009B2917">
        <w:rPr>
          <w:rFonts w:ascii="Arial" w:hAnsi="Arial" w:cs="Arial"/>
          <w:sz w:val="24"/>
          <w:szCs w:val="24"/>
        </w:rPr>
        <w:t>4</w:t>
      </w:r>
      <w:r>
        <w:rPr>
          <w:rFonts w:ascii="Arial" w:hAnsi="Arial" w:cs="Arial"/>
          <w:sz w:val="24"/>
          <w:szCs w:val="24"/>
        </w:rPr>
        <w:t xml:space="preserve"> sets limits on any group of </w:t>
      </w:r>
      <w:r w:rsidRPr="00627A64">
        <w:rPr>
          <w:rFonts w:ascii="Arial" w:hAnsi="Arial" w:cs="Arial"/>
          <w:sz w:val="24"/>
          <w:szCs w:val="24"/>
        </w:rPr>
        <w:t>pooled funds under the same management</w:t>
      </w:r>
      <w:r>
        <w:rPr>
          <w:rFonts w:ascii="Arial" w:hAnsi="Arial" w:cs="Arial"/>
          <w:sz w:val="24"/>
          <w:szCs w:val="24"/>
        </w:rPr>
        <w:t>.</w:t>
      </w:r>
      <w:r w:rsidR="00564F2C">
        <w:rPr>
          <w:rFonts w:ascii="Arial" w:hAnsi="Arial" w:cs="Arial"/>
          <w:sz w:val="24"/>
          <w:szCs w:val="24"/>
        </w:rPr>
        <w:br/>
      </w:r>
    </w:p>
    <w:p w14:paraId="765330D5" w14:textId="77777777" w:rsidR="00203BD4" w:rsidRDefault="00203BD4" w:rsidP="003745C6">
      <w:pPr>
        <w:rPr>
          <w:rFonts w:ascii="Arial" w:hAnsi="Arial" w:cs="Arial"/>
          <w:i/>
          <w:sz w:val="24"/>
          <w:szCs w:val="24"/>
        </w:rPr>
      </w:pPr>
      <w:r w:rsidRPr="00E1158E">
        <w:rPr>
          <w:rFonts w:ascii="Arial" w:hAnsi="Arial" w:cs="Arial"/>
          <w:i/>
          <w:sz w:val="24"/>
          <w:szCs w:val="24"/>
        </w:rPr>
        <w:lastRenderedPageBreak/>
        <w:t xml:space="preserve">Table </w:t>
      </w:r>
      <w:r w:rsidR="009B2917">
        <w:rPr>
          <w:rFonts w:ascii="Arial" w:hAnsi="Arial" w:cs="Arial"/>
          <w:i/>
          <w:sz w:val="24"/>
          <w:szCs w:val="24"/>
        </w:rPr>
        <w:t>3</w:t>
      </w:r>
      <w:r w:rsidRPr="00E1158E">
        <w:rPr>
          <w:rFonts w:ascii="Arial" w:hAnsi="Arial" w:cs="Arial"/>
          <w:i/>
          <w:sz w:val="24"/>
          <w:szCs w:val="24"/>
        </w:rPr>
        <w:t xml:space="preserve">: </w:t>
      </w:r>
      <w:r w:rsidRPr="00E1158E">
        <w:rPr>
          <w:rFonts w:ascii="Arial" w:hAnsi="Arial" w:cs="Arial"/>
          <w:i/>
          <w:color w:val="000000"/>
          <w:sz w:val="24"/>
          <w:szCs w:val="24"/>
        </w:rPr>
        <w:t>Approved</w:t>
      </w:r>
      <w:r w:rsidRPr="00E1158E">
        <w:rPr>
          <w:rFonts w:ascii="Arial" w:hAnsi="Arial" w:cs="Arial"/>
          <w:i/>
          <w:sz w:val="24"/>
          <w:szCs w:val="24"/>
        </w:rPr>
        <w:t xml:space="preserve"> Investment Counterparties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687"/>
        <w:gridCol w:w="2052"/>
        <w:gridCol w:w="1985"/>
        <w:gridCol w:w="1099"/>
      </w:tblGrid>
      <w:tr w:rsidR="00BC4D2D" w:rsidRPr="00AD2B6F" w14:paraId="293B65A2" w14:textId="77777777" w:rsidTr="003745C6">
        <w:trPr>
          <w:trHeight w:val="397"/>
        </w:trPr>
        <w:tc>
          <w:tcPr>
            <w:tcW w:w="3031" w:type="dxa"/>
            <w:shd w:val="clear" w:color="auto" w:fill="D9D9D9"/>
            <w:vAlign w:val="center"/>
          </w:tcPr>
          <w:p w14:paraId="70856565" w14:textId="77777777" w:rsidR="00BC4D2D" w:rsidRPr="003745C6" w:rsidRDefault="00BC4D2D" w:rsidP="005D2537">
            <w:pPr>
              <w:pStyle w:val="ListParagraph"/>
              <w:spacing w:after="0"/>
              <w:ind w:left="0"/>
              <w:contextualSpacing w:val="0"/>
              <w:rPr>
                <w:rFonts w:ascii="Arial" w:eastAsia="Times New Roman" w:hAnsi="Arial" w:cs="Arial"/>
                <w:b/>
                <w:sz w:val="24"/>
                <w:szCs w:val="24"/>
              </w:rPr>
            </w:pPr>
            <w:r w:rsidRPr="003745C6">
              <w:rPr>
                <w:rFonts w:ascii="Arial" w:eastAsia="Times New Roman" w:hAnsi="Arial" w:cs="Arial"/>
                <w:b/>
                <w:sz w:val="24"/>
                <w:szCs w:val="24"/>
              </w:rPr>
              <w:t>Sector</w:t>
            </w:r>
          </w:p>
        </w:tc>
        <w:tc>
          <w:tcPr>
            <w:tcW w:w="1687" w:type="dxa"/>
            <w:shd w:val="clear" w:color="auto" w:fill="D9D9D9"/>
            <w:vAlign w:val="center"/>
          </w:tcPr>
          <w:p w14:paraId="488FC402" w14:textId="77777777" w:rsidR="00BC4D2D" w:rsidRPr="003745C6" w:rsidRDefault="00BC4D2D" w:rsidP="005D2537">
            <w:pPr>
              <w:pStyle w:val="ListParagraph"/>
              <w:spacing w:after="0"/>
              <w:ind w:left="0"/>
              <w:contextualSpacing w:val="0"/>
              <w:jc w:val="center"/>
              <w:rPr>
                <w:rFonts w:ascii="Arial" w:eastAsia="Times New Roman" w:hAnsi="Arial" w:cs="Arial"/>
                <w:b/>
                <w:sz w:val="24"/>
                <w:szCs w:val="24"/>
              </w:rPr>
            </w:pPr>
            <w:r w:rsidRPr="003745C6">
              <w:rPr>
                <w:rFonts w:ascii="Arial" w:eastAsia="Times New Roman" w:hAnsi="Arial" w:cs="Arial"/>
                <w:b/>
                <w:sz w:val="24"/>
                <w:szCs w:val="24"/>
              </w:rPr>
              <w:t>Time limit</w:t>
            </w:r>
          </w:p>
        </w:tc>
        <w:tc>
          <w:tcPr>
            <w:tcW w:w="2052" w:type="dxa"/>
            <w:shd w:val="clear" w:color="auto" w:fill="D9D9D9"/>
            <w:vAlign w:val="center"/>
          </w:tcPr>
          <w:p w14:paraId="4E5F655B" w14:textId="77777777" w:rsidR="00BC4D2D" w:rsidRPr="003745C6" w:rsidRDefault="00BC4D2D" w:rsidP="005D2537">
            <w:pPr>
              <w:pStyle w:val="ListParagraph"/>
              <w:spacing w:after="0"/>
              <w:ind w:left="0"/>
              <w:contextualSpacing w:val="0"/>
              <w:jc w:val="center"/>
              <w:rPr>
                <w:rFonts w:ascii="Arial" w:eastAsia="Times New Roman" w:hAnsi="Arial" w:cs="Arial"/>
                <w:b/>
                <w:sz w:val="24"/>
                <w:szCs w:val="24"/>
              </w:rPr>
            </w:pPr>
            <w:r w:rsidRPr="003745C6">
              <w:rPr>
                <w:rFonts w:ascii="Arial" w:eastAsia="Times New Roman" w:hAnsi="Arial" w:cs="Arial"/>
                <w:b/>
                <w:sz w:val="24"/>
                <w:szCs w:val="24"/>
              </w:rPr>
              <w:t>Counterparty limit</w:t>
            </w:r>
          </w:p>
        </w:tc>
        <w:tc>
          <w:tcPr>
            <w:tcW w:w="1985" w:type="dxa"/>
            <w:shd w:val="clear" w:color="auto" w:fill="D9D9D9"/>
            <w:vAlign w:val="center"/>
          </w:tcPr>
          <w:p w14:paraId="3CC02BBA" w14:textId="77777777" w:rsidR="00BC4D2D" w:rsidRPr="003745C6" w:rsidRDefault="00BC4D2D" w:rsidP="005D2537">
            <w:pPr>
              <w:pStyle w:val="ListParagraph"/>
              <w:spacing w:after="0"/>
              <w:ind w:left="0"/>
              <w:contextualSpacing w:val="0"/>
              <w:jc w:val="center"/>
              <w:rPr>
                <w:rFonts w:ascii="Arial" w:eastAsia="Times New Roman" w:hAnsi="Arial" w:cs="Arial"/>
                <w:b/>
                <w:sz w:val="24"/>
                <w:szCs w:val="24"/>
              </w:rPr>
            </w:pPr>
            <w:r w:rsidRPr="003745C6">
              <w:rPr>
                <w:rFonts w:ascii="Arial" w:eastAsia="Times New Roman" w:hAnsi="Arial" w:cs="Arial"/>
                <w:b/>
                <w:sz w:val="24"/>
                <w:szCs w:val="24"/>
              </w:rPr>
              <w:t>Sector limit</w:t>
            </w:r>
          </w:p>
        </w:tc>
        <w:tc>
          <w:tcPr>
            <w:tcW w:w="1099" w:type="dxa"/>
            <w:shd w:val="clear" w:color="auto" w:fill="D9D9D9"/>
          </w:tcPr>
          <w:p w14:paraId="335A45FA" w14:textId="77777777" w:rsidR="00BC4D2D" w:rsidRPr="00AD2B6F" w:rsidRDefault="00BC4D2D" w:rsidP="005D2537">
            <w:pPr>
              <w:pStyle w:val="ListParagraph"/>
              <w:spacing w:after="0"/>
              <w:ind w:left="0"/>
              <w:contextualSpacing w:val="0"/>
              <w:jc w:val="center"/>
              <w:rPr>
                <w:rFonts w:ascii="Arial" w:eastAsia="Times New Roman" w:hAnsi="Arial" w:cs="Arial"/>
                <w:b/>
                <w:sz w:val="24"/>
                <w:szCs w:val="24"/>
              </w:rPr>
            </w:pPr>
            <w:r>
              <w:rPr>
                <w:rFonts w:ascii="Arial" w:eastAsia="Times New Roman" w:hAnsi="Arial" w:cs="Arial"/>
                <w:b/>
                <w:sz w:val="24"/>
                <w:szCs w:val="24"/>
              </w:rPr>
              <w:br/>
              <w:t>Notes</w:t>
            </w:r>
          </w:p>
        </w:tc>
      </w:tr>
      <w:tr w:rsidR="00BC4D2D" w:rsidRPr="00AD2B6F" w14:paraId="5611AA02" w14:textId="77777777" w:rsidTr="003745C6">
        <w:trPr>
          <w:trHeight w:val="397"/>
        </w:trPr>
        <w:tc>
          <w:tcPr>
            <w:tcW w:w="3031" w:type="dxa"/>
            <w:shd w:val="clear" w:color="auto" w:fill="auto"/>
            <w:vAlign w:val="center"/>
          </w:tcPr>
          <w:p w14:paraId="66B6BB36" w14:textId="77777777" w:rsidR="00BC4D2D" w:rsidRPr="003745C6" w:rsidRDefault="00BC4D2D" w:rsidP="005D2537">
            <w:pPr>
              <w:pStyle w:val="ListParagraph"/>
              <w:spacing w:after="0"/>
              <w:ind w:left="0"/>
              <w:contextualSpacing w:val="0"/>
              <w:rPr>
                <w:rFonts w:ascii="Arial" w:eastAsia="Times New Roman" w:hAnsi="Arial" w:cs="Arial"/>
                <w:sz w:val="24"/>
                <w:szCs w:val="24"/>
              </w:rPr>
            </w:pPr>
            <w:r w:rsidRPr="003745C6">
              <w:rPr>
                <w:rFonts w:ascii="Arial" w:eastAsia="Times New Roman" w:hAnsi="Arial" w:cs="Arial"/>
                <w:sz w:val="24"/>
                <w:szCs w:val="24"/>
              </w:rPr>
              <w:t>The UK Government</w:t>
            </w:r>
          </w:p>
        </w:tc>
        <w:tc>
          <w:tcPr>
            <w:tcW w:w="1687" w:type="dxa"/>
            <w:shd w:val="clear" w:color="auto" w:fill="auto"/>
            <w:vAlign w:val="center"/>
          </w:tcPr>
          <w:p w14:paraId="0B38EBC6" w14:textId="77777777" w:rsidR="00BC4D2D" w:rsidRPr="003745C6" w:rsidRDefault="00DD41F9" w:rsidP="005D2537">
            <w:pPr>
              <w:pStyle w:val="ListParagraph"/>
              <w:spacing w:after="0"/>
              <w:ind w:left="0"/>
              <w:contextualSpacing w:val="0"/>
              <w:jc w:val="center"/>
              <w:rPr>
                <w:rFonts w:ascii="Arial" w:eastAsia="Times New Roman" w:hAnsi="Arial" w:cs="Arial"/>
                <w:sz w:val="24"/>
                <w:szCs w:val="24"/>
              </w:rPr>
            </w:pPr>
            <w:r>
              <w:rPr>
                <w:rFonts w:ascii="Arial" w:eastAsia="Times New Roman" w:hAnsi="Arial" w:cs="Arial"/>
                <w:sz w:val="24"/>
                <w:szCs w:val="24"/>
              </w:rPr>
              <w:t>50</w:t>
            </w:r>
            <w:r w:rsidR="00BC4D2D" w:rsidRPr="003745C6">
              <w:rPr>
                <w:rFonts w:ascii="Arial" w:eastAsia="Times New Roman" w:hAnsi="Arial" w:cs="Arial"/>
                <w:sz w:val="24"/>
                <w:szCs w:val="24"/>
              </w:rPr>
              <w:t xml:space="preserve"> years</w:t>
            </w:r>
          </w:p>
        </w:tc>
        <w:tc>
          <w:tcPr>
            <w:tcW w:w="2052" w:type="dxa"/>
            <w:shd w:val="clear" w:color="auto" w:fill="auto"/>
            <w:vAlign w:val="center"/>
          </w:tcPr>
          <w:p w14:paraId="21B9C6A6" w14:textId="77777777" w:rsidR="00BC4D2D" w:rsidRPr="003745C6" w:rsidRDefault="00BC4D2D" w:rsidP="005D2537">
            <w:pPr>
              <w:pStyle w:val="ListParagraph"/>
              <w:spacing w:after="0"/>
              <w:ind w:left="0"/>
              <w:contextualSpacing w:val="0"/>
              <w:jc w:val="center"/>
              <w:rPr>
                <w:rFonts w:ascii="Arial" w:eastAsia="Times New Roman" w:hAnsi="Arial" w:cs="Arial"/>
                <w:sz w:val="24"/>
                <w:szCs w:val="24"/>
              </w:rPr>
            </w:pPr>
            <w:r w:rsidRPr="003745C6">
              <w:rPr>
                <w:rFonts w:ascii="Arial" w:eastAsia="Times New Roman" w:hAnsi="Arial" w:cs="Arial"/>
                <w:sz w:val="24"/>
                <w:szCs w:val="24"/>
              </w:rPr>
              <w:t>Unlimited</w:t>
            </w:r>
          </w:p>
        </w:tc>
        <w:tc>
          <w:tcPr>
            <w:tcW w:w="1985" w:type="dxa"/>
            <w:shd w:val="clear" w:color="auto" w:fill="auto"/>
            <w:vAlign w:val="center"/>
          </w:tcPr>
          <w:p w14:paraId="6F069F3A" w14:textId="77777777" w:rsidR="00BC4D2D" w:rsidRPr="003745C6" w:rsidRDefault="00BC4D2D" w:rsidP="005D2537">
            <w:pPr>
              <w:pStyle w:val="ListParagraph"/>
              <w:spacing w:after="0"/>
              <w:ind w:left="0"/>
              <w:contextualSpacing w:val="0"/>
              <w:jc w:val="center"/>
              <w:rPr>
                <w:rFonts w:ascii="Arial" w:eastAsia="Times New Roman" w:hAnsi="Arial" w:cs="Arial"/>
                <w:sz w:val="24"/>
                <w:szCs w:val="24"/>
              </w:rPr>
            </w:pPr>
            <w:r w:rsidRPr="003745C6">
              <w:rPr>
                <w:rFonts w:ascii="Arial" w:eastAsia="Times New Roman" w:hAnsi="Arial" w:cs="Arial"/>
                <w:sz w:val="24"/>
                <w:szCs w:val="24"/>
              </w:rPr>
              <w:t>n/a</w:t>
            </w:r>
          </w:p>
        </w:tc>
        <w:tc>
          <w:tcPr>
            <w:tcW w:w="1099" w:type="dxa"/>
          </w:tcPr>
          <w:p w14:paraId="6C175480" w14:textId="77777777" w:rsidR="00BC4D2D" w:rsidRPr="00AD2B6F" w:rsidRDefault="00BC4D2D" w:rsidP="005D2537">
            <w:pPr>
              <w:pStyle w:val="ListParagraph"/>
              <w:spacing w:after="0"/>
              <w:ind w:left="0"/>
              <w:contextualSpacing w:val="0"/>
              <w:jc w:val="center"/>
              <w:rPr>
                <w:rFonts w:ascii="Arial" w:eastAsia="Times New Roman" w:hAnsi="Arial" w:cs="Arial"/>
                <w:sz w:val="24"/>
                <w:szCs w:val="24"/>
              </w:rPr>
            </w:pPr>
          </w:p>
        </w:tc>
      </w:tr>
      <w:tr w:rsidR="00BC4D2D" w:rsidRPr="00AD2B6F" w14:paraId="45DBA439" w14:textId="77777777" w:rsidTr="003745C6">
        <w:trPr>
          <w:trHeight w:val="397"/>
        </w:trPr>
        <w:tc>
          <w:tcPr>
            <w:tcW w:w="3031" w:type="dxa"/>
            <w:shd w:val="clear" w:color="auto" w:fill="auto"/>
            <w:vAlign w:val="center"/>
          </w:tcPr>
          <w:p w14:paraId="7EB40423" w14:textId="77777777" w:rsidR="00BC4D2D" w:rsidRPr="003745C6" w:rsidRDefault="00BC4D2D" w:rsidP="005D2537">
            <w:pPr>
              <w:pStyle w:val="ListParagraph"/>
              <w:spacing w:after="0"/>
              <w:ind w:left="0"/>
              <w:contextualSpacing w:val="0"/>
              <w:rPr>
                <w:rFonts w:ascii="Arial" w:eastAsia="Times New Roman" w:hAnsi="Arial" w:cs="Arial"/>
                <w:sz w:val="24"/>
                <w:szCs w:val="24"/>
              </w:rPr>
            </w:pPr>
            <w:r w:rsidRPr="003745C6">
              <w:rPr>
                <w:rFonts w:ascii="Arial" w:eastAsia="Times New Roman" w:hAnsi="Arial" w:cs="Arial"/>
                <w:sz w:val="24"/>
                <w:szCs w:val="24"/>
              </w:rPr>
              <w:t>Local authorities &amp; other government entities</w:t>
            </w:r>
          </w:p>
        </w:tc>
        <w:tc>
          <w:tcPr>
            <w:tcW w:w="1687" w:type="dxa"/>
            <w:shd w:val="clear" w:color="auto" w:fill="auto"/>
            <w:vAlign w:val="center"/>
          </w:tcPr>
          <w:p w14:paraId="5B0FA4C1" w14:textId="77777777" w:rsidR="00BC4D2D" w:rsidRPr="003745C6" w:rsidRDefault="00BC4D2D" w:rsidP="005D2537">
            <w:pPr>
              <w:pStyle w:val="ListParagraph"/>
              <w:spacing w:after="0"/>
              <w:ind w:left="0"/>
              <w:contextualSpacing w:val="0"/>
              <w:jc w:val="center"/>
              <w:rPr>
                <w:rFonts w:ascii="Arial" w:eastAsia="Times New Roman" w:hAnsi="Arial" w:cs="Arial"/>
                <w:sz w:val="24"/>
                <w:szCs w:val="24"/>
              </w:rPr>
            </w:pPr>
            <w:r w:rsidRPr="003745C6">
              <w:rPr>
                <w:rFonts w:ascii="Arial" w:eastAsia="Times New Roman" w:hAnsi="Arial" w:cs="Arial"/>
                <w:sz w:val="24"/>
                <w:szCs w:val="24"/>
              </w:rPr>
              <w:t>10 years</w:t>
            </w:r>
          </w:p>
        </w:tc>
        <w:tc>
          <w:tcPr>
            <w:tcW w:w="2052" w:type="dxa"/>
            <w:shd w:val="clear" w:color="auto" w:fill="auto"/>
            <w:vAlign w:val="center"/>
          </w:tcPr>
          <w:p w14:paraId="02306BA4" w14:textId="77777777" w:rsidR="00BC4D2D" w:rsidRPr="008370DD" w:rsidRDefault="00BC4D2D" w:rsidP="005D2537">
            <w:pPr>
              <w:pStyle w:val="ListParagraph"/>
              <w:spacing w:after="0"/>
              <w:ind w:left="0"/>
              <w:contextualSpacing w:val="0"/>
              <w:jc w:val="center"/>
              <w:rPr>
                <w:rFonts w:ascii="Arial" w:eastAsia="Times New Roman" w:hAnsi="Arial" w:cs="Arial"/>
                <w:sz w:val="24"/>
                <w:szCs w:val="24"/>
              </w:rPr>
            </w:pPr>
            <w:r w:rsidRPr="008370DD">
              <w:rPr>
                <w:rFonts w:ascii="Arial" w:eastAsia="Times New Roman" w:hAnsi="Arial" w:cs="Arial"/>
                <w:sz w:val="24"/>
                <w:szCs w:val="24"/>
              </w:rPr>
              <w:t>£</w:t>
            </w:r>
            <w:r w:rsidR="00366EA4">
              <w:rPr>
                <w:rFonts w:ascii="Arial" w:eastAsia="Times New Roman" w:hAnsi="Arial" w:cs="Arial"/>
                <w:sz w:val="24"/>
                <w:szCs w:val="24"/>
              </w:rPr>
              <w:t>7</w:t>
            </w:r>
            <w:r w:rsidRPr="008370DD">
              <w:rPr>
                <w:rFonts w:ascii="Arial" w:eastAsia="Times New Roman" w:hAnsi="Arial" w:cs="Arial"/>
                <w:sz w:val="24"/>
                <w:szCs w:val="24"/>
              </w:rPr>
              <w:t>m</w:t>
            </w:r>
          </w:p>
        </w:tc>
        <w:tc>
          <w:tcPr>
            <w:tcW w:w="1985" w:type="dxa"/>
            <w:shd w:val="clear" w:color="auto" w:fill="auto"/>
            <w:vAlign w:val="center"/>
          </w:tcPr>
          <w:p w14:paraId="169E18CB" w14:textId="77777777" w:rsidR="00BC4D2D" w:rsidRPr="00C000C1" w:rsidRDefault="00BC4D2D" w:rsidP="005D2537">
            <w:pPr>
              <w:pStyle w:val="ListParagraph"/>
              <w:spacing w:after="0"/>
              <w:ind w:left="0"/>
              <w:contextualSpacing w:val="0"/>
              <w:jc w:val="center"/>
              <w:rPr>
                <w:rFonts w:ascii="Arial" w:eastAsia="Times New Roman" w:hAnsi="Arial" w:cs="Arial"/>
                <w:sz w:val="24"/>
                <w:szCs w:val="24"/>
              </w:rPr>
            </w:pPr>
            <w:r w:rsidRPr="00C000C1">
              <w:rPr>
                <w:rFonts w:ascii="Arial" w:eastAsia="Times New Roman" w:hAnsi="Arial" w:cs="Arial"/>
                <w:sz w:val="24"/>
                <w:szCs w:val="24"/>
              </w:rPr>
              <w:t>Unlimited</w:t>
            </w:r>
          </w:p>
        </w:tc>
        <w:tc>
          <w:tcPr>
            <w:tcW w:w="1099" w:type="dxa"/>
          </w:tcPr>
          <w:p w14:paraId="4A29EFA7" w14:textId="77777777" w:rsidR="00BC4D2D" w:rsidRPr="00AD2B6F" w:rsidRDefault="00BC4D2D" w:rsidP="005D2537">
            <w:pPr>
              <w:pStyle w:val="ListParagraph"/>
              <w:spacing w:after="0"/>
              <w:ind w:left="0"/>
              <w:contextualSpacing w:val="0"/>
              <w:jc w:val="center"/>
              <w:rPr>
                <w:rFonts w:ascii="Arial" w:eastAsia="Times New Roman" w:hAnsi="Arial" w:cs="Arial"/>
                <w:sz w:val="24"/>
                <w:szCs w:val="24"/>
              </w:rPr>
            </w:pPr>
          </w:p>
        </w:tc>
      </w:tr>
      <w:tr w:rsidR="00BC4D2D" w:rsidRPr="00AD2B6F" w14:paraId="4622106E" w14:textId="77777777" w:rsidTr="003745C6">
        <w:trPr>
          <w:trHeight w:val="397"/>
        </w:trPr>
        <w:tc>
          <w:tcPr>
            <w:tcW w:w="3031" w:type="dxa"/>
            <w:shd w:val="clear" w:color="auto" w:fill="auto"/>
            <w:vAlign w:val="center"/>
          </w:tcPr>
          <w:p w14:paraId="1637EE49" w14:textId="77777777" w:rsidR="00BC4D2D" w:rsidRPr="003745C6" w:rsidRDefault="00903CA3" w:rsidP="005D2537">
            <w:pPr>
              <w:pStyle w:val="ListParagraph"/>
              <w:spacing w:after="0"/>
              <w:ind w:left="0"/>
              <w:contextualSpacing w:val="0"/>
              <w:rPr>
                <w:rFonts w:ascii="Arial" w:eastAsia="Times New Roman" w:hAnsi="Arial" w:cs="Arial"/>
                <w:sz w:val="24"/>
                <w:szCs w:val="24"/>
              </w:rPr>
            </w:pPr>
            <w:r w:rsidRPr="006D19C5">
              <w:rPr>
                <w:rFonts w:ascii="Arial" w:eastAsia="Times New Roman" w:hAnsi="Arial" w:cs="Arial"/>
                <w:sz w:val="24"/>
                <w:szCs w:val="24"/>
              </w:rPr>
              <w:t>Secured investments</w:t>
            </w:r>
          </w:p>
        </w:tc>
        <w:tc>
          <w:tcPr>
            <w:tcW w:w="1687" w:type="dxa"/>
            <w:shd w:val="clear" w:color="auto" w:fill="auto"/>
            <w:vAlign w:val="center"/>
          </w:tcPr>
          <w:p w14:paraId="7ABD163F" w14:textId="77777777" w:rsidR="00BC4D2D" w:rsidRPr="003745C6" w:rsidRDefault="004710F1" w:rsidP="005D2537">
            <w:pPr>
              <w:pStyle w:val="ListParagraph"/>
              <w:spacing w:after="0"/>
              <w:ind w:left="0"/>
              <w:contextualSpacing w:val="0"/>
              <w:jc w:val="center"/>
              <w:rPr>
                <w:rFonts w:ascii="Arial" w:eastAsia="Times New Roman" w:hAnsi="Arial" w:cs="Arial"/>
                <w:sz w:val="24"/>
                <w:szCs w:val="24"/>
              </w:rPr>
            </w:pPr>
            <w:r>
              <w:rPr>
                <w:rFonts w:ascii="Arial" w:eastAsia="Times New Roman" w:hAnsi="Arial" w:cs="Arial"/>
                <w:sz w:val="24"/>
                <w:szCs w:val="24"/>
              </w:rPr>
              <w:t>10</w:t>
            </w:r>
            <w:r w:rsidR="00BC4D2D" w:rsidRPr="003745C6">
              <w:rPr>
                <w:rFonts w:ascii="Arial" w:eastAsia="Times New Roman" w:hAnsi="Arial" w:cs="Arial"/>
                <w:sz w:val="24"/>
                <w:szCs w:val="24"/>
              </w:rPr>
              <w:t xml:space="preserve"> years</w:t>
            </w:r>
          </w:p>
        </w:tc>
        <w:tc>
          <w:tcPr>
            <w:tcW w:w="2052" w:type="dxa"/>
            <w:shd w:val="clear" w:color="auto" w:fill="auto"/>
            <w:vAlign w:val="center"/>
          </w:tcPr>
          <w:p w14:paraId="430B63C6" w14:textId="77777777" w:rsidR="00BC4D2D" w:rsidRPr="008370DD" w:rsidRDefault="00BC4D2D" w:rsidP="005D2537">
            <w:pPr>
              <w:pStyle w:val="ListParagraph"/>
              <w:spacing w:after="0"/>
              <w:ind w:left="0"/>
              <w:contextualSpacing w:val="0"/>
              <w:jc w:val="center"/>
              <w:rPr>
                <w:rFonts w:ascii="Arial" w:eastAsia="Times New Roman" w:hAnsi="Arial" w:cs="Arial"/>
                <w:sz w:val="24"/>
                <w:szCs w:val="24"/>
              </w:rPr>
            </w:pPr>
            <w:r w:rsidRPr="008370DD">
              <w:rPr>
                <w:rFonts w:ascii="Arial" w:eastAsia="Times New Roman" w:hAnsi="Arial" w:cs="Arial"/>
                <w:sz w:val="24"/>
                <w:szCs w:val="24"/>
              </w:rPr>
              <w:t>£</w:t>
            </w:r>
            <w:r w:rsidR="00366EA4">
              <w:rPr>
                <w:rFonts w:ascii="Arial" w:eastAsia="Times New Roman" w:hAnsi="Arial" w:cs="Arial"/>
                <w:sz w:val="24"/>
                <w:szCs w:val="24"/>
              </w:rPr>
              <w:t>7</w:t>
            </w:r>
            <w:r w:rsidRPr="008370DD">
              <w:rPr>
                <w:rFonts w:ascii="Arial" w:eastAsia="Times New Roman" w:hAnsi="Arial" w:cs="Arial"/>
                <w:sz w:val="24"/>
                <w:szCs w:val="24"/>
              </w:rPr>
              <w:t>m</w:t>
            </w:r>
          </w:p>
        </w:tc>
        <w:tc>
          <w:tcPr>
            <w:tcW w:w="1985" w:type="dxa"/>
            <w:shd w:val="clear" w:color="auto" w:fill="auto"/>
            <w:vAlign w:val="center"/>
          </w:tcPr>
          <w:p w14:paraId="26FF8A8F" w14:textId="77777777" w:rsidR="00BC4D2D" w:rsidRPr="00C000C1" w:rsidRDefault="00BC4D2D" w:rsidP="005D2537">
            <w:pPr>
              <w:pStyle w:val="ListParagraph"/>
              <w:spacing w:after="0"/>
              <w:ind w:left="0"/>
              <w:contextualSpacing w:val="0"/>
              <w:jc w:val="center"/>
              <w:rPr>
                <w:rFonts w:ascii="Arial" w:eastAsia="Times New Roman" w:hAnsi="Arial" w:cs="Arial"/>
                <w:sz w:val="24"/>
                <w:szCs w:val="24"/>
              </w:rPr>
            </w:pPr>
            <w:r w:rsidRPr="00C000C1">
              <w:rPr>
                <w:rFonts w:ascii="Arial" w:eastAsia="Times New Roman" w:hAnsi="Arial" w:cs="Arial"/>
                <w:sz w:val="24"/>
                <w:szCs w:val="24"/>
              </w:rPr>
              <w:t>Unlimited</w:t>
            </w:r>
          </w:p>
        </w:tc>
        <w:tc>
          <w:tcPr>
            <w:tcW w:w="1099" w:type="dxa"/>
          </w:tcPr>
          <w:p w14:paraId="34734B71" w14:textId="77777777" w:rsidR="00BC4D2D" w:rsidRPr="00A15D32" w:rsidRDefault="00A15D32" w:rsidP="005D2537">
            <w:pPr>
              <w:pStyle w:val="ListParagraph"/>
              <w:spacing w:after="0"/>
              <w:ind w:left="0"/>
              <w:contextualSpacing w:val="0"/>
              <w:jc w:val="center"/>
              <w:rPr>
                <w:rFonts w:ascii="Arial" w:eastAsia="Times New Roman" w:hAnsi="Arial" w:cs="Arial"/>
                <w:sz w:val="24"/>
                <w:szCs w:val="24"/>
              </w:rPr>
            </w:pPr>
            <w:r w:rsidRPr="00A15D32">
              <w:rPr>
                <w:rFonts w:ascii="Arial" w:eastAsia="Times New Roman" w:hAnsi="Arial" w:cs="Arial"/>
                <w:sz w:val="24"/>
                <w:szCs w:val="24"/>
              </w:rPr>
              <w:t>1</w:t>
            </w:r>
          </w:p>
        </w:tc>
      </w:tr>
      <w:tr w:rsidR="00BC4D2D" w:rsidRPr="00AD2B6F" w14:paraId="20D052C6" w14:textId="77777777" w:rsidTr="003745C6">
        <w:trPr>
          <w:trHeight w:val="397"/>
        </w:trPr>
        <w:tc>
          <w:tcPr>
            <w:tcW w:w="3031" w:type="dxa"/>
            <w:shd w:val="clear" w:color="auto" w:fill="auto"/>
            <w:vAlign w:val="center"/>
          </w:tcPr>
          <w:p w14:paraId="23DD38C2" w14:textId="77777777" w:rsidR="00BC4D2D" w:rsidRPr="003745C6" w:rsidRDefault="00903CA3" w:rsidP="005D2537">
            <w:pPr>
              <w:pStyle w:val="ListParagraph"/>
              <w:spacing w:after="0"/>
              <w:ind w:left="0"/>
              <w:contextualSpacing w:val="0"/>
              <w:rPr>
                <w:rFonts w:ascii="Arial" w:eastAsia="Times New Roman" w:hAnsi="Arial" w:cs="Arial"/>
                <w:sz w:val="24"/>
                <w:szCs w:val="24"/>
              </w:rPr>
            </w:pPr>
            <w:r w:rsidRPr="006D19C5">
              <w:rPr>
                <w:rFonts w:ascii="Arial" w:eastAsia="Times New Roman" w:hAnsi="Arial" w:cs="Arial"/>
                <w:sz w:val="24"/>
                <w:szCs w:val="24"/>
              </w:rPr>
              <w:t>Banks (unsecured)</w:t>
            </w:r>
          </w:p>
        </w:tc>
        <w:tc>
          <w:tcPr>
            <w:tcW w:w="1687" w:type="dxa"/>
            <w:shd w:val="clear" w:color="auto" w:fill="auto"/>
            <w:vAlign w:val="center"/>
          </w:tcPr>
          <w:p w14:paraId="78D73A6C" w14:textId="77777777" w:rsidR="00BC4D2D" w:rsidRPr="003745C6" w:rsidRDefault="00BC4D2D" w:rsidP="005D2537">
            <w:pPr>
              <w:pStyle w:val="ListParagraph"/>
              <w:spacing w:after="0"/>
              <w:ind w:left="0"/>
              <w:contextualSpacing w:val="0"/>
              <w:jc w:val="center"/>
              <w:rPr>
                <w:rFonts w:ascii="Arial" w:eastAsia="Times New Roman" w:hAnsi="Arial" w:cs="Arial"/>
                <w:sz w:val="24"/>
                <w:szCs w:val="24"/>
              </w:rPr>
            </w:pPr>
            <w:r w:rsidRPr="003745C6">
              <w:rPr>
                <w:rFonts w:ascii="Arial" w:eastAsia="Times New Roman" w:hAnsi="Arial" w:cs="Arial"/>
                <w:sz w:val="24"/>
                <w:szCs w:val="24"/>
              </w:rPr>
              <w:t>13 months</w:t>
            </w:r>
          </w:p>
        </w:tc>
        <w:tc>
          <w:tcPr>
            <w:tcW w:w="2052" w:type="dxa"/>
            <w:shd w:val="clear" w:color="auto" w:fill="auto"/>
            <w:vAlign w:val="center"/>
          </w:tcPr>
          <w:p w14:paraId="73E93A2A" w14:textId="77777777" w:rsidR="00BC4D2D" w:rsidRPr="008370DD" w:rsidRDefault="00BC4D2D" w:rsidP="005D2537">
            <w:pPr>
              <w:pStyle w:val="ListParagraph"/>
              <w:spacing w:after="0"/>
              <w:ind w:left="0"/>
              <w:contextualSpacing w:val="0"/>
              <w:jc w:val="center"/>
              <w:rPr>
                <w:rFonts w:ascii="Arial" w:eastAsia="Times New Roman" w:hAnsi="Arial" w:cs="Arial"/>
                <w:sz w:val="24"/>
                <w:szCs w:val="24"/>
              </w:rPr>
            </w:pPr>
            <w:r w:rsidRPr="008370DD">
              <w:rPr>
                <w:rFonts w:ascii="Arial" w:eastAsia="Times New Roman" w:hAnsi="Arial" w:cs="Arial"/>
                <w:sz w:val="24"/>
                <w:szCs w:val="24"/>
              </w:rPr>
              <w:t>£</w:t>
            </w:r>
            <w:r w:rsidR="00366EA4">
              <w:rPr>
                <w:rFonts w:ascii="Arial" w:eastAsia="Times New Roman" w:hAnsi="Arial" w:cs="Arial"/>
                <w:sz w:val="24"/>
                <w:szCs w:val="24"/>
              </w:rPr>
              <w:t>3.5</w:t>
            </w:r>
            <w:r w:rsidRPr="008370DD">
              <w:rPr>
                <w:rFonts w:ascii="Arial" w:eastAsia="Times New Roman" w:hAnsi="Arial" w:cs="Arial"/>
                <w:sz w:val="24"/>
                <w:szCs w:val="24"/>
              </w:rPr>
              <w:t>m</w:t>
            </w:r>
          </w:p>
        </w:tc>
        <w:tc>
          <w:tcPr>
            <w:tcW w:w="1985" w:type="dxa"/>
            <w:shd w:val="clear" w:color="auto" w:fill="auto"/>
            <w:vAlign w:val="center"/>
          </w:tcPr>
          <w:p w14:paraId="5569640E" w14:textId="77777777" w:rsidR="00BC4D2D" w:rsidRPr="00C000C1" w:rsidRDefault="00BC4D2D" w:rsidP="005D2537">
            <w:pPr>
              <w:pStyle w:val="ListParagraph"/>
              <w:spacing w:after="0"/>
              <w:ind w:left="0"/>
              <w:contextualSpacing w:val="0"/>
              <w:jc w:val="center"/>
              <w:rPr>
                <w:rFonts w:ascii="Arial" w:eastAsia="Times New Roman" w:hAnsi="Arial" w:cs="Arial"/>
                <w:sz w:val="24"/>
                <w:szCs w:val="24"/>
              </w:rPr>
            </w:pPr>
            <w:r w:rsidRPr="00C000C1">
              <w:rPr>
                <w:rFonts w:ascii="Arial" w:eastAsia="Times New Roman" w:hAnsi="Arial" w:cs="Arial"/>
                <w:sz w:val="24"/>
                <w:szCs w:val="24"/>
              </w:rPr>
              <w:t>Unlimited</w:t>
            </w:r>
          </w:p>
        </w:tc>
        <w:tc>
          <w:tcPr>
            <w:tcW w:w="1099" w:type="dxa"/>
          </w:tcPr>
          <w:p w14:paraId="47303E3C" w14:textId="77777777" w:rsidR="00BC4D2D" w:rsidRPr="00A15D32" w:rsidRDefault="00A15D32" w:rsidP="005D2537">
            <w:pPr>
              <w:pStyle w:val="ListParagraph"/>
              <w:spacing w:after="0"/>
              <w:ind w:left="0"/>
              <w:contextualSpacing w:val="0"/>
              <w:jc w:val="center"/>
              <w:rPr>
                <w:rFonts w:ascii="Arial" w:eastAsia="Times New Roman" w:hAnsi="Arial" w:cs="Arial"/>
                <w:sz w:val="24"/>
                <w:szCs w:val="24"/>
              </w:rPr>
            </w:pPr>
            <w:r>
              <w:rPr>
                <w:rFonts w:ascii="Arial" w:eastAsia="Times New Roman" w:hAnsi="Arial" w:cs="Arial"/>
                <w:sz w:val="24"/>
                <w:szCs w:val="24"/>
              </w:rPr>
              <w:t>1</w:t>
            </w:r>
            <w:r w:rsidR="004710F1" w:rsidRPr="00A15D32">
              <w:rPr>
                <w:rFonts w:ascii="Arial" w:eastAsia="Times New Roman" w:hAnsi="Arial" w:cs="Arial"/>
                <w:sz w:val="24"/>
                <w:szCs w:val="24"/>
              </w:rPr>
              <w:t>,</w:t>
            </w:r>
            <w:r w:rsidRPr="00A15D32">
              <w:rPr>
                <w:rFonts w:ascii="Arial" w:eastAsia="Times New Roman" w:hAnsi="Arial" w:cs="Arial"/>
                <w:sz w:val="24"/>
                <w:szCs w:val="24"/>
              </w:rPr>
              <w:t>2</w:t>
            </w:r>
          </w:p>
        </w:tc>
      </w:tr>
      <w:tr w:rsidR="00BC4D2D" w:rsidRPr="00AD2B6F" w14:paraId="7F2EC6C4" w14:textId="77777777" w:rsidTr="003745C6">
        <w:trPr>
          <w:trHeight w:val="397"/>
        </w:trPr>
        <w:tc>
          <w:tcPr>
            <w:tcW w:w="3031" w:type="dxa"/>
            <w:shd w:val="clear" w:color="auto" w:fill="auto"/>
            <w:vAlign w:val="center"/>
          </w:tcPr>
          <w:p w14:paraId="73043AA3" w14:textId="77777777" w:rsidR="00BC4D2D" w:rsidRPr="003745C6" w:rsidRDefault="00BC4D2D" w:rsidP="005D2537">
            <w:pPr>
              <w:pStyle w:val="ListParagraph"/>
              <w:spacing w:after="0"/>
              <w:ind w:left="0"/>
              <w:contextualSpacing w:val="0"/>
              <w:rPr>
                <w:rFonts w:ascii="Arial" w:eastAsia="Times New Roman" w:hAnsi="Arial" w:cs="Arial"/>
                <w:sz w:val="24"/>
                <w:szCs w:val="24"/>
              </w:rPr>
            </w:pPr>
            <w:r w:rsidRPr="003745C6">
              <w:rPr>
                <w:rFonts w:ascii="Arial" w:eastAsia="Times New Roman" w:hAnsi="Arial" w:cs="Arial"/>
                <w:sz w:val="24"/>
                <w:szCs w:val="24"/>
              </w:rPr>
              <w:t xml:space="preserve">Building societies </w:t>
            </w:r>
            <w:r w:rsidR="00903CA3" w:rsidRPr="006D19C5">
              <w:rPr>
                <w:rFonts w:ascii="Arial" w:eastAsia="Times New Roman" w:hAnsi="Arial" w:cs="Arial"/>
                <w:sz w:val="24"/>
                <w:szCs w:val="24"/>
              </w:rPr>
              <w:t>(unsecured)</w:t>
            </w:r>
          </w:p>
        </w:tc>
        <w:tc>
          <w:tcPr>
            <w:tcW w:w="1687" w:type="dxa"/>
            <w:shd w:val="clear" w:color="auto" w:fill="auto"/>
            <w:vAlign w:val="center"/>
          </w:tcPr>
          <w:p w14:paraId="044A6EB6" w14:textId="77777777" w:rsidR="00BC4D2D" w:rsidRPr="003745C6" w:rsidRDefault="00BC4D2D" w:rsidP="005D2537">
            <w:pPr>
              <w:pStyle w:val="ListParagraph"/>
              <w:spacing w:after="0"/>
              <w:ind w:left="0"/>
              <w:contextualSpacing w:val="0"/>
              <w:jc w:val="center"/>
              <w:rPr>
                <w:rFonts w:ascii="Arial" w:eastAsia="Times New Roman" w:hAnsi="Arial" w:cs="Arial"/>
                <w:sz w:val="24"/>
                <w:szCs w:val="24"/>
              </w:rPr>
            </w:pPr>
            <w:r w:rsidRPr="003745C6">
              <w:rPr>
                <w:rFonts w:ascii="Arial" w:eastAsia="Times New Roman" w:hAnsi="Arial" w:cs="Arial"/>
                <w:sz w:val="24"/>
                <w:szCs w:val="24"/>
              </w:rPr>
              <w:t>13 months</w:t>
            </w:r>
          </w:p>
        </w:tc>
        <w:tc>
          <w:tcPr>
            <w:tcW w:w="2052" w:type="dxa"/>
            <w:shd w:val="clear" w:color="auto" w:fill="auto"/>
            <w:vAlign w:val="center"/>
          </w:tcPr>
          <w:p w14:paraId="3685FA62" w14:textId="77777777" w:rsidR="00BC4D2D" w:rsidRPr="008370DD" w:rsidRDefault="00BC4D2D" w:rsidP="005D2537">
            <w:pPr>
              <w:pStyle w:val="ListParagraph"/>
              <w:spacing w:after="0"/>
              <w:ind w:left="0"/>
              <w:contextualSpacing w:val="0"/>
              <w:jc w:val="center"/>
              <w:rPr>
                <w:rFonts w:ascii="Arial" w:eastAsia="Times New Roman" w:hAnsi="Arial" w:cs="Arial"/>
                <w:sz w:val="24"/>
                <w:szCs w:val="24"/>
              </w:rPr>
            </w:pPr>
            <w:r w:rsidRPr="008370DD">
              <w:rPr>
                <w:rFonts w:ascii="Arial" w:eastAsia="Times New Roman" w:hAnsi="Arial" w:cs="Arial"/>
                <w:sz w:val="24"/>
                <w:szCs w:val="24"/>
              </w:rPr>
              <w:t>£3</w:t>
            </w:r>
            <w:r w:rsidR="00366EA4">
              <w:rPr>
                <w:rFonts w:ascii="Arial" w:eastAsia="Times New Roman" w:hAnsi="Arial" w:cs="Arial"/>
                <w:sz w:val="24"/>
                <w:szCs w:val="24"/>
              </w:rPr>
              <w:t>.5</w:t>
            </w:r>
            <w:r w:rsidRPr="008370DD">
              <w:rPr>
                <w:rFonts w:ascii="Arial" w:eastAsia="Times New Roman" w:hAnsi="Arial" w:cs="Arial"/>
                <w:sz w:val="24"/>
                <w:szCs w:val="24"/>
              </w:rPr>
              <w:t>m</w:t>
            </w:r>
          </w:p>
        </w:tc>
        <w:tc>
          <w:tcPr>
            <w:tcW w:w="1985" w:type="dxa"/>
            <w:shd w:val="clear" w:color="auto" w:fill="auto"/>
            <w:vAlign w:val="center"/>
          </w:tcPr>
          <w:p w14:paraId="4CE35944" w14:textId="77777777" w:rsidR="00BC4D2D" w:rsidRPr="008370DD" w:rsidRDefault="00BC4D2D" w:rsidP="005D2537">
            <w:pPr>
              <w:pStyle w:val="ListParagraph"/>
              <w:spacing w:after="0"/>
              <w:ind w:left="0"/>
              <w:contextualSpacing w:val="0"/>
              <w:jc w:val="center"/>
              <w:rPr>
                <w:rFonts w:ascii="Arial" w:eastAsia="Times New Roman" w:hAnsi="Arial" w:cs="Arial"/>
                <w:sz w:val="24"/>
                <w:szCs w:val="24"/>
              </w:rPr>
            </w:pPr>
            <w:r w:rsidRPr="008370DD">
              <w:rPr>
                <w:rFonts w:ascii="Arial" w:eastAsia="Times New Roman" w:hAnsi="Arial" w:cs="Arial"/>
                <w:sz w:val="24"/>
                <w:szCs w:val="24"/>
              </w:rPr>
              <w:t>£</w:t>
            </w:r>
            <w:r w:rsidR="00366EA4">
              <w:rPr>
                <w:rFonts w:ascii="Arial" w:eastAsia="Times New Roman" w:hAnsi="Arial" w:cs="Arial"/>
                <w:sz w:val="24"/>
                <w:szCs w:val="24"/>
              </w:rPr>
              <w:t>7</w:t>
            </w:r>
            <w:r w:rsidRPr="008370DD">
              <w:rPr>
                <w:rFonts w:ascii="Arial" w:eastAsia="Times New Roman" w:hAnsi="Arial" w:cs="Arial"/>
                <w:sz w:val="24"/>
                <w:szCs w:val="24"/>
              </w:rPr>
              <w:t>m</w:t>
            </w:r>
          </w:p>
        </w:tc>
        <w:tc>
          <w:tcPr>
            <w:tcW w:w="1099" w:type="dxa"/>
          </w:tcPr>
          <w:p w14:paraId="48E47379" w14:textId="77777777" w:rsidR="00BC4D2D" w:rsidRPr="00A15D32" w:rsidRDefault="00A15D32" w:rsidP="005D2537">
            <w:pPr>
              <w:pStyle w:val="ListParagraph"/>
              <w:spacing w:after="0"/>
              <w:ind w:left="0"/>
              <w:contextualSpacing w:val="0"/>
              <w:jc w:val="center"/>
              <w:rPr>
                <w:rFonts w:ascii="Arial" w:eastAsia="Times New Roman" w:hAnsi="Arial" w:cs="Arial"/>
                <w:sz w:val="24"/>
                <w:szCs w:val="24"/>
              </w:rPr>
            </w:pPr>
            <w:r>
              <w:rPr>
                <w:rFonts w:ascii="Arial" w:eastAsia="Times New Roman" w:hAnsi="Arial" w:cs="Arial"/>
                <w:sz w:val="24"/>
                <w:szCs w:val="24"/>
              </w:rPr>
              <w:t>1</w:t>
            </w:r>
          </w:p>
        </w:tc>
      </w:tr>
      <w:tr w:rsidR="00BC4D2D" w:rsidRPr="00AD2B6F" w14:paraId="5B926DB9" w14:textId="77777777" w:rsidTr="003745C6">
        <w:trPr>
          <w:trHeight w:val="397"/>
        </w:trPr>
        <w:tc>
          <w:tcPr>
            <w:tcW w:w="3031" w:type="dxa"/>
            <w:shd w:val="clear" w:color="auto" w:fill="auto"/>
            <w:vAlign w:val="center"/>
          </w:tcPr>
          <w:p w14:paraId="408C36ED" w14:textId="77777777" w:rsidR="00BC4D2D" w:rsidRPr="003745C6" w:rsidRDefault="00BC4D2D" w:rsidP="005D2537">
            <w:pPr>
              <w:pStyle w:val="ListParagraph"/>
              <w:spacing w:after="0"/>
              <w:ind w:left="0"/>
              <w:contextualSpacing w:val="0"/>
              <w:rPr>
                <w:rFonts w:ascii="Arial" w:eastAsia="Times New Roman" w:hAnsi="Arial" w:cs="Arial"/>
                <w:sz w:val="24"/>
                <w:szCs w:val="24"/>
              </w:rPr>
            </w:pPr>
            <w:r w:rsidRPr="00AD2B6F">
              <w:rPr>
                <w:rFonts w:ascii="Arial" w:eastAsia="Times New Roman" w:hAnsi="Arial" w:cs="Arial"/>
                <w:sz w:val="24"/>
                <w:szCs w:val="24"/>
              </w:rPr>
              <w:t>Money market funds</w:t>
            </w:r>
          </w:p>
        </w:tc>
        <w:tc>
          <w:tcPr>
            <w:tcW w:w="1687" w:type="dxa"/>
            <w:shd w:val="clear" w:color="auto" w:fill="auto"/>
            <w:vAlign w:val="center"/>
          </w:tcPr>
          <w:p w14:paraId="5E240753" w14:textId="77777777" w:rsidR="00BC4D2D" w:rsidRPr="003745C6" w:rsidRDefault="00BC4D2D" w:rsidP="005D2537">
            <w:pPr>
              <w:pStyle w:val="ListParagraph"/>
              <w:spacing w:after="0"/>
              <w:ind w:left="0"/>
              <w:contextualSpacing w:val="0"/>
              <w:jc w:val="center"/>
              <w:rPr>
                <w:rFonts w:ascii="Arial" w:eastAsia="Times New Roman" w:hAnsi="Arial" w:cs="Arial"/>
                <w:sz w:val="24"/>
                <w:szCs w:val="24"/>
              </w:rPr>
            </w:pPr>
            <w:r w:rsidRPr="003745C6">
              <w:rPr>
                <w:rFonts w:ascii="Arial" w:eastAsia="Times New Roman" w:hAnsi="Arial" w:cs="Arial"/>
                <w:sz w:val="24"/>
                <w:szCs w:val="24"/>
              </w:rPr>
              <w:t>n/a</w:t>
            </w:r>
          </w:p>
        </w:tc>
        <w:tc>
          <w:tcPr>
            <w:tcW w:w="2052" w:type="dxa"/>
            <w:shd w:val="clear" w:color="auto" w:fill="auto"/>
            <w:vAlign w:val="center"/>
          </w:tcPr>
          <w:p w14:paraId="2739E434" w14:textId="77777777" w:rsidR="00BC4D2D" w:rsidRPr="00C000C1" w:rsidRDefault="00BC4D2D" w:rsidP="005D2537">
            <w:pPr>
              <w:pStyle w:val="ListParagraph"/>
              <w:spacing w:after="0"/>
              <w:ind w:left="0"/>
              <w:contextualSpacing w:val="0"/>
              <w:jc w:val="center"/>
              <w:rPr>
                <w:rFonts w:ascii="Arial" w:eastAsia="Times New Roman" w:hAnsi="Arial" w:cs="Arial"/>
                <w:sz w:val="24"/>
                <w:szCs w:val="24"/>
              </w:rPr>
            </w:pPr>
            <w:r w:rsidRPr="008370DD">
              <w:rPr>
                <w:rFonts w:ascii="Arial" w:eastAsia="Times New Roman" w:hAnsi="Arial" w:cs="Arial"/>
                <w:sz w:val="24"/>
                <w:szCs w:val="24"/>
              </w:rPr>
              <w:t>£</w:t>
            </w:r>
            <w:r w:rsidR="00366EA4">
              <w:rPr>
                <w:rFonts w:ascii="Arial" w:eastAsia="Times New Roman" w:hAnsi="Arial" w:cs="Arial"/>
                <w:sz w:val="24"/>
                <w:szCs w:val="24"/>
              </w:rPr>
              <w:t>7</w:t>
            </w:r>
            <w:r w:rsidRPr="008370DD">
              <w:rPr>
                <w:rFonts w:ascii="Arial" w:eastAsia="Times New Roman" w:hAnsi="Arial" w:cs="Arial"/>
                <w:sz w:val="24"/>
                <w:szCs w:val="24"/>
              </w:rPr>
              <w:t>m</w:t>
            </w:r>
            <w:r w:rsidR="00903CA3" w:rsidRPr="008370DD">
              <w:rPr>
                <w:rFonts w:ascii="Arial" w:eastAsia="Times New Roman" w:hAnsi="Arial" w:cs="Arial"/>
                <w:sz w:val="24"/>
                <w:szCs w:val="24"/>
              </w:rPr>
              <w:t xml:space="preserve"> or 0.5% of fund value</w:t>
            </w:r>
          </w:p>
        </w:tc>
        <w:tc>
          <w:tcPr>
            <w:tcW w:w="1985" w:type="dxa"/>
            <w:shd w:val="clear" w:color="auto" w:fill="auto"/>
            <w:vAlign w:val="center"/>
          </w:tcPr>
          <w:p w14:paraId="72F46BB0" w14:textId="77777777" w:rsidR="00BC4D2D" w:rsidRPr="000E6916" w:rsidRDefault="00BC4D2D" w:rsidP="005D2537">
            <w:pPr>
              <w:pStyle w:val="ListParagraph"/>
              <w:spacing w:after="0"/>
              <w:ind w:left="0"/>
              <w:contextualSpacing w:val="0"/>
              <w:jc w:val="center"/>
              <w:rPr>
                <w:rFonts w:ascii="Arial" w:eastAsia="Times New Roman" w:hAnsi="Arial" w:cs="Arial"/>
                <w:sz w:val="24"/>
                <w:szCs w:val="24"/>
              </w:rPr>
            </w:pPr>
            <w:r w:rsidRPr="000E6916">
              <w:rPr>
                <w:rFonts w:ascii="Arial" w:eastAsia="Times New Roman" w:hAnsi="Arial" w:cs="Arial"/>
                <w:sz w:val="24"/>
                <w:szCs w:val="24"/>
              </w:rPr>
              <w:t>Unlimited</w:t>
            </w:r>
          </w:p>
        </w:tc>
        <w:tc>
          <w:tcPr>
            <w:tcW w:w="1099" w:type="dxa"/>
          </w:tcPr>
          <w:p w14:paraId="25D4461C" w14:textId="77777777" w:rsidR="00BC4D2D" w:rsidRPr="00A15D32" w:rsidRDefault="00A15D32" w:rsidP="005D2537">
            <w:pPr>
              <w:pStyle w:val="ListParagraph"/>
              <w:spacing w:after="0"/>
              <w:ind w:left="0"/>
              <w:contextualSpacing w:val="0"/>
              <w:jc w:val="center"/>
              <w:rPr>
                <w:rFonts w:ascii="Arial" w:eastAsia="Times New Roman" w:hAnsi="Arial" w:cs="Arial"/>
                <w:sz w:val="24"/>
                <w:szCs w:val="24"/>
              </w:rPr>
            </w:pPr>
            <w:r>
              <w:rPr>
                <w:rFonts w:ascii="Arial" w:eastAsia="Times New Roman" w:hAnsi="Arial" w:cs="Arial"/>
                <w:sz w:val="24"/>
                <w:szCs w:val="24"/>
              </w:rPr>
              <w:t>1</w:t>
            </w:r>
            <w:r w:rsidR="004710F1" w:rsidRPr="00A15D32">
              <w:rPr>
                <w:rFonts w:ascii="Arial" w:eastAsia="Times New Roman" w:hAnsi="Arial" w:cs="Arial"/>
                <w:sz w:val="24"/>
                <w:szCs w:val="24"/>
              </w:rPr>
              <w:t xml:space="preserve"> </w:t>
            </w:r>
            <w:r w:rsidRPr="00A15D32">
              <w:rPr>
                <w:rFonts w:ascii="Arial" w:eastAsia="Times New Roman" w:hAnsi="Arial" w:cs="Arial"/>
                <w:sz w:val="24"/>
                <w:szCs w:val="24"/>
              </w:rPr>
              <w:t>3</w:t>
            </w:r>
          </w:p>
        </w:tc>
      </w:tr>
      <w:tr w:rsidR="00BC4D2D" w:rsidRPr="00AD2B6F" w14:paraId="0E874936" w14:textId="77777777" w:rsidTr="003745C6">
        <w:trPr>
          <w:trHeight w:val="397"/>
        </w:trPr>
        <w:tc>
          <w:tcPr>
            <w:tcW w:w="3031" w:type="dxa"/>
            <w:shd w:val="clear" w:color="auto" w:fill="auto"/>
            <w:vAlign w:val="center"/>
          </w:tcPr>
          <w:p w14:paraId="1B882BF9" w14:textId="77777777" w:rsidR="00BC4D2D" w:rsidRPr="003745C6" w:rsidRDefault="00BC4D2D" w:rsidP="005D2537">
            <w:pPr>
              <w:pStyle w:val="ListParagraph"/>
              <w:spacing w:after="0"/>
              <w:ind w:left="0"/>
              <w:contextualSpacing w:val="0"/>
              <w:rPr>
                <w:rFonts w:ascii="Arial" w:eastAsia="Times New Roman" w:hAnsi="Arial" w:cs="Arial"/>
                <w:sz w:val="24"/>
                <w:szCs w:val="24"/>
              </w:rPr>
            </w:pPr>
            <w:r w:rsidRPr="003745C6">
              <w:rPr>
                <w:rFonts w:ascii="Arial" w:eastAsia="Times New Roman" w:hAnsi="Arial" w:cs="Arial"/>
                <w:sz w:val="24"/>
                <w:szCs w:val="24"/>
              </w:rPr>
              <w:t>Strategic pooled funds (excluding LAPF)</w:t>
            </w:r>
          </w:p>
        </w:tc>
        <w:tc>
          <w:tcPr>
            <w:tcW w:w="1687" w:type="dxa"/>
            <w:shd w:val="clear" w:color="auto" w:fill="auto"/>
            <w:vAlign w:val="center"/>
          </w:tcPr>
          <w:p w14:paraId="520BBA29" w14:textId="77777777" w:rsidR="00BC4D2D" w:rsidRPr="003745C6" w:rsidRDefault="00BC4D2D" w:rsidP="005D2537">
            <w:pPr>
              <w:pStyle w:val="ListParagraph"/>
              <w:spacing w:after="0"/>
              <w:ind w:left="0"/>
              <w:contextualSpacing w:val="0"/>
              <w:jc w:val="center"/>
              <w:rPr>
                <w:rFonts w:ascii="Arial" w:eastAsia="Times New Roman" w:hAnsi="Arial" w:cs="Arial"/>
                <w:sz w:val="24"/>
                <w:szCs w:val="24"/>
              </w:rPr>
            </w:pPr>
            <w:r w:rsidRPr="003745C6">
              <w:rPr>
                <w:rFonts w:ascii="Arial" w:eastAsia="Times New Roman" w:hAnsi="Arial" w:cs="Arial"/>
                <w:sz w:val="24"/>
                <w:szCs w:val="24"/>
              </w:rPr>
              <w:t>n/a</w:t>
            </w:r>
          </w:p>
        </w:tc>
        <w:tc>
          <w:tcPr>
            <w:tcW w:w="2052" w:type="dxa"/>
            <w:shd w:val="clear" w:color="auto" w:fill="auto"/>
            <w:vAlign w:val="center"/>
          </w:tcPr>
          <w:p w14:paraId="26F19468" w14:textId="77777777" w:rsidR="00BC4D2D" w:rsidRPr="008370DD" w:rsidRDefault="00BC4D2D" w:rsidP="005D2537">
            <w:pPr>
              <w:pStyle w:val="ListParagraph"/>
              <w:spacing w:after="0"/>
              <w:ind w:left="0"/>
              <w:contextualSpacing w:val="0"/>
              <w:jc w:val="center"/>
              <w:rPr>
                <w:rFonts w:ascii="Arial" w:eastAsia="Times New Roman" w:hAnsi="Arial" w:cs="Arial"/>
                <w:sz w:val="24"/>
                <w:szCs w:val="24"/>
              </w:rPr>
            </w:pPr>
            <w:r w:rsidRPr="008370DD">
              <w:rPr>
                <w:rFonts w:ascii="Arial" w:eastAsia="Times New Roman" w:hAnsi="Arial" w:cs="Arial"/>
                <w:sz w:val="24"/>
                <w:szCs w:val="24"/>
              </w:rPr>
              <w:t>£</w:t>
            </w:r>
            <w:r w:rsidR="00366EA4">
              <w:rPr>
                <w:rFonts w:ascii="Arial" w:eastAsia="Times New Roman" w:hAnsi="Arial" w:cs="Arial"/>
                <w:sz w:val="24"/>
                <w:szCs w:val="24"/>
              </w:rPr>
              <w:t>7</w:t>
            </w:r>
            <w:r w:rsidRPr="008370DD">
              <w:rPr>
                <w:rFonts w:ascii="Arial" w:eastAsia="Times New Roman" w:hAnsi="Arial" w:cs="Arial"/>
                <w:sz w:val="24"/>
                <w:szCs w:val="24"/>
              </w:rPr>
              <w:t>m</w:t>
            </w:r>
          </w:p>
        </w:tc>
        <w:tc>
          <w:tcPr>
            <w:tcW w:w="1985" w:type="dxa"/>
            <w:shd w:val="clear" w:color="auto" w:fill="auto"/>
            <w:vAlign w:val="center"/>
          </w:tcPr>
          <w:p w14:paraId="1CD727A2" w14:textId="77777777" w:rsidR="00BC4D2D" w:rsidRPr="000E6916" w:rsidRDefault="00BC4D2D" w:rsidP="005D2537">
            <w:pPr>
              <w:pStyle w:val="ListParagraph"/>
              <w:spacing w:after="0"/>
              <w:ind w:left="0"/>
              <w:contextualSpacing w:val="0"/>
              <w:jc w:val="center"/>
              <w:rPr>
                <w:rFonts w:ascii="Arial" w:eastAsia="Times New Roman" w:hAnsi="Arial" w:cs="Arial"/>
                <w:b/>
                <w:sz w:val="24"/>
                <w:szCs w:val="24"/>
              </w:rPr>
            </w:pPr>
            <w:r w:rsidRPr="00C000C1">
              <w:rPr>
                <w:rFonts w:ascii="Arial" w:eastAsia="Times New Roman" w:hAnsi="Arial" w:cs="Arial"/>
                <w:sz w:val="24"/>
                <w:szCs w:val="24"/>
              </w:rPr>
              <w:t>£</w:t>
            </w:r>
            <w:r w:rsidR="00F94F3D">
              <w:rPr>
                <w:rFonts w:ascii="Arial" w:eastAsia="Times New Roman" w:hAnsi="Arial" w:cs="Arial"/>
                <w:sz w:val="24"/>
                <w:szCs w:val="24"/>
              </w:rPr>
              <w:t>5</w:t>
            </w:r>
            <w:r w:rsidR="004674E3" w:rsidRPr="000E6916">
              <w:rPr>
                <w:rFonts w:ascii="Arial" w:eastAsia="Times New Roman" w:hAnsi="Arial" w:cs="Arial"/>
                <w:sz w:val="24"/>
                <w:szCs w:val="24"/>
              </w:rPr>
              <w:t>0</w:t>
            </w:r>
            <w:r w:rsidRPr="000E6916">
              <w:rPr>
                <w:rFonts w:ascii="Arial" w:eastAsia="Times New Roman" w:hAnsi="Arial" w:cs="Arial"/>
                <w:sz w:val="24"/>
                <w:szCs w:val="24"/>
              </w:rPr>
              <w:t>m</w:t>
            </w:r>
          </w:p>
        </w:tc>
        <w:tc>
          <w:tcPr>
            <w:tcW w:w="1099" w:type="dxa"/>
          </w:tcPr>
          <w:p w14:paraId="05184121" w14:textId="77777777" w:rsidR="00BC4D2D" w:rsidRPr="00A15D32" w:rsidRDefault="00A15D32" w:rsidP="005D2537">
            <w:pPr>
              <w:pStyle w:val="ListParagraph"/>
              <w:spacing w:after="0"/>
              <w:ind w:left="0"/>
              <w:contextualSpacing w:val="0"/>
              <w:jc w:val="center"/>
              <w:rPr>
                <w:rFonts w:ascii="Arial" w:eastAsia="Times New Roman" w:hAnsi="Arial" w:cs="Arial"/>
                <w:sz w:val="24"/>
                <w:szCs w:val="24"/>
              </w:rPr>
            </w:pPr>
            <w:r w:rsidRPr="00A15D32">
              <w:rPr>
                <w:rFonts w:ascii="Arial" w:eastAsia="Times New Roman" w:hAnsi="Arial" w:cs="Arial"/>
                <w:sz w:val="24"/>
                <w:szCs w:val="24"/>
              </w:rPr>
              <w:t>5</w:t>
            </w:r>
          </w:p>
        </w:tc>
      </w:tr>
      <w:tr w:rsidR="00BC4D2D" w:rsidRPr="00AD2B6F" w14:paraId="2174140C" w14:textId="77777777" w:rsidTr="003745C6">
        <w:trPr>
          <w:trHeight w:val="397"/>
        </w:trPr>
        <w:tc>
          <w:tcPr>
            <w:tcW w:w="3031" w:type="dxa"/>
            <w:shd w:val="clear" w:color="auto" w:fill="auto"/>
            <w:vAlign w:val="center"/>
          </w:tcPr>
          <w:p w14:paraId="77105543" w14:textId="77777777" w:rsidR="00BC4D2D" w:rsidRPr="003745C6" w:rsidRDefault="00BC4D2D" w:rsidP="005D2537">
            <w:pPr>
              <w:pStyle w:val="ListParagraph"/>
              <w:spacing w:after="0"/>
              <w:ind w:left="0"/>
              <w:contextualSpacing w:val="0"/>
              <w:rPr>
                <w:rFonts w:ascii="Arial" w:eastAsia="Times New Roman" w:hAnsi="Arial" w:cs="Arial"/>
                <w:sz w:val="24"/>
                <w:szCs w:val="24"/>
              </w:rPr>
            </w:pPr>
            <w:r w:rsidRPr="003745C6">
              <w:rPr>
                <w:rFonts w:ascii="Arial" w:eastAsia="Times New Roman" w:hAnsi="Arial" w:cs="Arial"/>
                <w:sz w:val="24"/>
                <w:szCs w:val="24"/>
              </w:rPr>
              <w:t>Strategic pooled funds (CCLA - LAPF)</w:t>
            </w:r>
          </w:p>
        </w:tc>
        <w:tc>
          <w:tcPr>
            <w:tcW w:w="1687" w:type="dxa"/>
            <w:shd w:val="clear" w:color="auto" w:fill="auto"/>
            <w:vAlign w:val="center"/>
          </w:tcPr>
          <w:p w14:paraId="48A3D178" w14:textId="77777777" w:rsidR="00BC4D2D" w:rsidRPr="003745C6" w:rsidRDefault="00BC4D2D" w:rsidP="005D2537">
            <w:pPr>
              <w:pStyle w:val="ListParagraph"/>
              <w:spacing w:after="0"/>
              <w:ind w:left="0"/>
              <w:contextualSpacing w:val="0"/>
              <w:jc w:val="center"/>
              <w:rPr>
                <w:rFonts w:ascii="Arial" w:eastAsia="Times New Roman" w:hAnsi="Arial" w:cs="Arial"/>
                <w:sz w:val="24"/>
                <w:szCs w:val="24"/>
              </w:rPr>
            </w:pPr>
            <w:r w:rsidRPr="003745C6">
              <w:rPr>
                <w:rFonts w:ascii="Arial" w:eastAsia="Times New Roman" w:hAnsi="Arial" w:cs="Arial"/>
                <w:sz w:val="24"/>
                <w:szCs w:val="24"/>
              </w:rPr>
              <w:t>n/a</w:t>
            </w:r>
          </w:p>
        </w:tc>
        <w:tc>
          <w:tcPr>
            <w:tcW w:w="2052" w:type="dxa"/>
            <w:shd w:val="clear" w:color="auto" w:fill="auto"/>
            <w:vAlign w:val="center"/>
          </w:tcPr>
          <w:p w14:paraId="4FA7B23F" w14:textId="77777777" w:rsidR="00BC4D2D" w:rsidRPr="008370DD" w:rsidRDefault="00BC4D2D" w:rsidP="005D2537">
            <w:pPr>
              <w:pStyle w:val="ListParagraph"/>
              <w:spacing w:after="0"/>
              <w:ind w:left="0"/>
              <w:contextualSpacing w:val="0"/>
              <w:jc w:val="center"/>
              <w:rPr>
                <w:rFonts w:ascii="Arial" w:eastAsia="Times New Roman" w:hAnsi="Arial" w:cs="Arial"/>
                <w:sz w:val="24"/>
                <w:szCs w:val="24"/>
              </w:rPr>
            </w:pPr>
            <w:r w:rsidRPr="008370DD">
              <w:rPr>
                <w:rFonts w:ascii="Arial" w:eastAsia="Times New Roman" w:hAnsi="Arial" w:cs="Arial"/>
                <w:sz w:val="24"/>
                <w:szCs w:val="24"/>
              </w:rPr>
              <w:t>£</w:t>
            </w:r>
            <w:r w:rsidR="00532E28">
              <w:rPr>
                <w:rFonts w:ascii="Arial" w:eastAsia="Times New Roman" w:hAnsi="Arial" w:cs="Arial"/>
                <w:sz w:val="24"/>
                <w:szCs w:val="24"/>
              </w:rPr>
              <w:t>15</w:t>
            </w:r>
            <w:r w:rsidRPr="008370DD">
              <w:rPr>
                <w:rFonts w:ascii="Arial" w:eastAsia="Times New Roman" w:hAnsi="Arial" w:cs="Arial"/>
                <w:sz w:val="24"/>
                <w:szCs w:val="24"/>
              </w:rPr>
              <w:t>m</w:t>
            </w:r>
          </w:p>
        </w:tc>
        <w:tc>
          <w:tcPr>
            <w:tcW w:w="1985" w:type="dxa"/>
            <w:shd w:val="clear" w:color="auto" w:fill="auto"/>
            <w:vAlign w:val="center"/>
          </w:tcPr>
          <w:p w14:paraId="6F6E09EE" w14:textId="77777777" w:rsidR="00BC4D2D" w:rsidRPr="00C000C1" w:rsidRDefault="00BC4D2D" w:rsidP="005D2537">
            <w:pPr>
              <w:pStyle w:val="ListParagraph"/>
              <w:spacing w:after="0"/>
              <w:ind w:left="0"/>
              <w:contextualSpacing w:val="0"/>
              <w:jc w:val="center"/>
              <w:rPr>
                <w:rFonts w:ascii="Arial" w:eastAsia="Times New Roman" w:hAnsi="Arial" w:cs="Arial"/>
                <w:sz w:val="24"/>
                <w:szCs w:val="24"/>
              </w:rPr>
            </w:pPr>
            <w:r w:rsidRPr="00C000C1">
              <w:rPr>
                <w:rFonts w:ascii="Arial" w:eastAsia="Times New Roman" w:hAnsi="Arial" w:cs="Arial"/>
                <w:sz w:val="24"/>
                <w:szCs w:val="24"/>
              </w:rPr>
              <w:t>£</w:t>
            </w:r>
            <w:r w:rsidR="00532E28">
              <w:rPr>
                <w:rFonts w:ascii="Arial" w:eastAsia="Times New Roman" w:hAnsi="Arial" w:cs="Arial"/>
                <w:sz w:val="24"/>
                <w:szCs w:val="24"/>
              </w:rPr>
              <w:t>15</w:t>
            </w:r>
            <w:r w:rsidRPr="00C000C1">
              <w:rPr>
                <w:rFonts w:ascii="Arial" w:eastAsia="Times New Roman" w:hAnsi="Arial" w:cs="Arial"/>
                <w:sz w:val="24"/>
                <w:szCs w:val="24"/>
              </w:rPr>
              <w:t>m</w:t>
            </w:r>
          </w:p>
        </w:tc>
        <w:tc>
          <w:tcPr>
            <w:tcW w:w="1099" w:type="dxa"/>
          </w:tcPr>
          <w:p w14:paraId="6B7FD0A4" w14:textId="77777777" w:rsidR="00BC4D2D" w:rsidRPr="00A15D32" w:rsidRDefault="00A15D32" w:rsidP="005D2537">
            <w:pPr>
              <w:pStyle w:val="ListParagraph"/>
              <w:spacing w:after="0"/>
              <w:ind w:left="0"/>
              <w:contextualSpacing w:val="0"/>
              <w:jc w:val="center"/>
              <w:rPr>
                <w:rFonts w:ascii="Arial" w:eastAsia="Times New Roman" w:hAnsi="Arial" w:cs="Arial"/>
                <w:sz w:val="24"/>
                <w:szCs w:val="24"/>
              </w:rPr>
            </w:pPr>
            <w:r w:rsidRPr="00A15D32">
              <w:rPr>
                <w:rFonts w:ascii="Arial" w:eastAsia="Times New Roman" w:hAnsi="Arial" w:cs="Arial"/>
                <w:sz w:val="24"/>
                <w:szCs w:val="24"/>
              </w:rPr>
              <w:t>5</w:t>
            </w:r>
          </w:p>
        </w:tc>
      </w:tr>
      <w:tr w:rsidR="00BC4D2D" w:rsidRPr="00AD2B6F" w14:paraId="03CC1324" w14:textId="77777777" w:rsidTr="003745C6">
        <w:trPr>
          <w:trHeight w:val="397"/>
        </w:trPr>
        <w:tc>
          <w:tcPr>
            <w:tcW w:w="3031" w:type="dxa"/>
            <w:shd w:val="clear" w:color="auto" w:fill="auto"/>
            <w:vAlign w:val="center"/>
          </w:tcPr>
          <w:p w14:paraId="7D31DC8F" w14:textId="77777777" w:rsidR="00BC4D2D" w:rsidRPr="003745C6" w:rsidRDefault="00BC4D2D" w:rsidP="005D2537">
            <w:pPr>
              <w:pStyle w:val="ListParagraph"/>
              <w:spacing w:after="0"/>
              <w:ind w:left="0"/>
              <w:contextualSpacing w:val="0"/>
              <w:rPr>
                <w:rFonts w:ascii="Arial" w:eastAsia="Times New Roman" w:hAnsi="Arial" w:cs="Arial"/>
                <w:sz w:val="24"/>
                <w:szCs w:val="24"/>
              </w:rPr>
            </w:pPr>
            <w:r w:rsidRPr="003745C6">
              <w:rPr>
                <w:rFonts w:ascii="Arial" w:eastAsia="Times New Roman" w:hAnsi="Arial" w:cs="Arial"/>
                <w:sz w:val="24"/>
                <w:szCs w:val="24"/>
              </w:rPr>
              <w:t>Real estate investment trusts</w:t>
            </w:r>
            <w:r w:rsidR="007B074D">
              <w:rPr>
                <w:rFonts w:ascii="Arial" w:eastAsia="Times New Roman" w:hAnsi="Arial" w:cs="Arial"/>
                <w:sz w:val="24"/>
                <w:szCs w:val="24"/>
              </w:rPr>
              <w:t xml:space="preserve"> (REITs)</w:t>
            </w:r>
          </w:p>
        </w:tc>
        <w:tc>
          <w:tcPr>
            <w:tcW w:w="1687" w:type="dxa"/>
            <w:shd w:val="clear" w:color="auto" w:fill="auto"/>
            <w:vAlign w:val="center"/>
          </w:tcPr>
          <w:p w14:paraId="7CE74FBC" w14:textId="77777777" w:rsidR="00BC4D2D" w:rsidRPr="003745C6" w:rsidRDefault="00BC4D2D" w:rsidP="005D2537">
            <w:pPr>
              <w:pStyle w:val="ListParagraph"/>
              <w:spacing w:after="0"/>
              <w:ind w:left="0"/>
              <w:contextualSpacing w:val="0"/>
              <w:jc w:val="center"/>
              <w:rPr>
                <w:rFonts w:ascii="Arial" w:eastAsia="Times New Roman" w:hAnsi="Arial" w:cs="Arial"/>
                <w:sz w:val="24"/>
                <w:szCs w:val="24"/>
              </w:rPr>
            </w:pPr>
            <w:r w:rsidRPr="003745C6">
              <w:rPr>
                <w:rFonts w:ascii="Arial" w:eastAsia="Times New Roman" w:hAnsi="Arial" w:cs="Arial"/>
                <w:sz w:val="24"/>
                <w:szCs w:val="24"/>
              </w:rPr>
              <w:t>n/a</w:t>
            </w:r>
          </w:p>
        </w:tc>
        <w:tc>
          <w:tcPr>
            <w:tcW w:w="2052" w:type="dxa"/>
            <w:shd w:val="clear" w:color="auto" w:fill="auto"/>
            <w:vAlign w:val="center"/>
          </w:tcPr>
          <w:p w14:paraId="50EACDD1" w14:textId="77777777" w:rsidR="00BC4D2D" w:rsidRPr="008370DD" w:rsidRDefault="00BC4D2D" w:rsidP="005D2537">
            <w:pPr>
              <w:pStyle w:val="ListParagraph"/>
              <w:spacing w:after="0"/>
              <w:ind w:left="0"/>
              <w:contextualSpacing w:val="0"/>
              <w:jc w:val="center"/>
              <w:rPr>
                <w:rFonts w:ascii="Arial" w:eastAsia="Times New Roman" w:hAnsi="Arial" w:cs="Arial"/>
                <w:sz w:val="24"/>
                <w:szCs w:val="24"/>
              </w:rPr>
            </w:pPr>
            <w:r w:rsidRPr="008370DD">
              <w:rPr>
                <w:rFonts w:ascii="Arial" w:eastAsia="Times New Roman" w:hAnsi="Arial" w:cs="Arial"/>
                <w:sz w:val="24"/>
                <w:szCs w:val="24"/>
              </w:rPr>
              <w:t>£2m</w:t>
            </w:r>
          </w:p>
        </w:tc>
        <w:tc>
          <w:tcPr>
            <w:tcW w:w="1985" w:type="dxa"/>
            <w:shd w:val="clear" w:color="auto" w:fill="auto"/>
            <w:vAlign w:val="center"/>
          </w:tcPr>
          <w:p w14:paraId="5AE6A1C4" w14:textId="77777777" w:rsidR="00BC4D2D" w:rsidRPr="00C000C1" w:rsidRDefault="00BC4D2D" w:rsidP="005D2537">
            <w:pPr>
              <w:pStyle w:val="ListParagraph"/>
              <w:spacing w:after="0"/>
              <w:ind w:left="0"/>
              <w:contextualSpacing w:val="0"/>
              <w:jc w:val="center"/>
              <w:rPr>
                <w:rFonts w:ascii="Arial" w:eastAsia="Times New Roman" w:hAnsi="Arial" w:cs="Arial"/>
                <w:sz w:val="24"/>
                <w:szCs w:val="24"/>
              </w:rPr>
            </w:pPr>
            <w:r w:rsidRPr="00C000C1">
              <w:rPr>
                <w:rFonts w:ascii="Arial" w:eastAsia="Times New Roman" w:hAnsi="Arial" w:cs="Arial"/>
                <w:sz w:val="24"/>
                <w:szCs w:val="24"/>
              </w:rPr>
              <w:t>£4m</w:t>
            </w:r>
          </w:p>
        </w:tc>
        <w:tc>
          <w:tcPr>
            <w:tcW w:w="1099" w:type="dxa"/>
          </w:tcPr>
          <w:p w14:paraId="5CD8CA0C" w14:textId="77777777" w:rsidR="00BC4D2D" w:rsidRPr="00A15D32" w:rsidRDefault="00A15D32" w:rsidP="005D2537">
            <w:pPr>
              <w:pStyle w:val="ListParagraph"/>
              <w:spacing w:after="0"/>
              <w:ind w:left="0"/>
              <w:contextualSpacing w:val="0"/>
              <w:jc w:val="center"/>
              <w:rPr>
                <w:rFonts w:ascii="Arial" w:eastAsia="Times New Roman" w:hAnsi="Arial" w:cs="Arial"/>
                <w:sz w:val="24"/>
                <w:szCs w:val="24"/>
              </w:rPr>
            </w:pPr>
            <w:r w:rsidRPr="00A15D32">
              <w:rPr>
                <w:rFonts w:ascii="Arial" w:eastAsia="Times New Roman" w:hAnsi="Arial" w:cs="Arial"/>
                <w:sz w:val="24"/>
                <w:szCs w:val="24"/>
              </w:rPr>
              <w:t>5</w:t>
            </w:r>
          </w:p>
        </w:tc>
      </w:tr>
      <w:tr w:rsidR="00BC4D2D" w:rsidRPr="00AD2B6F" w14:paraId="464AAF8F" w14:textId="77777777" w:rsidTr="003745C6">
        <w:trPr>
          <w:trHeight w:val="397"/>
        </w:trPr>
        <w:tc>
          <w:tcPr>
            <w:tcW w:w="3031" w:type="dxa"/>
            <w:shd w:val="clear" w:color="auto" w:fill="auto"/>
            <w:vAlign w:val="center"/>
          </w:tcPr>
          <w:p w14:paraId="47070B51" w14:textId="77777777" w:rsidR="00BC4D2D" w:rsidRPr="003745C6" w:rsidRDefault="00BC4D2D" w:rsidP="005D2537">
            <w:pPr>
              <w:pStyle w:val="ListParagraph"/>
              <w:spacing w:after="0"/>
              <w:ind w:left="0"/>
              <w:contextualSpacing w:val="0"/>
              <w:rPr>
                <w:rFonts w:ascii="Arial" w:eastAsia="Times New Roman" w:hAnsi="Arial" w:cs="Arial"/>
                <w:sz w:val="24"/>
                <w:szCs w:val="24"/>
              </w:rPr>
            </w:pPr>
            <w:r w:rsidRPr="003745C6">
              <w:rPr>
                <w:rFonts w:ascii="Arial" w:eastAsia="Times New Roman" w:hAnsi="Arial" w:cs="Arial"/>
                <w:sz w:val="24"/>
                <w:szCs w:val="24"/>
              </w:rPr>
              <w:t>Other investments</w:t>
            </w:r>
          </w:p>
        </w:tc>
        <w:tc>
          <w:tcPr>
            <w:tcW w:w="1687" w:type="dxa"/>
            <w:shd w:val="clear" w:color="auto" w:fill="auto"/>
            <w:vAlign w:val="center"/>
          </w:tcPr>
          <w:p w14:paraId="744A07F3" w14:textId="77777777" w:rsidR="00BC4D2D" w:rsidRPr="003745C6" w:rsidRDefault="00BC4D2D" w:rsidP="005D2537">
            <w:pPr>
              <w:pStyle w:val="ListParagraph"/>
              <w:spacing w:after="0"/>
              <w:ind w:left="0"/>
              <w:contextualSpacing w:val="0"/>
              <w:jc w:val="center"/>
              <w:rPr>
                <w:rFonts w:ascii="Arial" w:eastAsia="Times New Roman" w:hAnsi="Arial" w:cs="Arial"/>
                <w:sz w:val="24"/>
                <w:szCs w:val="24"/>
              </w:rPr>
            </w:pPr>
            <w:r w:rsidRPr="003745C6">
              <w:rPr>
                <w:rFonts w:ascii="Arial" w:eastAsia="Times New Roman" w:hAnsi="Arial" w:cs="Arial"/>
                <w:sz w:val="24"/>
                <w:szCs w:val="24"/>
              </w:rPr>
              <w:t>2 years</w:t>
            </w:r>
          </w:p>
        </w:tc>
        <w:tc>
          <w:tcPr>
            <w:tcW w:w="2052" w:type="dxa"/>
            <w:shd w:val="clear" w:color="auto" w:fill="auto"/>
            <w:vAlign w:val="center"/>
          </w:tcPr>
          <w:p w14:paraId="571FFA33" w14:textId="77777777" w:rsidR="00BC4D2D" w:rsidRPr="008370DD" w:rsidRDefault="00BC4D2D" w:rsidP="005D2537">
            <w:pPr>
              <w:pStyle w:val="ListParagraph"/>
              <w:spacing w:after="0"/>
              <w:ind w:left="0"/>
              <w:contextualSpacing w:val="0"/>
              <w:jc w:val="center"/>
              <w:rPr>
                <w:rFonts w:ascii="Arial" w:eastAsia="Times New Roman" w:hAnsi="Arial" w:cs="Arial"/>
                <w:sz w:val="24"/>
                <w:szCs w:val="24"/>
              </w:rPr>
            </w:pPr>
            <w:r w:rsidRPr="008370DD">
              <w:rPr>
                <w:rFonts w:ascii="Arial" w:eastAsia="Times New Roman" w:hAnsi="Arial" w:cs="Arial"/>
                <w:sz w:val="24"/>
                <w:szCs w:val="24"/>
              </w:rPr>
              <w:t>£</w:t>
            </w:r>
            <w:r w:rsidR="003159A3" w:rsidRPr="008370DD">
              <w:rPr>
                <w:rFonts w:ascii="Arial" w:eastAsia="Times New Roman" w:hAnsi="Arial" w:cs="Arial"/>
                <w:sz w:val="24"/>
                <w:szCs w:val="24"/>
              </w:rPr>
              <w:t>3</w:t>
            </w:r>
            <w:r w:rsidR="00366EA4">
              <w:rPr>
                <w:rFonts w:ascii="Arial" w:eastAsia="Times New Roman" w:hAnsi="Arial" w:cs="Arial"/>
                <w:sz w:val="24"/>
                <w:szCs w:val="24"/>
              </w:rPr>
              <w:t>.5</w:t>
            </w:r>
            <w:r w:rsidRPr="008370DD">
              <w:rPr>
                <w:rFonts w:ascii="Arial" w:eastAsia="Times New Roman" w:hAnsi="Arial" w:cs="Arial"/>
                <w:sz w:val="24"/>
                <w:szCs w:val="24"/>
              </w:rPr>
              <w:t>m</w:t>
            </w:r>
          </w:p>
        </w:tc>
        <w:tc>
          <w:tcPr>
            <w:tcW w:w="1985" w:type="dxa"/>
            <w:shd w:val="clear" w:color="auto" w:fill="auto"/>
            <w:vAlign w:val="center"/>
          </w:tcPr>
          <w:p w14:paraId="00CE595D" w14:textId="77777777" w:rsidR="00BC4D2D" w:rsidRPr="008370DD" w:rsidRDefault="00BC4D2D" w:rsidP="005D2537">
            <w:pPr>
              <w:pStyle w:val="ListParagraph"/>
              <w:spacing w:after="0"/>
              <w:ind w:left="0"/>
              <w:contextualSpacing w:val="0"/>
              <w:jc w:val="center"/>
              <w:rPr>
                <w:rFonts w:ascii="Arial" w:eastAsia="Times New Roman" w:hAnsi="Arial" w:cs="Arial"/>
                <w:sz w:val="24"/>
                <w:szCs w:val="24"/>
              </w:rPr>
            </w:pPr>
            <w:r w:rsidRPr="00C000C1">
              <w:rPr>
                <w:rFonts w:ascii="Arial" w:eastAsia="Times New Roman" w:hAnsi="Arial" w:cs="Arial"/>
                <w:sz w:val="24"/>
                <w:szCs w:val="24"/>
              </w:rPr>
              <w:t>£</w:t>
            </w:r>
            <w:r w:rsidR="00366EA4">
              <w:rPr>
                <w:rFonts w:ascii="Arial" w:eastAsia="Times New Roman" w:hAnsi="Arial" w:cs="Arial"/>
                <w:sz w:val="24"/>
                <w:szCs w:val="24"/>
              </w:rPr>
              <w:t>7</w:t>
            </w:r>
            <w:r w:rsidRPr="008370DD">
              <w:rPr>
                <w:rFonts w:ascii="Arial" w:eastAsia="Times New Roman" w:hAnsi="Arial" w:cs="Arial"/>
                <w:sz w:val="24"/>
                <w:szCs w:val="24"/>
              </w:rPr>
              <w:t>m</w:t>
            </w:r>
          </w:p>
        </w:tc>
        <w:tc>
          <w:tcPr>
            <w:tcW w:w="1099" w:type="dxa"/>
          </w:tcPr>
          <w:p w14:paraId="0746E84E" w14:textId="77777777" w:rsidR="00BC4D2D" w:rsidRPr="00A15D32" w:rsidRDefault="00A15D32" w:rsidP="005D2537">
            <w:pPr>
              <w:pStyle w:val="ListParagraph"/>
              <w:spacing w:after="0"/>
              <w:ind w:left="0"/>
              <w:contextualSpacing w:val="0"/>
              <w:jc w:val="center"/>
              <w:rPr>
                <w:rFonts w:ascii="Arial" w:eastAsia="Times New Roman" w:hAnsi="Arial" w:cs="Arial"/>
                <w:sz w:val="24"/>
                <w:szCs w:val="24"/>
              </w:rPr>
            </w:pPr>
            <w:r>
              <w:rPr>
                <w:rFonts w:ascii="Arial" w:eastAsia="Times New Roman" w:hAnsi="Arial" w:cs="Arial"/>
                <w:sz w:val="24"/>
                <w:szCs w:val="24"/>
              </w:rPr>
              <w:t>1</w:t>
            </w:r>
            <w:r w:rsidR="004710F1" w:rsidRPr="00A15D32">
              <w:rPr>
                <w:rFonts w:ascii="Arial" w:eastAsia="Times New Roman" w:hAnsi="Arial" w:cs="Arial"/>
                <w:sz w:val="24"/>
                <w:szCs w:val="24"/>
              </w:rPr>
              <w:t xml:space="preserve">, </w:t>
            </w:r>
            <w:r w:rsidRPr="00A15D32">
              <w:rPr>
                <w:rFonts w:ascii="Arial" w:eastAsia="Times New Roman" w:hAnsi="Arial" w:cs="Arial"/>
                <w:sz w:val="24"/>
                <w:szCs w:val="24"/>
              </w:rPr>
              <w:t>4</w:t>
            </w:r>
          </w:p>
        </w:tc>
      </w:tr>
    </w:tbl>
    <w:p w14:paraId="3A3DE145" w14:textId="77777777" w:rsidR="00BC4D2D" w:rsidRDefault="00BC4D2D" w:rsidP="003745C6">
      <w:pPr>
        <w:rPr>
          <w:rFonts w:ascii="Arial" w:hAnsi="Arial" w:cs="Arial"/>
          <w:i/>
          <w:sz w:val="20"/>
          <w:szCs w:val="20"/>
        </w:rPr>
      </w:pPr>
      <w:r>
        <w:rPr>
          <w:rFonts w:ascii="Arial" w:hAnsi="Arial" w:cs="Arial"/>
          <w:i/>
          <w:sz w:val="20"/>
          <w:szCs w:val="20"/>
        </w:rPr>
        <w:br/>
        <w:t>Notes:</w:t>
      </w:r>
    </w:p>
    <w:p w14:paraId="72F7EDD4" w14:textId="77777777" w:rsidR="00A15D32" w:rsidRDefault="00A15D32" w:rsidP="003745C6">
      <w:pPr>
        <w:numPr>
          <w:ilvl w:val="0"/>
          <w:numId w:val="18"/>
        </w:numPr>
        <w:rPr>
          <w:rFonts w:ascii="Arial" w:hAnsi="Arial" w:cs="Arial"/>
          <w:i/>
          <w:sz w:val="20"/>
          <w:szCs w:val="20"/>
        </w:rPr>
      </w:pPr>
      <w:r>
        <w:rPr>
          <w:rFonts w:ascii="Arial" w:hAnsi="Arial" w:cs="Arial"/>
          <w:i/>
          <w:sz w:val="20"/>
          <w:szCs w:val="20"/>
        </w:rPr>
        <w:t xml:space="preserve">Investments are subject to credit rating floors and/ or other criteria set out ‘Minimum </w:t>
      </w:r>
      <w:r w:rsidR="007D5647">
        <w:rPr>
          <w:rFonts w:ascii="Arial" w:hAnsi="Arial" w:cs="Arial"/>
          <w:i/>
          <w:sz w:val="20"/>
          <w:szCs w:val="20"/>
        </w:rPr>
        <w:t>credit</w:t>
      </w:r>
      <w:r>
        <w:rPr>
          <w:rFonts w:ascii="Arial" w:hAnsi="Arial" w:cs="Arial"/>
          <w:i/>
          <w:sz w:val="20"/>
          <w:szCs w:val="20"/>
        </w:rPr>
        <w:t xml:space="preserve"> ratings’ below</w:t>
      </w:r>
      <w:r w:rsidR="0026009D">
        <w:rPr>
          <w:rFonts w:ascii="Arial" w:hAnsi="Arial" w:cs="Arial"/>
          <w:i/>
          <w:sz w:val="20"/>
          <w:szCs w:val="20"/>
        </w:rPr>
        <w:t>.</w:t>
      </w:r>
    </w:p>
    <w:p w14:paraId="2C6BCF15" w14:textId="77777777" w:rsidR="00BC4D2D" w:rsidRPr="00AD2B6F" w:rsidRDefault="00BC4D2D" w:rsidP="003745C6">
      <w:pPr>
        <w:numPr>
          <w:ilvl w:val="0"/>
          <w:numId w:val="18"/>
        </w:numPr>
        <w:rPr>
          <w:rFonts w:ascii="Arial" w:hAnsi="Arial" w:cs="Arial"/>
          <w:i/>
          <w:sz w:val="20"/>
          <w:szCs w:val="20"/>
        </w:rPr>
      </w:pPr>
      <w:r w:rsidRPr="00AD2B6F">
        <w:rPr>
          <w:rFonts w:ascii="Arial" w:hAnsi="Arial" w:cs="Arial"/>
          <w:i/>
          <w:sz w:val="20"/>
          <w:szCs w:val="20"/>
        </w:rPr>
        <w:t>The limits for the Council’s operational bank account are determined separately and set out in the relevant section below</w:t>
      </w:r>
      <w:r w:rsidR="0026009D">
        <w:rPr>
          <w:rFonts w:ascii="Arial" w:hAnsi="Arial" w:cs="Arial"/>
          <w:i/>
          <w:sz w:val="20"/>
          <w:szCs w:val="20"/>
        </w:rPr>
        <w:t>.</w:t>
      </w:r>
    </w:p>
    <w:p w14:paraId="3EF43637" w14:textId="77777777" w:rsidR="00135F2B" w:rsidRPr="003745C6" w:rsidRDefault="00135F2B" w:rsidP="003745C6">
      <w:pPr>
        <w:numPr>
          <w:ilvl w:val="0"/>
          <w:numId w:val="18"/>
        </w:numPr>
        <w:rPr>
          <w:rFonts w:ascii="Arial" w:hAnsi="Arial" w:cs="Arial"/>
          <w:i/>
          <w:sz w:val="20"/>
          <w:szCs w:val="20"/>
        </w:rPr>
      </w:pPr>
      <w:r w:rsidRPr="003745C6">
        <w:rPr>
          <w:rFonts w:ascii="Arial" w:hAnsi="Arial" w:cs="Arial"/>
          <w:i/>
          <w:sz w:val="20"/>
          <w:szCs w:val="20"/>
        </w:rPr>
        <w:t>Individual lim</w:t>
      </w:r>
      <w:r w:rsidR="00903CA3" w:rsidRPr="006D19C5">
        <w:rPr>
          <w:rFonts w:ascii="Arial" w:hAnsi="Arial" w:cs="Arial"/>
          <w:i/>
          <w:sz w:val="20"/>
          <w:szCs w:val="20"/>
        </w:rPr>
        <w:t>its will be 0.5% of fund value</w:t>
      </w:r>
      <w:r w:rsidR="00903CA3">
        <w:rPr>
          <w:rFonts w:ascii="Arial" w:hAnsi="Arial" w:cs="Arial"/>
          <w:i/>
          <w:sz w:val="20"/>
          <w:szCs w:val="20"/>
        </w:rPr>
        <w:t xml:space="preserve"> or £</w:t>
      </w:r>
      <w:r w:rsidR="00366EA4">
        <w:rPr>
          <w:rFonts w:ascii="Arial" w:hAnsi="Arial" w:cs="Arial"/>
          <w:i/>
          <w:sz w:val="20"/>
          <w:szCs w:val="20"/>
        </w:rPr>
        <w:t>7</w:t>
      </w:r>
      <w:r w:rsidR="00903CA3">
        <w:rPr>
          <w:rFonts w:ascii="Arial" w:hAnsi="Arial" w:cs="Arial"/>
          <w:i/>
          <w:sz w:val="20"/>
          <w:szCs w:val="20"/>
        </w:rPr>
        <w:t>m, whichever is the smaller</w:t>
      </w:r>
      <w:r w:rsidR="0026009D">
        <w:rPr>
          <w:rFonts w:ascii="Arial" w:hAnsi="Arial" w:cs="Arial"/>
          <w:i/>
          <w:sz w:val="20"/>
          <w:szCs w:val="20"/>
        </w:rPr>
        <w:t>.</w:t>
      </w:r>
    </w:p>
    <w:p w14:paraId="39D0B0CD" w14:textId="77777777" w:rsidR="0008503B" w:rsidRPr="003745C6" w:rsidRDefault="0008503B" w:rsidP="003745C6">
      <w:pPr>
        <w:pStyle w:val="ListParagraph"/>
        <w:numPr>
          <w:ilvl w:val="0"/>
          <w:numId w:val="18"/>
        </w:numPr>
        <w:contextualSpacing w:val="0"/>
        <w:rPr>
          <w:rFonts w:ascii="Arial" w:hAnsi="Arial" w:cs="Arial"/>
          <w:i/>
          <w:sz w:val="20"/>
          <w:szCs w:val="20"/>
        </w:rPr>
      </w:pPr>
      <w:r w:rsidRPr="003745C6">
        <w:rPr>
          <w:rFonts w:ascii="Arial" w:hAnsi="Arial" w:cs="Arial"/>
          <w:i/>
          <w:sz w:val="20"/>
          <w:szCs w:val="20"/>
        </w:rPr>
        <w:t xml:space="preserve">Service </w:t>
      </w:r>
      <w:r w:rsidR="003B2868" w:rsidRPr="003745C6">
        <w:rPr>
          <w:rFonts w:ascii="Arial" w:hAnsi="Arial" w:cs="Arial"/>
          <w:i/>
          <w:sz w:val="20"/>
          <w:szCs w:val="20"/>
        </w:rPr>
        <w:t xml:space="preserve">and commercial </w:t>
      </w:r>
      <w:r w:rsidRPr="003745C6">
        <w:rPr>
          <w:rFonts w:ascii="Arial" w:hAnsi="Arial" w:cs="Arial"/>
          <w:i/>
          <w:sz w:val="20"/>
          <w:szCs w:val="20"/>
        </w:rPr>
        <w:t>investments will be subject to individual, separate risk assessment and are considered separately in this strategy.</w:t>
      </w:r>
      <w:r w:rsidR="003159A3">
        <w:rPr>
          <w:rFonts w:ascii="Arial" w:hAnsi="Arial" w:cs="Arial"/>
          <w:i/>
          <w:sz w:val="20"/>
          <w:szCs w:val="20"/>
        </w:rPr>
        <w:t xml:space="preserve"> They are not covered by the Treasury limits in table </w:t>
      </w:r>
      <w:r w:rsidR="009B2917">
        <w:rPr>
          <w:rFonts w:ascii="Arial" w:hAnsi="Arial" w:cs="Arial"/>
          <w:i/>
          <w:sz w:val="20"/>
          <w:szCs w:val="20"/>
        </w:rPr>
        <w:t>3</w:t>
      </w:r>
      <w:r w:rsidR="0026009D">
        <w:rPr>
          <w:rFonts w:ascii="Arial" w:hAnsi="Arial" w:cs="Arial"/>
          <w:i/>
          <w:sz w:val="20"/>
          <w:szCs w:val="20"/>
        </w:rPr>
        <w:t>.</w:t>
      </w:r>
    </w:p>
    <w:p w14:paraId="161B73A1" w14:textId="77777777" w:rsidR="00243D47" w:rsidRPr="003745C6" w:rsidRDefault="00243D47" w:rsidP="003745C6">
      <w:pPr>
        <w:pStyle w:val="ListParagraph"/>
        <w:numPr>
          <w:ilvl w:val="0"/>
          <w:numId w:val="18"/>
        </w:numPr>
        <w:contextualSpacing w:val="0"/>
        <w:rPr>
          <w:rFonts w:ascii="Arial" w:hAnsi="Arial" w:cs="Arial"/>
          <w:i/>
          <w:sz w:val="20"/>
          <w:szCs w:val="20"/>
        </w:rPr>
      </w:pPr>
      <w:r w:rsidRPr="003745C6">
        <w:rPr>
          <w:rFonts w:ascii="Arial" w:hAnsi="Arial" w:cs="Arial"/>
          <w:i/>
          <w:sz w:val="20"/>
          <w:szCs w:val="20"/>
        </w:rPr>
        <w:t xml:space="preserve">No maximum investment period is set for pooled funds </w:t>
      </w:r>
      <w:r w:rsidR="00226DE1" w:rsidRPr="003745C6">
        <w:rPr>
          <w:rFonts w:ascii="Arial" w:hAnsi="Arial" w:cs="Arial"/>
          <w:i/>
          <w:sz w:val="20"/>
          <w:szCs w:val="20"/>
        </w:rPr>
        <w:t xml:space="preserve">and REITs </w:t>
      </w:r>
      <w:r w:rsidRPr="003745C6">
        <w:rPr>
          <w:rFonts w:ascii="Arial" w:hAnsi="Arial" w:cs="Arial"/>
          <w:i/>
          <w:sz w:val="20"/>
          <w:szCs w:val="20"/>
        </w:rPr>
        <w:t>as they are intended to be for the long term.</w:t>
      </w:r>
      <w:r w:rsidR="003D17F2">
        <w:rPr>
          <w:rFonts w:ascii="Arial" w:hAnsi="Arial" w:cs="Arial"/>
          <w:i/>
          <w:sz w:val="20"/>
          <w:szCs w:val="20"/>
        </w:rPr>
        <w:t xml:space="preserve"> The limit on strategic pooled funds does not apply to Money Market Fund investments.</w:t>
      </w:r>
    </w:p>
    <w:p w14:paraId="362FA215" w14:textId="77777777" w:rsidR="005E39A9" w:rsidRDefault="005E39A9" w:rsidP="003745C6">
      <w:p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sidRPr="005E39A9">
        <w:rPr>
          <w:rFonts w:ascii="Arial" w:hAnsi="Arial" w:cs="Arial"/>
          <w:sz w:val="24"/>
          <w:szCs w:val="24"/>
        </w:rPr>
        <w:t xml:space="preserve">The Council sets limits on the totals to be invested in any one single entity, group of entities, or investment type. These are set out in </w:t>
      </w:r>
      <w:r w:rsidR="00DA56C3">
        <w:rPr>
          <w:rFonts w:ascii="Arial" w:hAnsi="Arial" w:cs="Arial"/>
          <w:sz w:val="24"/>
          <w:szCs w:val="24"/>
        </w:rPr>
        <w:t>t</w:t>
      </w:r>
      <w:r w:rsidRPr="005E39A9">
        <w:rPr>
          <w:rFonts w:ascii="Arial" w:hAnsi="Arial" w:cs="Arial"/>
          <w:sz w:val="24"/>
          <w:szCs w:val="24"/>
        </w:rPr>
        <w:t xml:space="preserve">able </w:t>
      </w:r>
      <w:r w:rsidR="009B2917">
        <w:rPr>
          <w:rFonts w:ascii="Arial" w:hAnsi="Arial" w:cs="Arial"/>
          <w:sz w:val="24"/>
          <w:szCs w:val="24"/>
        </w:rPr>
        <w:t>4</w:t>
      </w:r>
      <w:r w:rsidRPr="005E39A9">
        <w:rPr>
          <w:rFonts w:ascii="Arial" w:hAnsi="Arial" w:cs="Arial"/>
          <w:sz w:val="24"/>
          <w:szCs w:val="24"/>
        </w:rPr>
        <w:t xml:space="preserve"> and apply to all treasury investments.</w:t>
      </w:r>
    </w:p>
    <w:p w14:paraId="5C69DB1D" w14:textId="77777777" w:rsidR="00F6563A" w:rsidRPr="003745C6" w:rsidRDefault="00F6563A" w:rsidP="00F6563A">
      <w:pPr>
        <w:jc w:val="both"/>
        <w:rPr>
          <w:rFonts w:ascii="Arial" w:hAnsi="Arial" w:cs="Arial"/>
          <w:sz w:val="24"/>
          <w:szCs w:val="24"/>
        </w:rPr>
      </w:pPr>
      <w:r w:rsidRPr="003745C6">
        <w:rPr>
          <w:rFonts w:ascii="Arial" w:hAnsi="Arial" w:cs="Arial"/>
          <w:sz w:val="24"/>
          <w:szCs w:val="24"/>
        </w:rPr>
        <w:t>Limits are also placed on fund managers, investments in brokers’ nominee accounts and foreign countries as below. Investments in pooled funds</w:t>
      </w:r>
      <w:r w:rsidR="00BC4D2D">
        <w:rPr>
          <w:rFonts w:ascii="Arial" w:hAnsi="Arial" w:cs="Arial"/>
          <w:sz w:val="24"/>
          <w:szCs w:val="24"/>
        </w:rPr>
        <w:t xml:space="preserve"> (including money market funds)</w:t>
      </w:r>
      <w:r w:rsidRPr="003745C6">
        <w:rPr>
          <w:rFonts w:ascii="Arial" w:hAnsi="Arial" w:cs="Arial"/>
          <w:sz w:val="24"/>
          <w:szCs w:val="24"/>
        </w:rPr>
        <w:t xml:space="preserve"> and multilateral development banks do not count against the limit for any single foreign country, since the risk is diversified over many countries.</w:t>
      </w:r>
    </w:p>
    <w:p w14:paraId="6407DF6B" w14:textId="77777777" w:rsidR="00F6563A" w:rsidRPr="003745C6" w:rsidRDefault="00656EB5" w:rsidP="00F6563A">
      <w:pPr>
        <w:jc w:val="both"/>
        <w:rPr>
          <w:rFonts w:ascii="Arial" w:hAnsi="Arial" w:cs="Arial"/>
          <w:i/>
          <w:iCs/>
          <w:sz w:val="24"/>
          <w:szCs w:val="24"/>
        </w:rPr>
      </w:pPr>
      <w:r>
        <w:rPr>
          <w:rFonts w:ascii="Arial" w:hAnsi="Arial" w:cs="Arial"/>
          <w:i/>
          <w:iCs/>
          <w:sz w:val="24"/>
          <w:szCs w:val="24"/>
        </w:rPr>
        <w:lastRenderedPageBreak/>
        <w:br/>
      </w:r>
      <w:r w:rsidR="00203BD4" w:rsidRPr="003745C6">
        <w:rPr>
          <w:rFonts w:ascii="Arial" w:hAnsi="Arial" w:cs="Arial"/>
          <w:i/>
          <w:iCs/>
          <w:sz w:val="24"/>
          <w:szCs w:val="24"/>
        </w:rPr>
        <w:t xml:space="preserve">Table </w:t>
      </w:r>
      <w:r w:rsidR="009B2917">
        <w:rPr>
          <w:rFonts w:ascii="Arial" w:hAnsi="Arial" w:cs="Arial"/>
          <w:i/>
          <w:iCs/>
          <w:sz w:val="24"/>
          <w:szCs w:val="24"/>
        </w:rPr>
        <w:t>4</w:t>
      </w:r>
      <w:r w:rsidR="00F6563A" w:rsidRPr="003745C6">
        <w:rPr>
          <w:rFonts w:ascii="Arial" w:hAnsi="Arial" w:cs="Arial"/>
          <w:i/>
          <w:iCs/>
          <w:sz w:val="24"/>
          <w:szCs w:val="24"/>
        </w:rPr>
        <w:t>: Additional investment limits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693"/>
      </w:tblGrid>
      <w:tr w:rsidR="00BC4D2D" w:rsidRPr="00AD2B6F" w14:paraId="6610A3C8" w14:textId="77777777" w:rsidTr="00AA2F3C">
        <w:trPr>
          <w:trHeight w:val="340"/>
        </w:trPr>
        <w:tc>
          <w:tcPr>
            <w:tcW w:w="5670" w:type="dxa"/>
            <w:shd w:val="clear" w:color="auto" w:fill="D9D9D9"/>
            <w:vAlign w:val="center"/>
          </w:tcPr>
          <w:p w14:paraId="1D12FDB1" w14:textId="77777777" w:rsidR="00F6563A" w:rsidRPr="003745C6" w:rsidRDefault="00F6563A" w:rsidP="005D2537">
            <w:pPr>
              <w:pStyle w:val="ListParagraph"/>
              <w:spacing w:after="0"/>
              <w:ind w:left="0"/>
              <w:contextualSpacing w:val="0"/>
              <w:rPr>
                <w:rFonts w:ascii="Arial" w:eastAsia="Times New Roman" w:hAnsi="Arial" w:cs="Arial"/>
                <w:b/>
                <w:sz w:val="24"/>
                <w:szCs w:val="24"/>
              </w:rPr>
            </w:pPr>
          </w:p>
        </w:tc>
        <w:tc>
          <w:tcPr>
            <w:tcW w:w="2693" w:type="dxa"/>
            <w:shd w:val="clear" w:color="auto" w:fill="D9D9D9"/>
            <w:vAlign w:val="center"/>
          </w:tcPr>
          <w:p w14:paraId="7C9B1F67" w14:textId="77777777" w:rsidR="00F6563A" w:rsidRPr="003745C6" w:rsidRDefault="00F6563A" w:rsidP="005D2537">
            <w:pPr>
              <w:pStyle w:val="ListParagraph"/>
              <w:spacing w:after="0"/>
              <w:ind w:left="0"/>
              <w:contextualSpacing w:val="0"/>
              <w:jc w:val="center"/>
              <w:rPr>
                <w:rFonts w:ascii="Arial" w:eastAsia="Times New Roman" w:hAnsi="Arial" w:cs="Arial"/>
                <w:b/>
                <w:sz w:val="24"/>
                <w:szCs w:val="24"/>
              </w:rPr>
            </w:pPr>
            <w:r w:rsidRPr="003745C6">
              <w:rPr>
                <w:rFonts w:ascii="Arial" w:eastAsia="Times New Roman" w:hAnsi="Arial" w:cs="Arial"/>
                <w:b/>
                <w:sz w:val="24"/>
                <w:szCs w:val="24"/>
              </w:rPr>
              <w:t>Cash limit</w:t>
            </w:r>
          </w:p>
        </w:tc>
      </w:tr>
      <w:tr w:rsidR="00F6563A" w:rsidRPr="003745C6" w14:paraId="6E5A5272" w14:textId="77777777" w:rsidTr="005D2537">
        <w:trPr>
          <w:trHeight w:val="340"/>
        </w:trPr>
        <w:tc>
          <w:tcPr>
            <w:tcW w:w="5670" w:type="dxa"/>
            <w:shd w:val="clear" w:color="auto" w:fill="auto"/>
            <w:vAlign w:val="center"/>
          </w:tcPr>
          <w:p w14:paraId="2768291E" w14:textId="77777777" w:rsidR="00F6563A" w:rsidRPr="003745C6" w:rsidRDefault="00F6563A" w:rsidP="005D2537">
            <w:pPr>
              <w:pStyle w:val="ListParagraph"/>
              <w:spacing w:after="0"/>
              <w:ind w:left="0"/>
              <w:contextualSpacing w:val="0"/>
              <w:rPr>
                <w:rFonts w:ascii="Arial" w:eastAsia="Times New Roman" w:hAnsi="Arial" w:cs="Arial"/>
                <w:sz w:val="24"/>
                <w:szCs w:val="24"/>
              </w:rPr>
            </w:pPr>
            <w:r w:rsidRPr="003745C6">
              <w:rPr>
                <w:rFonts w:ascii="Arial" w:eastAsia="Times New Roman" w:hAnsi="Arial" w:cs="Arial"/>
                <w:sz w:val="24"/>
                <w:szCs w:val="24"/>
              </w:rPr>
              <w:t>Any group of pooled funds under the same management</w:t>
            </w:r>
          </w:p>
        </w:tc>
        <w:tc>
          <w:tcPr>
            <w:tcW w:w="2693" w:type="dxa"/>
            <w:shd w:val="clear" w:color="auto" w:fill="auto"/>
            <w:vAlign w:val="center"/>
          </w:tcPr>
          <w:p w14:paraId="61FE283B" w14:textId="77777777" w:rsidR="00F6563A" w:rsidRPr="003745C6" w:rsidRDefault="00F6563A" w:rsidP="00D854E1">
            <w:pPr>
              <w:pStyle w:val="ListParagraph"/>
              <w:spacing w:after="0"/>
              <w:ind w:left="0"/>
              <w:contextualSpacing w:val="0"/>
              <w:jc w:val="center"/>
              <w:rPr>
                <w:rFonts w:ascii="Arial" w:eastAsia="Times New Roman" w:hAnsi="Arial" w:cs="Arial"/>
                <w:sz w:val="24"/>
                <w:szCs w:val="24"/>
              </w:rPr>
            </w:pPr>
            <w:r w:rsidRPr="003745C6">
              <w:rPr>
                <w:rFonts w:ascii="Arial" w:hAnsi="Arial" w:cs="Arial"/>
                <w:sz w:val="24"/>
                <w:szCs w:val="24"/>
              </w:rPr>
              <w:t>£</w:t>
            </w:r>
            <w:r w:rsidR="00D854E1">
              <w:rPr>
                <w:rFonts w:ascii="Arial" w:hAnsi="Arial" w:cs="Arial"/>
                <w:sz w:val="24"/>
                <w:szCs w:val="24"/>
              </w:rPr>
              <w:t>20</w:t>
            </w:r>
            <w:r w:rsidR="00D854E1" w:rsidRPr="003745C6">
              <w:rPr>
                <w:rFonts w:ascii="Arial" w:hAnsi="Arial" w:cs="Arial"/>
                <w:sz w:val="24"/>
                <w:szCs w:val="24"/>
              </w:rPr>
              <w:t>m</w:t>
            </w:r>
            <w:r w:rsidR="00D854E1" w:rsidRPr="003745C6">
              <w:rPr>
                <w:rFonts w:ascii="Arial" w:eastAsia="Times New Roman" w:hAnsi="Arial" w:cs="Arial"/>
                <w:sz w:val="24"/>
                <w:szCs w:val="24"/>
              </w:rPr>
              <w:t xml:space="preserve"> </w:t>
            </w:r>
            <w:r w:rsidRPr="003745C6">
              <w:rPr>
                <w:rFonts w:ascii="Arial" w:eastAsia="Times New Roman" w:hAnsi="Arial" w:cs="Arial"/>
                <w:sz w:val="24"/>
                <w:szCs w:val="24"/>
              </w:rPr>
              <w:t>per manager</w:t>
            </w:r>
          </w:p>
        </w:tc>
      </w:tr>
      <w:tr w:rsidR="00F6563A" w:rsidRPr="003745C6" w14:paraId="4B900DD6" w14:textId="77777777" w:rsidTr="005D2537">
        <w:trPr>
          <w:trHeight w:val="340"/>
        </w:trPr>
        <w:tc>
          <w:tcPr>
            <w:tcW w:w="5670" w:type="dxa"/>
            <w:shd w:val="clear" w:color="auto" w:fill="auto"/>
            <w:vAlign w:val="center"/>
          </w:tcPr>
          <w:p w14:paraId="1A19D8A7" w14:textId="77777777" w:rsidR="00F6563A" w:rsidRPr="003745C6" w:rsidRDefault="00F6563A" w:rsidP="005D2537">
            <w:pPr>
              <w:pStyle w:val="ListParagraph"/>
              <w:spacing w:after="0"/>
              <w:ind w:left="0"/>
              <w:contextualSpacing w:val="0"/>
              <w:rPr>
                <w:rFonts w:ascii="Arial" w:eastAsia="Times New Roman" w:hAnsi="Arial" w:cs="Arial"/>
                <w:sz w:val="24"/>
                <w:szCs w:val="24"/>
              </w:rPr>
            </w:pPr>
            <w:r w:rsidRPr="003745C6">
              <w:rPr>
                <w:rFonts w:ascii="Arial" w:eastAsia="Times New Roman" w:hAnsi="Arial" w:cs="Arial"/>
                <w:sz w:val="24"/>
                <w:szCs w:val="24"/>
              </w:rPr>
              <w:t>Negotiable instruments held in a broker’s nominee account</w:t>
            </w:r>
          </w:p>
        </w:tc>
        <w:tc>
          <w:tcPr>
            <w:tcW w:w="2693" w:type="dxa"/>
            <w:shd w:val="clear" w:color="auto" w:fill="auto"/>
            <w:vAlign w:val="center"/>
          </w:tcPr>
          <w:p w14:paraId="6C992E3F" w14:textId="77777777" w:rsidR="00F6563A" w:rsidRPr="003745C6" w:rsidRDefault="00F6563A" w:rsidP="005D2537">
            <w:pPr>
              <w:pStyle w:val="ListParagraph"/>
              <w:spacing w:after="0"/>
              <w:ind w:left="0"/>
              <w:contextualSpacing w:val="0"/>
              <w:jc w:val="center"/>
              <w:rPr>
                <w:rFonts w:ascii="Arial" w:eastAsia="Times New Roman" w:hAnsi="Arial" w:cs="Arial"/>
                <w:sz w:val="24"/>
                <w:szCs w:val="24"/>
              </w:rPr>
            </w:pPr>
            <w:r w:rsidRPr="003745C6">
              <w:rPr>
                <w:rFonts w:ascii="Arial" w:hAnsi="Arial" w:cs="Arial"/>
                <w:sz w:val="24"/>
                <w:szCs w:val="24"/>
              </w:rPr>
              <w:t>£</w:t>
            </w:r>
            <w:r w:rsidR="00366EA4">
              <w:rPr>
                <w:rFonts w:ascii="Arial" w:hAnsi="Arial" w:cs="Arial"/>
                <w:sz w:val="24"/>
                <w:szCs w:val="24"/>
              </w:rPr>
              <w:t>7</w:t>
            </w:r>
            <w:r w:rsidRPr="003745C6">
              <w:rPr>
                <w:rFonts w:ascii="Arial" w:hAnsi="Arial" w:cs="Arial"/>
                <w:sz w:val="24"/>
                <w:szCs w:val="24"/>
              </w:rPr>
              <w:t>m</w:t>
            </w:r>
            <w:r w:rsidRPr="003745C6">
              <w:rPr>
                <w:rFonts w:ascii="Arial" w:eastAsia="Times New Roman" w:hAnsi="Arial" w:cs="Arial"/>
                <w:sz w:val="24"/>
                <w:szCs w:val="24"/>
              </w:rPr>
              <w:t xml:space="preserve"> per broker</w:t>
            </w:r>
            <w:r w:rsidR="003D17F2">
              <w:rPr>
                <w:rFonts w:ascii="Arial" w:eastAsia="Times New Roman" w:hAnsi="Arial" w:cs="Arial"/>
                <w:sz w:val="24"/>
                <w:szCs w:val="24"/>
              </w:rPr>
              <w:t xml:space="preserve"> (1)</w:t>
            </w:r>
          </w:p>
        </w:tc>
      </w:tr>
      <w:tr w:rsidR="00F6563A" w:rsidRPr="003745C6" w14:paraId="3F9436A6" w14:textId="77777777" w:rsidTr="005D2537">
        <w:trPr>
          <w:trHeight w:val="340"/>
        </w:trPr>
        <w:tc>
          <w:tcPr>
            <w:tcW w:w="5670" w:type="dxa"/>
            <w:shd w:val="clear" w:color="auto" w:fill="auto"/>
            <w:vAlign w:val="center"/>
          </w:tcPr>
          <w:p w14:paraId="706FBAC2" w14:textId="77777777" w:rsidR="00F6563A" w:rsidRPr="003745C6" w:rsidRDefault="00F6563A" w:rsidP="005D2537">
            <w:pPr>
              <w:pStyle w:val="ListParagraph"/>
              <w:spacing w:after="0"/>
              <w:ind w:left="0"/>
              <w:contextualSpacing w:val="0"/>
              <w:rPr>
                <w:rFonts w:ascii="Arial" w:eastAsia="Times New Roman" w:hAnsi="Arial" w:cs="Arial"/>
                <w:sz w:val="24"/>
                <w:szCs w:val="24"/>
              </w:rPr>
            </w:pPr>
            <w:r w:rsidRPr="003745C6">
              <w:rPr>
                <w:rFonts w:ascii="Arial" w:eastAsia="Times New Roman" w:hAnsi="Arial" w:cs="Arial"/>
                <w:sz w:val="24"/>
                <w:szCs w:val="24"/>
              </w:rPr>
              <w:t>Foreign countries</w:t>
            </w:r>
          </w:p>
        </w:tc>
        <w:tc>
          <w:tcPr>
            <w:tcW w:w="2693" w:type="dxa"/>
            <w:shd w:val="clear" w:color="auto" w:fill="auto"/>
            <w:vAlign w:val="center"/>
          </w:tcPr>
          <w:p w14:paraId="095C9386" w14:textId="77777777" w:rsidR="00F6563A" w:rsidRPr="003745C6" w:rsidRDefault="00F6563A" w:rsidP="005D2537">
            <w:pPr>
              <w:pStyle w:val="ListParagraph"/>
              <w:spacing w:after="0"/>
              <w:ind w:left="0"/>
              <w:contextualSpacing w:val="0"/>
              <w:jc w:val="center"/>
              <w:rPr>
                <w:rFonts w:ascii="Arial" w:eastAsia="Times New Roman" w:hAnsi="Arial" w:cs="Arial"/>
                <w:sz w:val="24"/>
                <w:szCs w:val="24"/>
              </w:rPr>
            </w:pPr>
            <w:r w:rsidRPr="003745C6">
              <w:rPr>
                <w:rFonts w:ascii="Arial" w:hAnsi="Arial" w:cs="Arial"/>
                <w:sz w:val="24"/>
                <w:szCs w:val="24"/>
              </w:rPr>
              <w:t>£</w:t>
            </w:r>
            <w:r w:rsidR="00366EA4">
              <w:rPr>
                <w:rFonts w:ascii="Arial" w:hAnsi="Arial" w:cs="Arial"/>
                <w:sz w:val="24"/>
                <w:szCs w:val="24"/>
              </w:rPr>
              <w:t>7</w:t>
            </w:r>
            <w:r w:rsidRPr="003745C6">
              <w:rPr>
                <w:rFonts w:ascii="Arial" w:hAnsi="Arial" w:cs="Arial"/>
                <w:sz w:val="24"/>
                <w:szCs w:val="24"/>
              </w:rPr>
              <w:t>m</w:t>
            </w:r>
            <w:r w:rsidRPr="003745C6">
              <w:rPr>
                <w:rFonts w:ascii="Arial" w:eastAsia="Times New Roman" w:hAnsi="Arial" w:cs="Arial"/>
                <w:sz w:val="24"/>
                <w:szCs w:val="24"/>
              </w:rPr>
              <w:t xml:space="preserve"> per country</w:t>
            </w:r>
          </w:p>
        </w:tc>
      </w:tr>
    </w:tbl>
    <w:p w14:paraId="34015646" w14:textId="77777777" w:rsidR="007B2BB3" w:rsidRPr="003745C6" w:rsidRDefault="003D17F2" w:rsidP="003745C6">
      <w:pPr>
        <w:ind w:left="720"/>
        <w:rPr>
          <w:rFonts w:ascii="Arial" w:hAnsi="Arial" w:cs="Arial"/>
          <w:i/>
          <w:sz w:val="20"/>
          <w:szCs w:val="20"/>
        </w:rPr>
      </w:pPr>
      <w:r>
        <w:rPr>
          <w:rFonts w:ascii="Arial" w:hAnsi="Arial" w:cs="Arial"/>
          <w:i/>
          <w:sz w:val="20"/>
          <w:szCs w:val="20"/>
        </w:rPr>
        <w:br/>
        <w:t xml:space="preserve">1. </w:t>
      </w:r>
      <w:r w:rsidR="00A26FC5" w:rsidRPr="003745C6">
        <w:rPr>
          <w:rFonts w:ascii="Arial" w:hAnsi="Arial" w:cs="Arial"/>
          <w:i/>
          <w:sz w:val="20"/>
          <w:szCs w:val="20"/>
        </w:rPr>
        <w:t>T</w:t>
      </w:r>
      <w:r w:rsidR="00A26FC5" w:rsidRPr="00A26FC5">
        <w:rPr>
          <w:rFonts w:ascii="Arial" w:hAnsi="Arial" w:cs="Arial"/>
          <w:i/>
          <w:sz w:val="20"/>
          <w:szCs w:val="20"/>
        </w:rPr>
        <w:t xml:space="preserve">he limit </w:t>
      </w:r>
      <w:r w:rsidR="00A26FC5">
        <w:rPr>
          <w:rFonts w:ascii="Arial" w:hAnsi="Arial" w:cs="Arial"/>
          <w:i/>
          <w:sz w:val="20"/>
          <w:szCs w:val="20"/>
        </w:rPr>
        <w:t>for</w:t>
      </w:r>
      <w:r w:rsidR="00A26FC5" w:rsidRPr="003745C6">
        <w:rPr>
          <w:rFonts w:ascii="Arial" w:hAnsi="Arial" w:cs="Arial"/>
          <w:i/>
          <w:sz w:val="20"/>
          <w:szCs w:val="20"/>
        </w:rPr>
        <w:t xml:space="preserve"> nominee accounts does not apply to investments in </w:t>
      </w:r>
      <w:r>
        <w:rPr>
          <w:rFonts w:ascii="Arial" w:hAnsi="Arial" w:cs="Arial"/>
          <w:i/>
          <w:sz w:val="20"/>
          <w:szCs w:val="20"/>
        </w:rPr>
        <w:t>M</w:t>
      </w:r>
      <w:r w:rsidR="00A26FC5" w:rsidRPr="003745C6">
        <w:rPr>
          <w:rFonts w:ascii="Arial" w:hAnsi="Arial" w:cs="Arial"/>
          <w:i/>
          <w:sz w:val="20"/>
          <w:szCs w:val="20"/>
        </w:rPr>
        <w:t xml:space="preserve">oney Market Funds and their </w:t>
      </w:r>
      <w:r w:rsidR="00A26FC5" w:rsidRPr="00A26FC5">
        <w:rPr>
          <w:rFonts w:ascii="Arial" w:hAnsi="Arial" w:cs="Arial"/>
          <w:i/>
          <w:sz w:val="20"/>
          <w:szCs w:val="20"/>
        </w:rPr>
        <w:t>nominee</w:t>
      </w:r>
      <w:r w:rsidR="00A26FC5">
        <w:rPr>
          <w:rFonts w:ascii="Arial" w:hAnsi="Arial" w:cs="Arial"/>
          <w:i/>
          <w:sz w:val="20"/>
          <w:szCs w:val="20"/>
        </w:rPr>
        <w:t xml:space="preserve"> companies</w:t>
      </w:r>
    </w:p>
    <w:p w14:paraId="32577859" w14:textId="77777777" w:rsidR="00276767" w:rsidRPr="00E1158E" w:rsidRDefault="00A15D32" w:rsidP="003C1688">
      <w:pPr>
        <w:rPr>
          <w:rFonts w:ascii="Arial" w:hAnsi="Arial" w:cs="Arial"/>
          <w:sz w:val="24"/>
          <w:szCs w:val="24"/>
        </w:rPr>
      </w:pPr>
      <w:r>
        <w:rPr>
          <w:rFonts w:ascii="Arial" w:hAnsi="Arial" w:cs="Arial"/>
          <w:b/>
          <w:sz w:val="24"/>
          <w:szCs w:val="24"/>
        </w:rPr>
        <w:t>Counterpart</w:t>
      </w:r>
      <w:r w:rsidR="003D17F2">
        <w:rPr>
          <w:rFonts w:ascii="Arial" w:hAnsi="Arial" w:cs="Arial"/>
          <w:b/>
          <w:sz w:val="24"/>
          <w:szCs w:val="24"/>
        </w:rPr>
        <w:t>ies</w:t>
      </w:r>
    </w:p>
    <w:p w14:paraId="60B0BBA8" w14:textId="77777777" w:rsidR="00523040" w:rsidRPr="00E1158E" w:rsidRDefault="00523040" w:rsidP="00523040">
      <w:pPr>
        <w:rPr>
          <w:rFonts w:ascii="Arial" w:hAnsi="Arial" w:cs="Arial"/>
          <w:sz w:val="24"/>
          <w:szCs w:val="24"/>
        </w:rPr>
      </w:pPr>
      <w:r w:rsidRPr="00E1158E">
        <w:rPr>
          <w:rFonts w:ascii="Arial" w:hAnsi="Arial" w:cs="Arial"/>
          <w:b/>
          <w:sz w:val="24"/>
          <w:szCs w:val="24"/>
        </w:rPr>
        <w:t>Government</w:t>
      </w:r>
    </w:p>
    <w:p w14:paraId="771C0740" w14:textId="77777777" w:rsidR="00523040" w:rsidRDefault="00523040" w:rsidP="00523040">
      <w:pPr>
        <w:rPr>
          <w:rFonts w:ascii="Trebuchet MS" w:hAnsi="Trebuchet MS"/>
          <w:b/>
          <w:sz w:val="20"/>
          <w:szCs w:val="20"/>
          <w:highlight w:val="yellow"/>
        </w:rPr>
      </w:pPr>
      <w:r w:rsidRPr="00523040">
        <w:rPr>
          <w:rFonts w:ascii="Arial" w:hAnsi="Arial" w:cs="Arial"/>
          <w:sz w:val="24"/>
          <w:szCs w:val="24"/>
        </w:rPr>
        <w:t xml:space="preserve">Loans to, and bonds and bills issued or guaranteed by, national governments, regional and local </w:t>
      </w:r>
      <w:r w:rsidR="002536CB" w:rsidRPr="00523040">
        <w:rPr>
          <w:rFonts w:ascii="Arial" w:hAnsi="Arial" w:cs="Arial"/>
          <w:sz w:val="24"/>
          <w:szCs w:val="24"/>
        </w:rPr>
        <w:t>authorities,</w:t>
      </w:r>
      <w:r w:rsidRPr="00523040">
        <w:rPr>
          <w:rFonts w:ascii="Arial" w:hAnsi="Arial" w:cs="Arial"/>
          <w:sz w:val="24"/>
          <w:szCs w:val="24"/>
        </w:rPr>
        <w:t xml:space="preserve"> and multilateral development banks. These investments are not subject to bail-in, and there is generally a lower risk of insolvency, although they are not zero risk. Investments with the UK Government are deemed to be zero credit risk due to its ability to create additional currency and therefore may be made in unlimited amounts for up to 50 years</w:t>
      </w:r>
      <w:r w:rsidR="00B33950">
        <w:rPr>
          <w:rFonts w:ascii="Arial" w:hAnsi="Arial" w:cs="Arial"/>
          <w:sz w:val="24"/>
          <w:szCs w:val="24"/>
        </w:rPr>
        <w:t>.</w:t>
      </w:r>
    </w:p>
    <w:p w14:paraId="094F1FAF" w14:textId="77777777" w:rsidR="00BC4D2D" w:rsidRPr="003745C6" w:rsidRDefault="00523040" w:rsidP="003C1688">
      <w:pPr>
        <w:rPr>
          <w:rFonts w:ascii="Arial" w:hAnsi="Arial" w:cs="Arial"/>
          <w:b/>
          <w:sz w:val="24"/>
          <w:szCs w:val="24"/>
        </w:rPr>
      </w:pPr>
      <w:r w:rsidRPr="003745C6">
        <w:rPr>
          <w:rFonts w:ascii="Arial" w:hAnsi="Arial" w:cs="Arial"/>
          <w:b/>
          <w:sz w:val="24"/>
          <w:szCs w:val="24"/>
        </w:rPr>
        <w:t xml:space="preserve">Secured </w:t>
      </w:r>
      <w:proofErr w:type="gramStart"/>
      <w:r w:rsidRPr="003745C6">
        <w:rPr>
          <w:rFonts w:ascii="Arial" w:hAnsi="Arial" w:cs="Arial"/>
          <w:b/>
          <w:sz w:val="24"/>
          <w:szCs w:val="24"/>
        </w:rPr>
        <w:t>investments</w:t>
      </w:r>
      <w:proofErr w:type="gramEnd"/>
    </w:p>
    <w:p w14:paraId="3B7F32BF" w14:textId="77777777" w:rsidR="00523040" w:rsidRDefault="00523040" w:rsidP="003C1688">
      <w:pPr>
        <w:rPr>
          <w:rFonts w:ascii="Arial" w:hAnsi="Arial" w:cs="Arial"/>
          <w:sz w:val="24"/>
          <w:szCs w:val="24"/>
        </w:rPr>
      </w:pPr>
      <w:r w:rsidRPr="003745C6">
        <w:rPr>
          <w:rFonts w:ascii="Arial" w:hAnsi="Arial" w:cs="Arial"/>
          <w:sz w:val="24"/>
          <w:szCs w:val="24"/>
        </w:rPr>
        <w:t>Investments secured on the borrower’s assets, which limits the potential losses in the event of insolvency. The amount and quality of the security will be a key factor in the investment decision. Covered bonds and reverse repurchase agreements with banks and building societies are exempt from bail-in. Where there is no investment specific credit rating, but the collateral upon which the investment is secured has a credit rating, the higher of the collateral credit rating and the counterparty credit rating will be used. The combined secured and unsecured investments with any one counterparty will not exceed the cash limit for secured investments</w:t>
      </w:r>
      <w:r w:rsidR="00B33950">
        <w:rPr>
          <w:rFonts w:ascii="Arial" w:hAnsi="Arial" w:cs="Arial"/>
          <w:sz w:val="24"/>
          <w:szCs w:val="24"/>
        </w:rPr>
        <w:t>.</w:t>
      </w:r>
    </w:p>
    <w:p w14:paraId="19CAAFBE" w14:textId="77777777" w:rsidR="00BC4D2D" w:rsidRDefault="00523040" w:rsidP="00523040">
      <w:pPr>
        <w:pStyle w:val="ListParagraph"/>
        <w:ind w:left="0"/>
        <w:contextualSpacing w:val="0"/>
        <w:jc w:val="both"/>
        <w:rPr>
          <w:rFonts w:ascii="Arial" w:hAnsi="Arial" w:cs="Arial"/>
          <w:sz w:val="24"/>
          <w:szCs w:val="24"/>
        </w:rPr>
      </w:pPr>
      <w:r w:rsidRPr="003745C6">
        <w:rPr>
          <w:rFonts w:ascii="Arial" w:hAnsi="Arial" w:cs="Arial"/>
          <w:b/>
          <w:sz w:val="24"/>
          <w:szCs w:val="24"/>
        </w:rPr>
        <w:t>Banks and building societies (unsecured)</w:t>
      </w:r>
      <w:r w:rsidRPr="003745C6">
        <w:rPr>
          <w:rFonts w:ascii="Arial" w:hAnsi="Arial" w:cs="Arial"/>
          <w:sz w:val="24"/>
          <w:szCs w:val="24"/>
        </w:rPr>
        <w:t xml:space="preserve"> </w:t>
      </w:r>
    </w:p>
    <w:p w14:paraId="0FC4C426" w14:textId="77777777" w:rsidR="00523040" w:rsidRPr="003745C6" w:rsidRDefault="00523040" w:rsidP="00523040">
      <w:pPr>
        <w:pStyle w:val="ListParagraph"/>
        <w:ind w:left="0"/>
        <w:contextualSpacing w:val="0"/>
        <w:jc w:val="both"/>
        <w:rPr>
          <w:rFonts w:ascii="Arial" w:hAnsi="Arial" w:cs="Arial"/>
          <w:sz w:val="24"/>
          <w:szCs w:val="24"/>
        </w:rPr>
      </w:pPr>
      <w:r w:rsidRPr="003745C6">
        <w:rPr>
          <w:rFonts w:ascii="Arial" w:hAnsi="Arial" w:cs="Arial"/>
          <w:sz w:val="24"/>
          <w:szCs w:val="24"/>
        </w:rPr>
        <w:t>Accounts, deposits, certificates of deposit and senior unsecured bonds with banks and building societies, other than multilateral development banks. These investments are subject to the risk of credit loss via a bail-in should the regulator determine that the bank is failing or likely to fail. See below for arrangements relating to operational bank accounts.</w:t>
      </w:r>
    </w:p>
    <w:p w14:paraId="0AA59B28" w14:textId="77777777" w:rsidR="00BC4D2D" w:rsidRDefault="00BC4D2D" w:rsidP="00523040">
      <w:pPr>
        <w:rPr>
          <w:rFonts w:ascii="Arial" w:hAnsi="Arial" w:cs="Arial"/>
          <w:b/>
          <w:sz w:val="24"/>
          <w:szCs w:val="24"/>
        </w:rPr>
      </w:pPr>
      <w:r w:rsidRPr="00AD2B6F">
        <w:rPr>
          <w:rFonts w:ascii="Arial" w:hAnsi="Arial" w:cs="Arial"/>
          <w:b/>
          <w:sz w:val="24"/>
          <w:szCs w:val="24"/>
        </w:rPr>
        <w:t>Money market funds</w:t>
      </w:r>
    </w:p>
    <w:p w14:paraId="0E3E0D99" w14:textId="77777777" w:rsidR="00523040" w:rsidRPr="003745C6" w:rsidRDefault="00523040" w:rsidP="00523040">
      <w:pPr>
        <w:rPr>
          <w:rFonts w:ascii="Arial" w:hAnsi="Arial" w:cs="Arial"/>
          <w:sz w:val="24"/>
          <w:szCs w:val="24"/>
        </w:rPr>
      </w:pPr>
      <w:r w:rsidRPr="003745C6">
        <w:rPr>
          <w:rFonts w:ascii="Arial" w:hAnsi="Arial" w:cs="Arial"/>
          <w:sz w:val="24"/>
          <w:szCs w:val="24"/>
        </w:rPr>
        <w:t xml:space="preserve">Pooled funds that offer same-day or short notice liquidity and very low or no price volatility by investing in short-term money markets. They have the advantage over bank accounts of providing wide diversification of investment risks, coupled with the services of a professional fund manager in return for a small fee. Although no sector limit applies to </w:t>
      </w:r>
      <w:r w:rsidRPr="003745C6">
        <w:rPr>
          <w:rFonts w:ascii="Arial" w:hAnsi="Arial" w:cs="Arial"/>
          <w:sz w:val="24"/>
          <w:szCs w:val="24"/>
        </w:rPr>
        <w:lastRenderedPageBreak/>
        <w:t>money market funds, the Authority will take care to diversify its liquid investments over a variety of providers to ensure access to cash at all times.</w:t>
      </w:r>
      <w:r w:rsidR="00DD41F9">
        <w:rPr>
          <w:rFonts w:ascii="Arial" w:hAnsi="Arial" w:cs="Arial"/>
          <w:sz w:val="24"/>
          <w:szCs w:val="24"/>
        </w:rPr>
        <w:t xml:space="preserve"> </w:t>
      </w:r>
    </w:p>
    <w:p w14:paraId="7D9C65AB" w14:textId="77777777" w:rsidR="00BC4D2D" w:rsidRDefault="00523040" w:rsidP="003C1688">
      <w:pPr>
        <w:rPr>
          <w:rFonts w:ascii="Arial" w:hAnsi="Arial" w:cs="Arial"/>
          <w:sz w:val="24"/>
          <w:szCs w:val="24"/>
        </w:rPr>
      </w:pPr>
      <w:r w:rsidRPr="003745C6">
        <w:rPr>
          <w:rFonts w:ascii="Arial" w:hAnsi="Arial" w:cs="Arial"/>
          <w:b/>
          <w:bCs/>
          <w:sz w:val="24"/>
          <w:szCs w:val="24"/>
        </w:rPr>
        <w:t>Strategic</w:t>
      </w:r>
      <w:r w:rsidR="00BC4D2D" w:rsidRPr="00AD2B6F">
        <w:rPr>
          <w:rFonts w:ascii="Arial" w:hAnsi="Arial" w:cs="Arial"/>
          <w:b/>
          <w:bCs/>
          <w:sz w:val="24"/>
          <w:szCs w:val="24"/>
        </w:rPr>
        <w:t xml:space="preserve"> pooled funds</w:t>
      </w:r>
      <w:r w:rsidRPr="003745C6">
        <w:rPr>
          <w:rFonts w:ascii="Arial" w:hAnsi="Arial" w:cs="Arial"/>
          <w:sz w:val="24"/>
          <w:szCs w:val="24"/>
        </w:rPr>
        <w:t xml:space="preserve"> </w:t>
      </w:r>
    </w:p>
    <w:p w14:paraId="73F54F13" w14:textId="77777777" w:rsidR="00523040" w:rsidRPr="003745C6" w:rsidRDefault="00523040" w:rsidP="003C1688">
      <w:pPr>
        <w:rPr>
          <w:rFonts w:ascii="Arial" w:hAnsi="Arial" w:cs="Arial"/>
          <w:sz w:val="24"/>
          <w:szCs w:val="24"/>
        </w:rPr>
      </w:pPr>
      <w:r w:rsidRPr="003745C6">
        <w:rPr>
          <w:rFonts w:ascii="Arial" w:hAnsi="Arial" w:cs="Arial"/>
          <w:sz w:val="24"/>
          <w:szCs w:val="24"/>
        </w:rPr>
        <w:t>Bond, equity</w:t>
      </w:r>
      <w:r w:rsidR="00B33950">
        <w:rPr>
          <w:rFonts w:ascii="Arial" w:hAnsi="Arial" w:cs="Arial"/>
          <w:sz w:val="24"/>
          <w:szCs w:val="24"/>
        </w:rPr>
        <w:t>,</w:t>
      </w:r>
      <w:r w:rsidRPr="003745C6">
        <w:rPr>
          <w:rFonts w:ascii="Arial" w:hAnsi="Arial" w:cs="Arial"/>
          <w:sz w:val="24"/>
          <w:szCs w:val="24"/>
        </w:rPr>
        <w:t xml:space="preserve"> and property funds that offer enhanced returns over the longer term but are more volatile in the short term.  These allow the Authority to diversify into asset classes other than cash without the need to own and manage the underlying investments. Because these funds have no defined maturity date, but are available for withdrawal after a notice period, their performance and continued suitability in meeting the Authority’s investment objectives will be monitored regularly</w:t>
      </w:r>
      <w:r w:rsidR="00B33950">
        <w:rPr>
          <w:rFonts w:ascii="Arial" w:hAnsi="Arial" w:cs="Arial"/>
          <w:sz w:val="24"/>
          <w:szCs w:val="24"/>
        </w:rPr>
        <w:t>.</w:t>
      </w:r>
    </w:p>
    <w:p w14:paraId="24E772C8" w14:textId="77777777" w:rsidR="00523040" w:rsidRPr="00AD2B6F" w:rsidRDefault="00523040" w:rsidP="00523040">
      <w:pPr>
        <w:rPr>
          <w:rFonts w:ascii="Arial" w:hAnsi="Arial" w:cs="Arial"/>
          <w:sz w:val="24"/>
          <w:szCs w:val="24"/>
        </w:rPr>
      </w:pPr>
      <w:r w:rsidRPr="00AD2B6F">
        <w:rPr>
          <w:rFonts w:ascii="Arial" w:hAnsi="Arial" w:cs="Arial"/>
          <w:sz w:val="24"/>
          <w:szCs w:val="24"/>
        </w:rPr>
        <w:t>Where investments in pooled funds or other financial assets have prices or values that can vary according to fund performance and other factors, the investment limits in table 4 will operate to regulate the initial purchase cost (total initial investment) only.</w:t>
      </w:r>
    </w:p>
    <w:p w14:paraId="5E2B2544" w14:textId="77777777" w:rsidR="00BC4D2D" w:rsidRDefault="00926BCB" w:rsidP="003C1688">
      <w:pPr>
        <w:rPr>
          <w:rFonts w:ascii="Arial" w:hAnsi="Arial" w:cs="Arial"/>
          <w:b/>
          <w:sz w:val="24"/>
          <w:szCs w:val="24"/>
        </w:rPr>
      </w:pPr>
      <w:r w:rsidRPr="00926BCB">
        <w:rPr>
          <w:rFonts w:ascii="Arial" w:hAnsi="Arial" w:cs="Arial"/>
          <w:b/>
          <w:sz w:val="24"/>
          <w:szCs w:val="24"/>
        </w:rPr>
        <w:t>Real estate investment trusts</w:t>
      </w:r>
      <w:r w:rsidR="000E2131">
        <w:rPr>
          <w:rFonts w:ascii="Arial" w:hAnsi="Arial" w:cs="Arial"/>
          <w:b/>
          <w:sz w:val="24"/>
          <w:szCs w:val="24"/>
        </w:rPr>
        <w:t xml:space="preserve"> (REIT)</w:t>
      </w:r>
    </w:p>
    <w:p w14:paraId="38418DE6" w14:textId="77777777" w:rsidR="00926BCB" w:rsidRDefault="00926BCB" w:rsidP="003C1688">
      <w:pPr>
        <w:rPr>
          <w:rFonts w:ascii="Arial" w:hAnsi="Arial" w:cs="Arial"/>
          <w:sz w:val="24"/>
          <w:szCs w:val="24"/>
        </w:rPr>
      </w:pPr>
      <w:r w:rsidRPr="00D52EBA">
        <w:rPr>
          <w:rFonts w:ascii="Arial" w:hAnsi="Arial" w:cs="Arial"/>
          <w:sz w:val="24"/>
          <w:szCs w:val="24"/>
        </w:rPr>
        <w:t>Shares in companies that invest mainly in real estate and pay the majority of their rental income to investors in a similar manner to pooled property funds. As with property funds, REITs offer enhanced returns over the longer term, but are more volatile especially as the share price reflects changing demand for the shares as well as changes in the value of the underlying properties. Investments in REIT shares cannot be withdrawn but can be sold on the stock market to another investor.</w:t>
      </w:r>
    </w:p>
    <w:p w14:paraId="45ED957C" w14:textId="77777777" w:rsidR="00276767" w:rsidRPr="00E1158E" w:rsidRDefault="00EB2FE2" w:rsidP="00AD2B6F">
      <w:pPr>
        <w:rPr>
          <w:rFonts w:ascii="Arial" w:hAnsi="Arial" w:cs="Arial"/>
          <w:b/>
          <w:sz w:val="24"/>
          <w:szCs w:val="24"/>
        </w:rPr>
      </w:pPr>
      <w:r w:rsidRPr="00E1158E">
        <w:rPr>
          <w:rFonts w:ascii="Arial" w:hAnsi="Arial" w:cs="Arial"/>
          <w:b/>
          <w:sz w:val="24"/>
          <w:szCs w:val="24"/>
        </w:rPr>
        <w:t>Operational bank accounts</w:t>
      </w:r>
    </w:p>
    <w:p w14:paraId="468C8339" w14:textId="77777777" w:rsidR="004935A9" w:rsidRDefault="00EB2FE2" w:rsidP="003745C6">
      <w:pPr>
        <w:pStyle w:val="ListParagraph"/>
        <w:ind w:left="0"/>
        <w:contextualSpacing w:val="0"/>
        <w:rPr>
          <w:rFonts w:ascii="Arial" w:hAnsi="Arial" w:cs="Arial"/>
          <w:b/>
          <w:sz w:val="24"/>
          <w:szCs w:val="24"/>
        </w:rPr>
      </w:pPr>
      <w:r w:rsidRPr="00E1158E">
        <w:rPr>
          <w:rFonts w:ascii="Arial" w:hAnsi="Arial" w:cs="Arial"/>
          <w:sz w:val="24"/>
          <w:szCs w:val="24"/>
        </w:rPr>
        <w:t xml:space="preserve">The Authority may incur operational exposures, for example though current accounts, collection accounts and merchant acquiring services, to any UK bank with credit ratings no lower than BBB- and with assets greater than £25 billion. These are not classed as </w:t>
      </w:r>
      <w:r w:rsidR="002536CB" w:rsidRPr="00E1158E">
        <w:rPr>
          <w:rFonts w:ascii="Arial" w:hAnsi="Arial" w:cs="Arial"/>
          <w:sz w:val="24"/>
          <w:szCs w:val="24"/>
        </w:rPr>
        <w:t>investments but</w:t>
      </w:r>
      <w:r w:rsidRPr="00E1158E">
        <w:rPr>
          <w:rFonts w:ascii="Arial" w:hAnsi="Arial" w:cs="Arial"/>
          <w:sz w:val="24"/>
          <w:szCs w:val="24"/>
        </w:rPr>
        <w:t xml:space="preserve"> are still subject to the risk of a bank bail-in, and balances will therefore be kept below </w:t>
      </w:r>
      <w:r w:rsidRPr="00A42C1B">
        <w:rPr>
          <w:rFonts w:ascii="Arial" w:hAnsi="Arial" w:cs="Arial"/>
          <w:sz w:val="24"/>
          <w:szCs w:val="24"/>
        </w:rPr>
        <w:t>£</w:t>
      </w:r>
      <w:r w:rsidR="00B33950" w:rsidRPr="00A42C1B">
        <w:rPr>
          <w:rFonts w:ascii="Arial" w:hAnsi="Arial" w:cs="Arial"/>
          <w:sz w:val="24"/>
          <w:szCs w:val="24"/>
        </w:rPr>
        <w:t>0</w:t>
      </w:r>
      <w:r w:rsidR="00C54039" w:rsidRPr="00A42C1B">
        <w:rPr>
          <w:rFonts w:ascii="Arial" w:hAnsi="Arial" w:cs="Arial"/>
          <w:sz w:val="24"/>
          <w:szCs w:val="24"/>
        </w:rPr>
        <w:t>.5m</w:t>
      </w:r>
      <w:r w:rsidR="00C54039" w:rsidRPr="00E1158E">
        <w:rPr>
          <w:rFonts w:ascii="Arial" w:hAnsi="Arial" w:cs="Arial"/>
          <w:sz w:val="24"/>
          <w:szCs w:val="24"/>
        </w:rPr>
        <w:t xml:space="preserve"> in total across all operational accounts</w:t>
      </w:r>
      <w:r w:rsidRPr="00E1158E">
        <w:rPr>
          <w:rFonts w:ascii="Arial" w:hAnsi="Arial" w:cs="Arial"/>
          <w:sz w:val="24"/>
          <w:szCs w:val="24"/>
        </w:rPr>
        <w:t xml:space="preserve">. </w:t>
      </w:r>
      <w:r w:rsidR="00A42C1B">
        <w:rPr>
          <w:rFonts w:ascii="Arial" w:hAnsi="Arial" w:cs="Arial"/>
          <w:sz w:val="24"/>
          <w:szCs w:val="24"/>
        </w:rPr>
        <w:t>The Bank of England has stated that in the event of failure, banks with assets greater than £25bn are more likely to be bailed-in than made insolvent, increasing the chance of the authority maintaining operational continuity.</w:t>
      </w:r>
    </w:p>
    <w:p w14:paraId="1792FEFF" w14:textId="77777777" w:rsidR="00BC4D2D" w:rsidRDefault="00AD2B6F" w:rsidP="003745C6">
      <w:pPr>
        <w:pStyle w:val="ListParagraph"/>
        <w:ind w:left="0"/>
        <w:contextualSpacing w:val="0"/>
        <w:rPr>
          <w:rFonts w:ascii="Arial" w:hAnsi="Arial" w:cs="Arial"/>
          <w:sz w:val="24"/>
          <w:szCs w:val="24"/>
        </w:rPr>
      </w:pPr>
      <w:r w:rsidRPr="003745C6">
        <w:rPr>
          <w:rFonts w:ascii="Arial" w:hAnsi="Arial" w:cs="Arial"/>
          <w:b/>
          <w:sz w:val="24"/>
          <w:szCs w:val="24"/>
        </w:rPr>
        <w:t>Other investments</w:t>
      </w:r>
      <w:r w:rsidR="00523040" w:rsidRPr="003745C6">
        <w:rPr>
          <w:rFonts w:ascii="Arial" w:hAnsi="Arial" w:cs="Arial"/>
          <w:sz w:val="24"/>
          <w:szCs w:val="24"/>
        </w:rPr>
        <w:t xml:space="preserve"> </w:t>
      </w:r>
    </w:p>
    <w:p w14:paraId="7D4D3594" w14:textId="77777777" w:rsidR="00523040" w:rsidRPr="003745C6" w:rsidRDefault="00523040" w:rsidP="003745C6">
      <w:pPr>
        <w:pStyle w:val="ListParagraph"/>
        <w:ind w:left="0"/>
        <w:contextualSpacing w:val="0"/>
        <w:rPr>
          <w:rFonts w:ascii="Arial" w:hAnsi="Arial" w:cs="Arial"/>
          <w:sz w:val="24"/>
          <w:szCs w:val="24"/>
        </w:rPr>
      </w:pPr>
      <w:r w:rsidRPr="003745C6">
        <w:rPr>
          <w:rFonts w:ascii="Arial" w:hAnsi="Arial" w:cs="Arial"/>
          <w:sz w:val="24"/>
          <w:szCs w:val="24"/>
        </w:rPr>
        <w:t xml:space="preserve">This category covers treasury investments not listed above, for example unsecured corporate bonds and company loans. Non-bank companies cannot be bailed-in but can become insolvent placing the Authority’s investment at risk. </w:t>
      </w:r>
    </w:p>
    <w:p w14:paraId="160D70C5" w14:textId="77777777" w:rsidR="0006701E" w:rsidRPr="00E1158E" w:rsidRDefault="008742A0" w:rsidP="003C1688">
      <w:pPr>
        <w:rPr>
          <w:rFonts w:ascii="Arial" w:hAnsi="Arial" w:cs="Arial"/>
          <w:sz w:val="24"/>
          <w:szCs w:val="24"/>
        </w:rPr>
      </w:pPr>
      <w:r w:rsidRPr="00E1158E">
        <w:rPr>
          <w:rFonts w:ascii="Arial" w:hAnsi="Arial" w:cs="Arial"/>
          <w:sz w:val="24"/>
          <w:szCs w:val="24"/>
        </w:rPr>
        <w:t>For corporate bonds, t</w:t>
      </w:r>
      <w:r w:rsidR="0006701E" w:rsidRPr="00E1158E">
        <w:rPr>
          <w:rFonts w:ascii="Arial" w:hAnsi="Arial" w:cs="Arial"/>
          <w:sz w:val="24"/>
          <w:szCs w:val="24"/>
        </w:rPr>
        <w:t xml:space="preserve">he limits </w:t>
      </w:r>
      <w:r w:rsidRPr="00E1158E">
        <w:rPr>
          <w:rFonts w:ascii="Arial" w:hAnsi="Arial" w:cs="Arial"/>
          <w:sz w:val="24"/>
          <w:szCs w:val="24"/>
        </w:rPr>
        <w:t xml:space="preserve">referred to in table </w:t>
      </w:r>
      <w:r w:rsidR="009B2917">
        <w:rPr>
          <w:rFonts w:ascii="Arial" w:hAnsi="Arial" w:cs="Arial"/>
          <w:sz w:val="24"/>
          <w:szCs w:val="24"/>
        </w:rPr>
        <w:t>3</w:t>
      </w:r>
      <w:r w:rsidRPr="00E1158E">
        <w:rPr>
          <w:rFonts w:ascii="Arial" w:hAnsi="Arial" w:cs="Arial"/>
          <w:sz w:val="24"/>
          <w:szCs w:val="24"/>
        </w:rPr>
        <w:t xml:space="preserve"> </w:t>
      </w:r>
      <w:r w:rsidR="0006701E" w:rsidRPr="00E1158E">
        <w:rPr>
          <w:rFonts w:ascii="Arial" w:hAnsi="Arial" w:cs="Arial"/>
          <w:sz w:val="24"/>
          <w:szCs w:val="24"/>
        </w:rPr>
        <w:t xml:space="preserve">will apply to the sum of </w:t>
      </w:r>
      <w:r w:rsidRPr="00E1158E">
        <w:rPr>
          <w:rFonts w:ascii="Arial" w:hAnsi="Arial" w:cs="Arial"/>
          <w:sz w:val="24"/>
          <w:szCs w:val="24"/>
        </w:rPr>
        <w:t>bond principal (par value) and any premium or discount paid to acquire the bond in the secondary market.</w:t>
      </w:r>
      <w:r w:rsidR="006206DD" w:rsidRPr="00E1158E">
        <w:rPr>
          <w:rFonts w:ascii="Arial" w:hAnsi="Arial" w:cs="Arial"/>
          <w:sz w:val="24"/>
          <w:szCs w:val="24"/>
        </w:rPr>
        <w:t xml:space="preserve"> The limit will exclude the accrued interest element paid to secure a secondary bond as this is recoverable on maturity of the Bond.</w:t>
      </w:r>
    </w:p>
    <w:p w14:paraId="1CABEEBD" w14:textId="77777777" w:rsidR="00276767" w:rsidRPr="00E1158E" w:rsidRDefault="00656EB5" w:rsidP="003C1688">
      <w:pPr>
        <w:rPr>
          <w:rFonts w:ascii="Arial" w:hAnsi="Arial" w:cs="Arial"/>
          <w:sz w:val="24"/>
          <w:szCs w:val="24"/>
        </w:rPr>
      </w:pPr>
      <w:r>
        <w:rPr>
          <w:rFonts w:ascii="Arial" w:hAnsi="Arial" w:cs="Arial"/>
          <w:b/>
          <w:sz w:val="24"/>
          <w:szCs w:val="24"/>
        </w:rPr>
        <w:lastRenderedPageBreak/>
        <w:br/>
      </w:r>
      <w:r w:rsidR="00FE46B2" w:rsidRPr="00E1158E">
        <w:rPr>
          <w:rFonts w:ascii="Arial" w:hAnsi="Arial" w:cs="Arial"/>
          <w:b/>
          <w:sz w:val="24"/>
          <w:szCs w:val="24"/>
        </w:rPr>
        <w:t>Risk Assessment and Credit Ratings</w:t>
      </w:r>
    </w:p>
    <w:p w14:paraId="0AF292D8" w14:textId="77777777" w:rsidR="00FE46B2" w:rsidRPr="00E1158E" w:rsidRDefault="00FE46B2" w:rsidP="003C1688">
      <w:pPr>
        <w:rPr>
          <w:rFonts w:ascii="Arial" w:hAnsi="Arial" w:cs="Arial"/>
          <w:sz w:val="24"/>
          <w:szCs w:val="24"/>
        </w:rPr>
      </w:pPr>
      <w:r w:rsidRPr="00E1158E">
        <w:rPr>
          <w:rFonts w:ascii="Arial" w:hAnsi="Arial" w:cs="Arial"/>
          <w:sz w:val="24"/>
          <w:szCs w:val="24"/>
        </w:rPr>
        <w:t xml:space="preserve">Credit ratings are obtained and monitored by the </w:t>
      </w:r>
      <w:r w:rsidR="008E75BB" w:rsidRPr="00E1158E">
        <w:rPr>
          <w:rFonts w:ascii="Arial" w:hAnsi="Arial" w:cs="Arial"/>
          <w:sz w:val="24"/>
          <w:szCs w:val="24"/>
        </w:rPr>
        <w:t>Council</w:t>
      </w:r>
      <w:r w:rsidRPr="00E1158E">
        <w:rPr>
          <w:rFonts w:ascii="Arial" w:hAnsi="Arial" w:cs="Arial"/>
          <w:sz w:val="24"/>
          <w:szCs w:val="24"/>
        </w:rPr>
        <w:t>’s treasury advis</w:t>
      </w:r>
      <w:r w:rsidR="00E94786" w:rsidRPr="00E1158E">
        <w:rPr>
          <w:rFonts w:ascii="Arial" w:hAnsi="Arial" w:cs="Arial"/>
          <w:sz w:val="24"/>
          <w:szCs w:val="24"/>
        </w:rPr>
        <w:t>o</w:t>
      </w:r>
      <w:r w:rsidRPr="00E1158E">
        <w:rPr>
          <w:rFonts w:ascii="Arial" w:hAnsi="Arial" w:cs="Arial"/>
          <w:sz w:val="24"/>
          <w:szCs w:val="24"/>
        </w:rPr>
        <w:t xml:space="preserve">rs, who will notify changes in </w:t>
      </w:r>
      <w:r w:rsidR="00B25E69" w:rsidRPr="00E1158E">
        <w:rPr>
          <w:rFonts w:ascii="Arial" w:hAnsi="Arial" w:cs="Arial"/>
          <w:sz w:val="24"/>
          <w:szCs w:val="24"/>
        </w:rPr>
        <w:t xml:space="preserve">the </w:t>
      </w:r>
      <w:r w:rsidRPr="00E1158E">
        <w:rPr>
          <w:rFonts w:ascii="Arial" w:hAnsi="Arial" w:cs="Arial"/>
          <w:sz w:val="24"/>
          <w:szCs w:val="24"/>
        </w:rPr>
        <w:t>ratings as they occur.  Where an entity has its credit rating downgraded so that it fails to meet the approved investment criteria then:</w:t>
      </w:r>
    </w:p>
    <w:p w14:paraId="16F81534" w14:textId="77777777" w:rsidR="00FE46B2" w:rsidRPr="00E1158E" w:rsidRDefault="00FE46B2" w:rsidP="00AA2347">
      <w:pPr>
        <w:pStyle w:val="ListParagraph"/>
        <w:numPr>
          <w:ilvl w:val="0"/>
          <w:numId w:val="7"/>
        </w:numPr>
        <w:spacing w:after="0"/>
        <w:contextualSpacing w:val="0"/>
        <w:rPr>
          <w:rFonts w:ascii="Arial" w:hAnsi="Arial" w:cs="Arial"/>
          <w:sz w:val="24"/>
          <w:szCs w:val="24"/>
        </w:rPr>
      </w:pPr>
      <w:r w:rsidRPr="00E1158E">
        <w:rPr>
          <w:rFonts w:ascii="Arial" w:hAnsi="Arial" w:cs="Arial"/>
          <w:sz w:val="24"/>
          <w:szCs w:val="24"/>
        </w:rPr>
        <w:t xml:space="preserve">no new investments will be </w:t>
      </w:r>
      <w:r w:rsidR="002536CB" w:rsidRPr="00E1158E">
        <w:rPr>
          <w:rFonts w:ascii="Arial" w:hAnsi="Arial" w:cs="Arial"/>
          <w:sz w:val="24"/>
          <w:szCs w:val="24"/>
        </w:rPr>
        <w:t>made</w:t>
      </w:r>
      <w:r w:rsidR="002536CB">
        <w:rPr>
          <w:rFonts w:ascii="Arial" w:hAnsi="Arial" w:cs="Arial"/>
          <w:sz w:val="24"/>
          <w:szCs w:val="24"/>
        </w:rPr>
        <w:t>.</w:t>
      </w:r>
    </w:p>
    <w:p w14:paraId="4652303A" w14:textId="77777777" w:rsidR="00FE46B2" w:rsidRPr="00E1158E" w:rsidRDefault="00FE46B2" w:rsidP="00AA2347">
      <w:pPr>
        <w:pStyle w:val="ListParagraph"/>
        <w:numPr>
          <w:ilvl w:val="0"/>
          <w:numId w:val="7"/>
        </w:numPr>
        <w:spacing w:after="0"/>
        <w:contextualSpacing w:val="0"/>
        <w:rPr>
          <w:rFonts w:ascii="Arial" w:hAnsi="Arial" w:cs="Arial"/>
          <w:sz w:val="24"/>
          <w:szCs w:val="24"/>
        </w:rPr>
      </w:pPr>
      <w:r w:rsidRPr="00E1158E">
        <w:rPr>
          <w:rFonts w:ascii="Arial" w:hAnsi="Arial" w:cs="Arial"/>
          <w:sz w:val="24"/>
          <w:szCs w:val="24"/>
        </w:rPr>
        <w:t xml:space="preserve">any existing investments that can be recalled or sold at no cost will </w:t>
      </w:r>
      <w:r w:rsidR="002536CB" w:rsidRPr="00E1158E">
        <w:rPr>
          <w:rFonts w:ascii="Arial" w:hAnsi="Arial" w:cs="Arial"/>
          <w:sz w:val="24"/>
          <w:szCs w:val="24"/>
        </w:rPr>
        <w:t>be</w:t>
      </w:r>
      <w:r w:rsidRPr="00E1158E">
        <w:rPr>
          <w:rFonts w:ascii="Arial" w:hAnsi="Arial" w:cs="Arial"/>
          <w:sz w:val="24"/>
          <w:szCs w:val="24"/>
        </w:rPr>
        <w:t xml:space="preserve"> and</w:t>
      </w:r>
      <w:r w:rsidR="00840C82">
        <w:rPr>
          <w:rFonts w:ascii="Arial" w:hAnsi="Arial" w:cs="Arial"/>
          <w:sz w:val="24"/>
          <w:szCs w:val="24"/>
        </w:rPr>
        <w:t>,</w:t>
      </w:r>
    </w:p>
    <w:p w14:paraId="5A10EDB8" w14:textId="77777777" w:rsidR="00FE46B2" w:rsidRPr="00E1158E" w:rsidRDefault="00FE46B2" w:rsidP="00AA2347">
      <w:pPr>
        <w:pStyle w:val="ListParagraph"/>
        <w:numPr>
          <w:ilvl w:val="0"/>
          <w:numId w:val="7"/>
        </w:numPr>
        <w:contextualSpacing w:val="0"/>
        <w:rPr>
          <w:rFonts w:ascii="Arial" w:hAnsi="Arial" w:cs="Arial"/>
          <w:sz w:val="24"/>
          <w:szCs w:val="24"/>
        </w:rPr>
      </w:pPr>
      <w:r w:rsidRPr="00E1158E">
        <w:rPr>
          <w:rFonts w:ascii="Arial" w:hAnsi="Arial" w:cs="Arial"/>
          <w:sz w:val="24"/>
          <w:szCs w:val="24"/>
        </w:rPr>
        <w:t>full consideration will be given to the recall or sale of all other existing investments with the affected counterparty.</w:t>
      </w:r>
    </w:p>
    <w:p w14:paraId="567CA514" w14:textId="77777777" w:rsidR="008742A0" w:rsidRPr="00E1158E" w:rsidRDefault="008742A0" w:rsidP="003C1688">
      <w:pPr>
        <w:rPr>
          <w:rFonts w:ascii="Arial" w:hAnsi="Arial" w:cs="Arial"/>
          <w:sz w:val="24"/>
          <w:szCs w:val="24"/>
        </w:rPr>
      </w:pPr>
      <w:r w:rsidRPr="00E1158E">
        <w:rPr>
          <w:rFonts w:ascii="Arial" w:hAnsi="Arial" w:cs="Arial"/>
          <w:sz w:val="24"/>
          <w:szCs w:val="24"/>
        </w:rPr>
        <w:t>If in the case of a decision to recall or sell an investment at a cost which is over the approved virement limits, the Council’s urgent action procedure in its Constitution would be invoked by officers.</w:t>
      </w:r>
    </w:p>
    <w:p w14:paraId="06D5C610" w14:textId="77777777" w:rsidR="00FE46B2" w:rsidRDefault="00FE46B2" w:rsidP="003C1688">
      <w:pPr>
        <w:rPr>
          <w:rFonts w:ascii="Arial" w:hAnsi="Arial" w:cs="Arial"/>
          <w:sz w:val="24"/>
          <w:szCs w:val="24"/>
        </w:rPr>
      </w:pPr>
      <w:r w:rsidRPr="00E1158E">
        <w:rPr>
          <w:rFonts w:ascii="Arial" w:hAnsi="Arial" w:cs="Arial"/>
          <w:sz w:val="24"/>
          <w:szCs w:val="24"/>
        </w:rPr>
        <w:t xml:space="preserve">Where a credit rating agency announces that a </w:t>
      </w:r>
      <w:r w:rsidR="00451391" w:rsidRPr="00E1158E">
        <w:rPr>
          <w:rFonts w:ascii="Arial" w:hAnsi="Arial" w:cs="Arial"/>
          <w:sz w:val="24"/>
          <w:szCs w:val="24"/>
        </w:rPr>
        <w:t>credit</w:t>
      </w:r>
      <w:r w:rsidR="00D246F4" w:rsidRPr="00E1158E">
        <w:rPr>
          <w:rFonts w:ascii="Arial" w:hAnsi="Arial" w:cs="Arial"/>
          <w:sz w:val="24"/>
          <w:szCs w:val="24"/>
        </w:rPr>
        <w:t xml:space="preserve"> </w:t>
      </w:r>
      <w:r w:rsidRPr="00E1158E">
        <w:rPr>
          <w:rFonts w:ascii="Arial" w:hAnsi="Arial" w:cs="Arial"/>
          <w:sz w:val="24"/>
          <w:szCs w:val="24"/>
        </w:rPr>
        <w:t xml:space="preserve">rating is on review for possible downgrade (also known as “rating watch negative” or “credit watch negative”) so that it </w:t>
      </w:r>
      <w:r w:rsidR="00D246F4" w:rsidRPr="00E1158E">
        <w:rPr>
          <w:rFonts w:ascii="Arial" w:hAnsi="Arial" w:cs="Arial"/>
          <w:sz w:val="24"/>
          <w:szCs w:val="24"/>
        </w:rPr>
        <w:t>may</w:t>
      </w:r>
      <w:r w:rsidRPr="00E1158E">
        <w:rPr>
          <w:rFonts w:ascii="Arial" w:hAnsi="Arial" w:cs="Arial"/>
          <w:sz w:val="24"/>
          <w:szCs w:val="24"/>
        </w:rPr>
        <w:t xml:space="preserve"> fall below the a</w:t>
      </w:r>
      <w:r w:rsidR="00C17890" w:rsidRPr="00E1158E">
        <w:rPr>
          <w:rFonts w:ascii="Arial" w:hAnsi="Arial" w:cs="Arial"/>
          <w:sz w:val="24"/>
          <w:szCs w:val="24"/>
        </w:rPr>
        <w:t xml:space="preserve">pproved </w:t>
      </w:r>
      <w:r w:rsidR="005A29A3" w:rsidRPr="00E1158E">
        <w:rPr>
          <w:rFonts w:ascii="Arial" w:hAnsi="Arial" w:cs="Arial"/>
          <w:sz w:val="24"/>
          <w:szCs w:val="24"/>
        </w:rPr>
        <w:t>rating</w:t>
      </w:r>
      <w:r w:rsidRPr="00E1158E">
        <w:rPr>
          <w:rFonts w:ascii="Arial" w:hAnsi="Arial" w:cs="Arial"/>
          <w:sz w:val="24"/>
          <w:szCs w:val="24"/>
        </w:rPr>
        <w:t xml:space="preserve"> criteria, then </w:t>
      </w:r>
      <w:r w:rsidR="005A29A3" w:rsidRPr="00E1158E">
        <w:rPr>
          <w:rFonts w:ascii="Arial" w:hAnsi="Arial" w:cs="Arial"/>
          <w:sz w:val="24"/>
          <w:szCs w:val="24"/>
        </w:rPr>
        <w:t>only</w:t>
      </w:r>
      <w:r w:rsidRPr="00E1158E">
        <w:rPr>
          <w:rFonts w:ascii="Arial" w:hAnsi="Arial" w:cs="Arial"/>
          <w:sz w:val="24"/>
          <w:szCs w:val="24"/>
        </w:rPr>
        <w:t xml:space="preserve"> investments </w:t>
      </w:r>
      <w:r w:rsidR="005A29A3" w:rsidRPr="00E1158E">
        <w:rPr>
          <w:rFonts w:ascii="Arial" w:hAnsi="Arial" w:cs="Arial"/>
          <w:sz w:val="24"/>
          <w:szCs w:val="24"/>
        </w:rPr>
        <w:t xml:space="preserve">that can be withdrawn </w:t>
      </w:r>
      <w:r w:rsidR="000B2F8B" w:rsidRPr="00E1158E">
        <w:rPr>
          <w:rFonts w:ascii="Arial" w:hAnsi="Arial" w:cs="Arial"/>
          <w:sz w:val="24"/>
          <w:szCs w:val="24"/>
        </w:rPr>
        <w:t>in a timely manner</w:t>
      </w:r>
      <w:r w:rsidR="005A29A3" w:rsidRPr="00E1158E">
        <w:rPr>
          <w:rFonts w:ascii="Arial" w:hAnsi="Arial" w:cs="Arial"/>
          <w:sz w:val="24"/>
          <w:szCs w:val="24"/>
        </w:rPr>
        <w:t xml:space="preserve"> </w:t>
      </w:r>
      <w:r w:rsidRPr="00E1158E">
        <w:rPr>
          <w:rFonts w:ascii="Arial" w:hAnsi="Arial" w:cs="Arial"/>
          <w:sz w:val="24"/>
          <w:szCs w:val="24"/>
        </w:rPr>
        <w:t xml:space="preserve">will be made </w:t>
      </w:r>
      <w:r w:rsidR="005A29A3" w:rsidRPr="00E1158E">
        <w:rPr>
          <w:rFonts w:ascii="Arial" w:hAnsi="Arial" w:cs="Arial"/>
          <w:sz w:val="24"/>
          <w:szCs w:val="24"/>
        </w:rPr>
        <w:t>with</w:t>
      </w:r>
      <w:r w:rsidRPr="00E1158E">
        <w:rPr>
          <w:rFonts w:ascii="Arial" w:hAnsi="Arial" w:cs="Arial"/>
          <w:sz w:val="24"/>
          <w:szCs w:val="24"/>
        </w:rPr>
        <w:t xml:space="preserve"> that organisation until the outcome of the review is announced.  This policy will</w:t>
      </w:r>
      <w:r w:rsidR="00C17890" w:rsidRPr="00E1158E">
        <w:rPr>
          <w:rFonts w:ascii="Arial" w:hAnsi="Arial" w:cs="Arial"/>
          <w:sz w:val="24"/>
          <w:szCs w:val="24"/>
        </w:rPr>
        <w:t xml:space="preserve"> not apply to negative outlooks, which indicate a long-term direction of travel rather than an imminent change of rating.</w:t>
      </w:r>
    </w:p>
    <w:p w14:paraId="521C0677" w14:textId="77777777" w:rsidR="00A15D32" w:rsidRPr="00A15D32" w:rsidRDefault="00A15D32" w:rsidP="00A15D32">
      <w:pPr>
        <w:rPr>
          <w:rFonts w:ascii="Arial" w:hAnsi="Arial" w:cs="Arial"/>
          <w:b/>
          <w:sz w:val="24"/>
          <w:szCs w:val="24"/>
        </w:rPr>
      </w:pPr>
      <w:r w:rsidRPr="00A15D32">
        <w:rPr>
          <w:rFonts w:ascii="Arial" w:hAnsi="Arial" w:cs="Arial"/>
          <w:b/>
          <w:sz w:val="24"/>
          <w:szCs w:val="24"/>
        </w:rPr>
        <w:t>Minimum credit rating</w:t>
      </w:r>
    </w:p>
    <w:p w14:paraId="1830D4FB" w14:textId="77777777" w:rsidR="0050520D" w:rsidRPr="005B4A0B" w:rsidRDefault="00A15D32" w:rsidP="00EA768C">
      <w:p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sidRPr="00FB33B3">
        <w:rPr>
          <w:rFonts w:ascii="Arial" w:hAnsi="Arial" w:cs="Arial"/>
          <w:sz w:val="24"/>
          <w:szCs w:val="24"/>
        </w:rPr>
        <w:t xml:space="preserve">Treasury investments in the sectors marked </w:t>
      </w:r>
      <w:r w:rsidRPr="005B4A0B">
        <w:rPr>
          <w:rFonts w:ascii="Arial" w:hAnsi="Arial" w:cs="Arial"/>
          <w:i/>
          <w:sz w:val="24"/>
          <w:szCs w:val="24"/>
        </w:rPr>
        <w:t>Note 1</w:t>
      </w:r>
      <w:r w:rsidRPr="005B4A0B">
        <w:rPr>
          <w:rFonts w:ascii="Arial" w:hAnsi="Arial" w:cs="Arial"/>
          <w:sz w:val="24"/>
          <w:szCs w:val="24"/>
        </w:rPr>
        <w:t xml:space="preserve"> in table </w:t>
      </w:r>
      <w:r w:rsidR="009B2917">
        <w:rPr>
          <w:rFonts w:ascii="Arial" w:hAnsi="Arial" w:cs="Arial"/>
          <w:sz w:val="24"/>
          <w:szCs w:val="24"/>
        </w:rPr>
        <w:t>3</w:t>
      </w:r>
      <w:r w:rsidRPr="005B4A0B">
        <w:rPr>
          <w:rFonts w:ascii="Arial" w:hAnsi="Arial" w:cs="Arial"/>
          <w:sz w:val="24"/>
          <w:szCs w:val="24"/>
        </w:rPr>
        <w:t xml:space="preserve"> will only be made with entities whose lowest published long-term credit rating is no lower than A-. </w:t>
      </w:r>
    </w:p>
    <w:p w14:paraId="24675B2E" w14:textId="77777777" w:rsidR="00A15D32" w:rsidRPr="00AC19A2" w:rsidRDefault="00A15D32" w:rsidP="00A15D32">
      <w:pPr>
        <w:rPr>
          <w:rFonts w:ascii="Arial" w:hAnsi="Arial" w:cs="Arial"/>
          <w:sz w:val="24"/>
          <w:szCs w:val="24"/>
        </w:rPr>
      </w:pPr>
      <w:r w:rsidRPr="00AC19A2">
        <w:rPr>
          <w:rFonts w:ascii="Arial" w:hAnsi="Arial" w:cs="Arial"/>
          <w:sz w:val="24"/>
          <w:szCs w:val="24"/>
        </w:rPr>
        <w:t xml:space="preserve">Where available, the credit rating relevant to the specific investment or class of investment is used, otherwise the counterparty credit rating is used. However, investment decisions are never made solely based on credit ratings, and all other relevant factors including external advice will be </w:t>
      </w:r>
      <w:r w:rsidR="00E75A46" w:rsidRPr="00AC19A2">
        <w:rPr>
          <w:rFonts w:ascii="Arial" w:hAnsi="Arial" w:cs="Arial"/>
          <w:sz w:val="24"/>
          <w:szCs w:val="24"/>
        </w:rPr>
        <w:t>considered</w:t>
      </w:r>
      <w:r w:rsidRPr="00AC19A2">
        <w:rPr>
          <w:rFonts w:ascii="Arial" w:hAnsi="Arial" w:cs="Arial"/>
          <w:sz w:val="24"/>
          <w:szCs w:val="24"/>
        </w:rPr>
        <w:t>.</w:t>
      </w:r>
    </w:p>
    <w:p w14:paraId="2C21BDD1" w14:textId="77777777" w:rsidR="00A15D32" w:rsidRDefault="00A15D32" w:rsidP="00A15D32">
      <w:pPr>
        <w:rPr>
          <w:rFonts w:ascii="Arial" w:hAnsi="Arial" w:cs="Arial"/>
          <w:sz w:val="24"/>
          <w:szCs w:val="24"/>
        </w:rPr>
      </w:pPr>
      <w:r w:rsidRPr="00AC19A2">
        <w:rPr>
          <w:rFonts w:ascii="Arial" w:hAnsi="Arial" w:cs="Arial"/>
          <w:sz w:val="24"/>
          <w:szCs w:val="24"/>
        </w:rPr>
        <w:t>For entities without published credit ratings, investments may be made either (a) where external advice indicates the entity to be of similar credit quality; o</w:t>
      </w:r>
      <w:r>
        <w:rPr>
          <w:rFonts w:ascii="Arial" w:hAnsi="Arial" w:cs="Arial"/>
          <w:sz w:val="24"/>
          <w:szCs w:val="24"/>
        </w:rPr>
        <w:t>r (b) to a maximum of £1m</w:t>
      </w:r>
      <w:r w:rsidRPr="00AC19A2">
        <w:rPr>
          <w:rFonts w:ascii="Arial" w:hAnsi="Arial" w:cs="Arial"/>
          <w:sz w:val="24"/>
          <w:szCs w:val="24"/>
        </w:rPr>
        <w:t xml:space="preserve"> per counterparty</w:t>
      </w:r>
      <w:r>
        <w:rPr>
          <w:rFonts w:ascii="Arial" w:hAnsi="Arial" w:cs="Arial"/>
          <w:sz w:val="24"/>
          <w:szCs w:val="24"/>
        </w:rPr>
        <w:t>; or (c)</w:t>
      </w:r>
      <w:r w:rsidRPr="00AC19A2">
        <w:rPr>
          <w:rFonts w:ascii="Arial" w:hAnsi="Arial" w:cs="Arial"/>
          <w:sz w:val="24"/>
          <w:szCs w:val="24"/>
        </w:rPr>
        <w:t xml:space="preserve"> </w:t>
      </w:r>
      <w:r>
        <w:rPr>
          <w:rFonts w:ascii="Arial" w:hAnsi="Arial" w:cs="Arial"/>
          <w:sz w:val="24"/>
          <w:szCs w:val="24"/>
        </w:rPr>
        <w:t xml:space="preserve">are part of a diversified </w:t>
      </w:r>
      <w:r w:rsidRPr="00AC19A2">
        <w:rPr>
          <w:rFonts w:ascii="Arial" w:hAnsi="Arial" w:cs="Arial"/>
          <w:sz w:val="24"/>
          <w:szCs w:val="24"/>
        </w:rPr>
        <w:t xml:space="preserve">pool </w:t>
      </w:r>
      <w:r>
        <w:rPr>
          <w:rFonts w:ascii="Arial" w:hAnsi="Arial" w:cs="Arial"/>
          <w:sz w:val="24"/>
          <w:szCs w:val="24"/>
        </w:rPr>
        <w:t xml:space="preserve">of investments </w:t>
      </w:r>
      <w:proofErr w:type="gramStart"/>
      <w:r>
        <w:rPr>
          <w:rFonts w:ascii="Arial" w:hAnsi="Arial" w:cs="Arial"/>
          <w:sz w:val="24"/>
          <w:szCs w:val="24"/>
        </w:rPr>
        <w:t>e</w:t>
      </w:r>
      <w:r w:rsidRPr="00AC19A2">
        <w:rPr>
          <w:rFonts w:ascii="Arial" w:hAnsi="Arial" w:cs="Arial"/>
          <w:sz w:val="24"/>
          <w:szCs w:val="24"/>
        </w:rPr>
        <w:t>.g.</w:t>
      </w:r>
      <w:proofErr w:type="gramEnd"/>
      <w:r w:rsidRPr="00AC19A2">
        <w:rPr>
          <w:rFonts w:ascii="Arial" w:hAnsi="Arial" w:cs="Arial"/>
          <w:sz w:val="24"/>
          <w:szCs w:val="24"/>
        </w:rPr>
        <w:t xml:space="preserve"> </w:t>
      </w:r>
      <w:r>
        <w:rPr>
          <w:rFonts w:ascii="Arial" w:hAnsi="Arial" w:cs="Arial"/>
          <w:sz w:val="24"/>
          <w:szCs w:val="24"/>
        </w:rPr>
        <w:t>a strategic investment in an external pooled fund.</w:t>
      </w:r>
      <w:r>
        <w:rPr>
          <w:rStyle w:val="CommentReference"/>
          <w:lang w:val="x-none"/>
        </w:rPr>
        <w:t xml:space="preserve"> </w:t>
      </w:r>
    </w:p>
    <w:p w14:paraId="257BC70E" w14:textId="77777777" w:rsidR="00276767" w:rsidRPr="00E1158E" w:rsidRDefault="00B46844" w:rsidP="003C1688">
      <w:pPr>
        <w:rPr>
          <w:rFonts w:ascii="Arial" w:hAnsi="Arial" w:cs="Arial"/>
          <w:sz w:val="24"/>
          <w:szCs w:val="24"/>
        </w:rPr>
      </w:pPr>
      <w:r w:rsidRPr="00E1158E">
        <w:rPr>
          <w:rFonts w:ascii="Arial" w:hAnsi="Arial" w:cs="Arial"/>
          <w:b/>
          <w:sz w:val="24"/>
          <w:szCs w:val="24"/>
        </w:rPr>
        <w:t>Other Information on the Security of Investments</w:t>
      </w:r>
    </w:p>
    <w:p w14:paraId="18902C8B" w14:textId="77777777" w:rsidR="00B46844" w:rsidRPr="00E1158E" w:rsidRDefault="00B46844" w:rsidP="003C1688">
      <w:pPr>
        <w:rPr>
          <w:rFonts w:ascii="Arial" w:hAnsi="Arial" w:cs="Arial"/>
          <w:sz w:val="24"/>
          <w:szCs w:val="24"/>
        </w:rPr>
      </w:pPr>
      <w:r w:rsidRPr="00E1158E">
        <w:rPr>
          <w:rFonts w:ascii="Arial" w:hAnsi="Arial" w:cs="Arial"/>
          <w:sz w:val="24"/>
          <w:szCs w:val="24"/>
        </w:rPr>
        <w:t xml:space="preserve">The </w:t>
      </w:r>
      <w:r w:rsidR="008E75BB" w:rsidRPr="00E1158E">
        <w:rPr>
          <w:rFonts w:ascii="Arial" w:hAnsi="Arial" w:cs="Arial"/>
          <w:sz w:val="24"/>
          <w:szCs w:val="24"/>
        </w:rPr>
        <w:t>Council</w:t>
      </w:r>
      <w:r w:rsidRPr="00E1158E">
        <w:rPr>
          <w:rFonts w:ascii="Arial" w:hAnsi="Arial" w:cs="Arial"/>
          <w:sz w:val="24"/>
          <w:szCs w:val="24"/>
        </w:rPr>
        <w:t xml:space="preserve"> understands that credit ratings are good, but not perfect, predictors of investment default.  Full regard will therefore be given to other available information on the credit quality of the organisations in which it invests, including credit default swap prices, financial statements</w:t>
      </w:r>
      <w:r w:rsidR="005A29A3" w:rsidRPr="00E1158E">
        <w:rPr>
          <w:rFonts w:ascii="Arial" w:hAnsi="Arial" w:cs="Arial"/>
          <w:sz w:val="24"/>
          <w:szCs w:val="24"/>
        </w:rPr>
        <w:t xml:space="preserve">, information on potential government support and </w:t>
      </w:r>
      <w:r w:rsidRPr="00E1158E">
        <w:rPr>
          <w:rFonts w:ascii="Arial" w:hAnsi="Arial" w:cs="Arial"/>
          <w:sz w:val="24"/>
          <w:szCs w:val="24"/>
        </w:rPr>
        <w:t xml:space="preserve">reports in the quality financial press.  No investments will be made with an organisation if there are substantive doubts about its credit quality, even though it may meet the </w:t>
      </w:r>
      <w:r w:rsidR="005A29A3" w:rsidRPr="00E1158E">
        <w:rPr>
          <w:rFonts w:ascii="Arial" w:hAnsi="Arial" w:cs="Arial"/>
          <w:sz w:val="24"/>
          <w:szCs w:val="24"/>
        </w:rPr>
        <w:t>credit rating</w:t>
      </w:r>
      <w:r w:rsidRPr="00E1158E">
        <w:rPr>
          <w:rFonts w:ascii="Arial" w:hAnsi="Arial" w:cs="Arial"/>
          <w:sz w:val="24"/>
          <w:szCs w:val="24"/>
        </w:rPr>
        <w:t xml:space="preserve"> criteria.</w:t>
      </w:r>
    </w:p>
    <w:p w14:paraId="6E099CC5" w14:textId="77777777" w:rsidR="00B46844" w:rsidRDefault="00B46844" w:rsidP="003C1688">
      <w:pPr>
        <w:rPr>
          <w:rFonts w:ascii="Arial" w:hAnsi="Arial" w:cs="Arial"/>
          <w:sz w:val="24"/>
          <w:szCs w:val="24"/>
        </w:rPr>
      </w:pPr>
      <w:r w:rsidRPr="00E1158E">
        <w:rPr>
          <w:rFonts w:ascii="Arial" w:hAnsi="Arial" w:cs="Arial"/>
          <w:sz w:val="24"/>
          <w:szCs w:val="24"/>
        </w:rPr>
        <w:lastRenderedPageBreak/>
        <w:t xml:space="preserve">When deteriorating financial market conditions affect the creditworthiness of all organisations this is not generally reflected in credit </w:t>
      </w:r>
      <w:proofErr w:type="gramStart"/>
      <w:r w:rsidRPr="00E1158E">
        <w:rPr>
          <w:rFonts w:ascii="Arial" w:hAnsi="Arial" w:cs="Arial"/>
          <w:sz w:val="24"/>
          <w:szCs w:val="24"/>
        </w:rPr>
        <w:t>ratings, but</w:t>
      </w:r>
      <w:proofErr w:type="gramEnd"/>
      <w:r w:rsidRPr="00E1158E">
        <w:rPr>
          <w:rFonts w:ascii="Arial" w:hAnsi="Arial" w:cs="Arial"/>
          <w:sz w:val="24"/>
          <w:szCs w:val="24"/>
        </w:rPr>
        <w:t xml:space="preserve"> can be seen in other market measures.  In these circumstances, the </w:t>
      </w:r>
      <w:r w:rsidR="008E75BB" w:rsidRPr="00E1158E">
        <w:rPr>
          <w:rFonts w:ascii="Arial" w:hAnsi="Arial" w:cs="Arial"/>
          <w:sz w:val="24"/>
          <w:szCs w:val="24"/>
        </w:rPr>
        <w:t>Council</w:t>
      </w:r>
      <w:r w:rsidRPr="00E1158E">
        <w:rPr>
          <w:rFonts w:ascii="Arial" w:hAnsi="Arial" w:cs="Arial"/>
          <w:sz w:val="24"/>
          <w:szCs w:val="24"/>
        </w:rPr>
        <w:t xml:space="preserve"> will restrict its investments to those organisations of higher credit quality and reduce the maximum duration of its investments to maintain the required level of security.  The extent of these restrictions will be in line with prevailing financial market conditions</w:t>
      </w:r>
      <w:r w:rsidR="008D4E73" w:rsidRPr="00E1158E">
        <w:rPr>
          <w:rFonts w:ascii="Arial" w:hAnsi="Arial" w:cs="Arial"/>
          <w:sz w:val="24"/>
          <w:szCs w:val="24"/>
        </w:rPr>
        <w:t>, and advice from the Council’s Treasury advisor</w:t>
      </w:r>
      <w:r w:rsidRPr="00E1158E">
        <w:rPr>
          <w:rFonts w:ascii="Arial" w:hAnsi="Arial" w:cs="Arial"/>
          <w:sz w:val="24"/>
          <w:szCs w:val="24"/>
        </w:rPr>
        <w:t>. If these restrictions mean that insufficie</w:t>
      </w:r>
      <w:r w:rsidR="005A29A3" w:rsidRPr="00E1158E">
        <w:rPr>
          <w:rFonts w:ascii="Arial" w:hAnsi="Arial" w:cs="Arial"/>
          <w:sz w:val="24"/>
          <w:szCs w:val="24"/>
        </w:rPr>
        <w:t>nt commercial organisations of high credit quality</w:t>
      </w:r>
      <w:r w:rsidRPr="00E1158E">
        <w:rPr>
          <w:rFonts w:ascii="Arial" w:hAnsi="Arial" w:cs="Arial"/>
          <w:sz w:val="24"/>
          <w:szCs w:val="24"/>
        </w:rPr>
        <w:t xml:space="preserve"> are available to invest the </w:t>
      </w:r>
      <w:r w:rsidR="008E75BB" w:rsidRPr="00E1158E">
        <w:rPr>
          <w:rFonts w:ascii="Arial" w:hAnsi="Arial" w:cs="Arial"/>
          <w:sz w:val="24"/>
          <w:szCs w:val="24"/>
        </w:rPr>
        <w:t>Council</w:t>
      </w:r>
      <w:r w:rsidRPr="00E1158E">
        <w:rPr>
          <w:rFonts w:ascii="Arial" w:hAnsi="Arial" w:cs="Arial"/>
          <w:sz w:val="24"/>
          <w:szCs w:val="24"/>
        </w:rPr>
        <w:t>’s cash balances, then the surplus will be deposited with the UK Government, via the Debt Management Office</w:t>
      </w:r>
      <w:r w:rsidR="00A15D32">
        <w:rPr>
          <w:rFonts w:ascii="Arial" w:hAnsi="Arial" w:cs="Arial"/>
          <w:sz w:val="24"/>
          <w:szCs w:val="24"/>
        </w:rPr>
        <w:t xml:space="preserve"> or</w:t>
      </w:r>
      <w:r w:rsidRPr="00E1158E">
        <w:rPr>
          <w:rFonts w:ascii="Arial" w:hAnsi="Arial" w:cs="Arial"/>
          <w:sz w:val="24"/>
          <w:szCs w:val="24"/>
        </w:rPr>
        <w:t xml:space="preserve"> with other local authorities.  This </w:t>
      </w:r>
      <w:r w:rsidR="001763F2">
        <w:rPr>
          <w:rFonts w:ascii="Arial" w:hAnsi="Arial" w:cs="Arial"/>
          <w:sz w:val="24"/>
          <w:szCs w:val="24"/>
        </w:rPr>
        <w:t xml:space="preserve">may </w:t>
      </w:r>
      <w:r w:rsidRPr="00E1158E">
        <w:rPr>
          <w:rFonts w:ascii="Arial" w:hAnsi="Arial" w:cs="Arial"/>
          <w:sz w:val="24"/>
          <w:szCs w:val="24"/>
        </w:rPr>
        <w:t xml:space="preserve">will cause </w:t>
      </w:r>
      <w:r w:rsidR="00523040">
        <w:rPr>
          <w:rFonts w:ascii="Arial" w:hAnsi="Arial" w:cs="Arial"/>
          <w:sz w:val="24"/>
          <w:szCs w:val="24"/>
        </w:rPr>
        <w:t>investment returns to fall</w:t>
      </w:r>
      <w:r w:rsidRPr="00E1158E">
        <w:rPr>
          <w:rFonts w:ascii="Arial" w:hAnsi="Arial" w:cs="Arial"/>
          <w:sz w:val="24"/>
          <w:szCs w:val="24"/>
        </w:rPr>
        <w:t xml:space="preserve"> but will protect the principal sum invested.</w:t>
      </w:r>
    </w:p>
    <w:p w14:paraId="01D02E53" w14:textId="77777777" w:rsidR="00A42C1B" w:rsidRPr="00681031" w:rsidRDefault="00681031" w:rsidP="003C1688">
      <w:pPr>
        <w:rPr>
          <w:rFonts w:ascii="Arial" w:hAnsi="Arial" w:cs="Arial"/>
          <w:b/>
          <w:bCs/>
          <w:sz w:val="24"/>
          <w:szCs w:val="24"/>
        </w:rPr>
      </w:pPr>
      <w:r w:rsidRPr="00681031">
        <w:rPr>
          <w:rFonts w:ascii="Arial" w:hAnsi="Arial" w:cs="Arial"/>
          <w:b/>
          <w:bCs/>
          <w:sz w:val="24"/>
          <w:szCs w:val="24"/>
        </w:rPr>
        <w:t>Reputational aspects</w:t>
      </w:r>
    </w:p>
    <w:p w14:paraId="2A8DEA44" w14:textId="77777777" w:rsidR="00A42C1B" w:rsidRPr="00E1158E" w:rsidRDefault="00681031" w:rsidP="003C1688">
      <w:pPr>
        <w:rPr>
          <w:rFonts w:ascii="Arial" w:hAnsi="Arial" w:cs="Arial"/>
          <w:sz w:val="24"/>
          <w:szCs w:val="24"/>
        </w:rPr>
      </w:pPr>
      <w:r>
        <w:rPr>
          <w:rFonts w:ascii="Arial" w:hAnsi="Arial" w:cs="Arial"/>
          <w:sz w:val="24"/>
          <w:szCs w:val="24"/>
        </w:rPr>
        <w:t xml:space="preserve">The Council is aware that investment with certain counterparties, while considered secure from a purely financial perspective, may leave it open to criticism, valid or otherwise. This may affect its public reputation, and this risk will therefore be </w:t>
      </w:r>
      <w:proofErr w:type="gramStart"/>
      <w:r>
        <w:rPr>
          <w:rFonts w:ascii="Arial" w:hAnsi="Arial" w:cs="Arial"/>
          <w:sz w:val="24"/>
          <w:szCs w:val="24"/>
        </w:rPr>
        <w:t>taken into account</w:t>
      </w:r>
      <w:proofErr w:type="gramEnd"/>
      <w:r>
        <w:rPr>
          <w:rFonts w:ascii="Arial" w:hAnsi="Arial" w:cs="Arial"/>
          <w:sz w:val="24"/>
          <w:szCs w:val="24"/>
        </w:rPr>
        <w:t xml:space="preserve"> when making investment decisions. </w:t>
      </w:r>
    </w:p>
    <w:p w14:paraId="2160EA74" w14:textId="77777777" w:rsidR="00276767" w:rsidRPr="003745C6" w:rsidRDefault="00276767" w:rsidP="00FE63B7">
      <w:pPr>
        <w:pStyle w:val="Heading2"/>
        <w:rPr>
          <w:rFonts w:ascii="Arial" w:hAnsi="Arial" w:cs="Arial"/>
          <w:color w:val="auto"/>
        </w:rPr>
      </w:pPr>
      <w:bookmarkStart w:id="9" w:name="_Toc115768664"/>
      <w:r w:rsidRPr="003745C6">
        <w:rPr>
          <w:rFonts w:ascii="Arial" w:hAnsi="Arial" w:cs="Arial"/>
          <w:color w:val="auto"/>
        </w:rPr>
        <w:t xml:space="preserve">Business model for holding </w:t>
      </w:r>
      <w:proofErr w:type="gramStart"/>
      <w:r w:rsidRPr="003745C6">
        <w:rPr>
          <w:rFonts w:ascii="Arial" w:hAnsi="Arial" w:cs="Arial"/>
          <w:color w:val="auto"/>
        </w:rPr>
        <w:t>investments</w:t>
      </w:r>
      <w:bookmarkEnd w:id="9"/>
      <w:proofErr w:type="gramEnd"/>
    </w:p>
    <w:p w14:paraId="1E0F3404" w14:textId="77777777" w:rsidR="00276767" w:rsidRDefault="00276767" w:rsidP="003C1688">
      <w:pPr>
        <w:rPr>
          <w:rFonts w:ascii="Arial" w:hAnsi="Arial" w:cs="Arial"/>
          <w:sz w:val="24"/>
          <w:szCs w:val="24"/>
        </w:rPr>
      </w:pPr>
      <w:r w:rsidRPr="00E1158E">
        <w:rPr>
          <w:rFonts w:ascii="Arial" w:hAnsi="Arial" w:cs="Arial"/>
          <w:sz w:val="24"/>
          <w:szCs w:val="24"/>
        </w:rPr>
        <w:t>The Council aims to achieve value from its internally managed treasury investments by a business model of collecting the contractual cash-flows and therefore, where other criteria are also met, these investments will continue to be accounted for at amortised cost.</w:t>
      </w:r>
    </w:p>
    <w:p w14:paraId="484B490E" w14:textId="77777777" w:rsidR="00276767" w:rsidRPr="003745C6" w:rsidRDefault="00276767" w:rsidP="005B4A0B">
      <w:pPr>
        <w:pStyle w:val="Heading2"/>
        <w:rPr>
          <w:rFonts w:ascii="Arial" w:hAnsi="Arial" w:cs="Arial"/>
          <w:color w:val="auto"/>
        </w:rPr>
      </w:pPr>
      <w:bookmarkStart w:id="10" w:name="_Toc115768665"/>
      <w:r w:rsidRPr="003745C6">
        <w:rPr>
          <w:rFonts w:ascii="Arial" w:hAnsi="Arial" w:cs="Arial"/>
          <w:color w:val="auto"/>
        </w:rPr>
        <w:t>Negative interest rates</w:t>
      </w:r>
      <w:bookmarkEnd w:id="10"/>
    </w:p>
    <w:p w14:paraId="0B3E827E" w14:textId="77777777" w:rsidR="00A01DF0" w:rsidRDefault="00E57007" w:rsidP="003745C6">
      <w:pPr>
        <w:rPr>
          <w:rFonts w:ascii="Arial" w:hAnsi="Arial" w:cs="Arial"/>
          <w:sz w:val="24"/>
          <w:szCs w:val="24"/>
        </w:rPr>
      </w:pPr>
      <w:r w:rsidRPr="00FF165B">
        <w:rPr>
          <w:rFonts w:ascii="Arial" w:hAnsi="Arial" w:cs="Arial"/>
          <w:sz w:val="24"/>
          <w:szCs w:val="24"/>
        </w:rPr>
        <w:t>In th</w:t>
      </w:r>
      <w:r w:rsidR="00FF165B" w:rsidRPr="00EA768C">
        <w:rPr>
          <w:rFonts w:ascii="Arial" w:hAnsi="Arial" w:cs="Arial"/>
          <w:sz w:val="24"/>
          <w:szCs w:val="24"/>
        </w:rPr>
        <w:t>e</w:t>
      </w:r>
      <w:r w:rsidRPr="00FF165B">
        <w:rPr>
          <w:rFonts w:ascii="Arial" w:hAnsi="Arial" w:cs="Arial"/>
          <w:sz w:val="24"/>
          <w:szCs w:val="24"/>
        </w:rPr>
        <w:t xml:space="preserve"> event</w:t>
      </w:r>
      <w:r w:rsidR="00FF165B" w:rsidRPr="00EA768C">
        <w:rPr>
          <w:rFonts w:ascii="Arial" w:hAnsi="Arial" w:cs="Arial"/>
          <w:sz w:val="24"/>
          <w:szCs w:val="24"/>
        </w:rPr>
        <w:t xml:space="preserve"> of negative interest rates</w:t>
      </w:r>
      <w:r w:rsidRPr="00FF165B">
        <w:rPr>
          <w:rFonts w:ascii="Arial" w:hAnsi="Arial" w:cs="Arial"/>
          <w:sz w:val="24"/>
          <w:szCs w:val="24"/>
        </w:rPr>
        <w:t>, security will be measured as receiving the contractually agreed amount at maturity, even though this may be less than the amount originally invested.</w:t>
      </w:r>
    </w:p>
    <w:p w14:paraId="7820DE88" w14:textId="77777777" w:rsidR="0050520D" w:rsidRPr="003745C6" w:rsidRDefault="0050520D" w:rsidP="0050520D">
      <w:pPr>
        <w:pStyle w:val="Heading2"/>
        <w:rPr>
          <w:rFonts w:ascii="Arial" w:hAnsi="Arial" w:cs="Arial"/>
          <w:color w:val="auto"/>
        </w:rPr>
      </w:pPr>
      <w:bookmarkStart w:id="11" w:name="_Toc115768666"/>
      <w:r w:rsidRPr="003745C6">
        <w:rPr>
          <w:rFonts w:ascii="Arial" w:hAnsi="Arial" w:cs="Arial"/>
          <w:color w:val="auto"/>
        </w:rPr>
        <w:t>Liquidity Management</w:t>
      </w:r>
      <w:bookmarkEnd w:id="11"/>
    </w:p>
    <w:p w14:paraId="2006018B" w14:textId="77777777" w:rsidR="0050520D" w:rsidRPr="00E1158E" w:rsidRDefault="0050520D" w:rsidP="0050520D">
      <w:pPr>
        <w:rPr>
          <w:rFonts w:ascii="Arial" w:hAnsi="Arial" w:cs="Arial"/>
          <w:sz w:val="24"/>
          <w:szCs w:val="24"/>
        </w:rPr>
      </w:pPr>
      <w:r w:rsidRPr="00E1158E">
        <w:rPr>
          <w:rFonts w:ascii="Arial" w:hAnsi="Arial" w:cs="Arial"/>
          <w:sz w:val="24"/>
          <w:szCs w:val="24"/>
        </w:rPr>
        <w:t>The Council uses purpose-built cash flow forecasting software to determine the maximum period for which funds may prudently be committed.  The forecast is compiled on a prudent basis to minimise the risk of the Council being forced to borrow on unfavourable terms to meet its financial commitments. Limits on long-term investments are set by reference to the Council’s medium term financial plan and cash flow forecast.  To ensure adequate liquidity is maintained, ‘worst case’ estimates of cash flows are used when considering the Council’s medium term investment position.</w:t>
      </w:r>
    </w:p>
    <w:p w14:paraId="2175E7F9" w14:textId="77777777" w:rsidR="00A01DF0" w:rsidRPr="003745C6" w:rsidRDefault="001102CB" w:rsidP="003745C6">
      <w:pPr>
        <w:pStyle w:val="Heading2"/>
        <w:rPr>
          <w:rFonts w:ascii="Arial" w:hAnsi="Arial" w:cs="Arial"/>
          <w:color w:val="auto"/>
        </w:rPr>
      </w:pPr>
      <w:bookmarkStart w:id="12" w:name="_Toc115768667"/>
      <w:r w:rsidRPr="003745C6">
        <w:rPr>
          <w:rFonts w:ascii="Arial" w:hAnsi="Arial" w:cs="Arial"/>
          <w:color w:val="auto"/>
        </w:rPr>
        <w:t>Responsible Investing</w:t>
      </w:r>
      <w:bookmarkEnd w:id="12"/>
    </w:p>
    <w:p w14:paraId="4350F0F5" w14:textId="77777777" w:rsidR="0008572F" w:rsidRDefault="00681031" w:rsidP="003745C6">
      <w:pPr>
        <w:rPr>
          <w:rFonts w:ascii="Arial" w:hAnsi="Arial" w:cs="Arial"/>
          <w:sz w:val="24"/>
          <w:szCs w:val="24"/>
        </w:rPr>
      </w:pPr>
      <w:r>
        <w:rPr>
          <w:rFonts w:ascii="Arial" w:hAnsi="Arial" w:cs="Arial"/>
          <w:sz w:val="24"/>
          <w:szCs w:val="24"/>
        </w:rPr>
        <w:t xml:space="preserve">Environmental, social, and governance (ESG) </w:t>
      </w:r>
      <w:r w:rsidR="0008572F">
        <w:rPr>
          <w:rFonts w:ascii="Arial" w:hAnsi="Arial" w:cs="Arial"/>
          <w:sz w:val="24"/>
          <w:szCs w:val="24"/>
        </w:rPr>
        <w:t xml:space="preserve">considerations are increasingly a factor in global investors’ decision making, but the framework for evaluating investment opportunities is still developing and therefore the Council’s ESG policy does not currently include ESG scoring or other real-times ESG criteria at an individual level. </w:t>
      </w:r>
    </w:p>
    <w:p w14:paraId="1338B502" w14:textId="77777777" w:rsidR="00E64162" w:rsidRDefault="00833EB6" w:rsidP="003745C6">
      <w:pPr>
        <w:rPr>
          <w:rFonts w:ascii="Arial" w:hAnsi="Arial" w:cs="Arial"/>
          <w:sz w:val="24"/>
          <w:szCs w:val="24"/>
        </w:rPr>
      </w:pPr>
      <w:r w:rsidRPr="003745C6">
        <w:rPr>
          <w:rFonts w:ascii="Arial" w:hAnsi="Arial" w:cs="Arial"/>
          <w:sz w:val="24"/>
          <w:szCs w:val="24"/>
        </w:rPr>
        <w:lastRenderedPageBreak/>
        <w:t xml:space="preserve">As a responsible investor, the Council is committed to considering environmental, social, and governance (ESG) issues, and has a particular interest in </w:t>
      </w:r>
      <w:proofErr w:type="gramStart"/>
      <w:r w:rsidRPr="003745C6">
        <w:rPr>
          <w:rFonts w:ascii="Arial" w:hAnsi="Arial" w:cs="Arial"/>
          <w:sz w:val="24"/>
          <w:szCs w:val="24"/>
        </w:rPr>
        <w:t>taking action</w:t>
      </w:r>
      <w:proofErr w:type="gramEnd"/>
      <w:r w:rsidRPr="003745C6">
        <w:rPr>
          <w:rFonts w:ascii="Arial" w:hAnsi="Arial" w:cs="Arial"/>
          <w:sz w:val="24"/>
          <w:szCs w:val="24"/>
        </w:rPr>
        <w:t xml:space="preserve"> against climate change and pursuing activities that have a positive social impact.  </w:t>
      </w:r>
    </w:p>
    <w:p w14:paraId="0184C494" w14:textId="77777777" w:rsidR="00E64162" w:rsidRDefault="00833EB6" w:rsidP="00EA768C">
      <w:p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sidRPr="003745C6">
        <w:rPr>
          <w:rFonts w:ascii="Arial" w:hAnsi="Arial" w:cs="Arial"/>
          <w:sz w:val="24"/>
          <w:szCs w:val="24"/>
        </w:rPr>
        <w:t>The overriding priorities of treasury management must remain security, liquidity, and yield in that order. However, once these priorities are met preference will be given to placing investments with banks or institutions who have demonstrated a significant interest is sustainability by being a signatory to the UN E</w:t>
      </w:r>
      <w:r w:rsidR="00145828" w:rsidRPr="003745C6">
        <w:rPr>
          <w:rFonts w:ascii="Arial" w:hAnsi="Arial" w:cs="Arial"/>
          <w:sz w:val="24"/>
          <w:szCs w:val="24"/>
        </w:rPr>
        <w:t>nvironment Finance Initiative’s</w:t>
      </w:r>
      <w:r w:rsidRPr="003745C6">
        <w:rPr>
          <w:rFonts w:ascii="Arial" w:hAnsi="Arial" w:cs="Arial"/>
          <w:sz w:val="24"/>
          <w:szCs w:val="24"/>
        </w:rPr>
        <w:t xml:space="preserve"> </w:t>
      </w:r>
      <w:r w:rsidR="00145828" w:rsidRPr="003745C6">
        <w:rPr>
          <w:rFonts w:ascii="Arial" w:hAnsi="Arial" w:cs="Arial"/>
          <w:sz w:val="24"/>
          <w:szCs w:val="24"/>
        </w:rPr>
        <w:t xml:space="preserve">(UNEFI) </w:t>
      </w:r>
      <w:r w:rsidRPr="003745C6">
        <w:rPr>
          <w:rFonts w:ascii="Arial" w:hAnsi="Arial" w:cs="Arial"/>
          <w:sz w:val="24"/>
          <w:szCs w:val="24"/>
        </w:rPr>
        <w:t>Principles for Responsible Banking</w:t>
      </w:r>
      <w:r w:rsidR="00B13CC3" w:rsidRPr="003745C6">
        <w:rPr>
          <w:rFonts w:ascii="Arial" w:hAnsi="Arial" w:cs="Arial"/>
          <w:sz w:val="24"/>
          <w:szCs w:val="24"/>
        </w:rPr>
        <w:t>/ Investment</w:t>
      </w:r>
      <w:r w:rsidRPr="003745C6">
        <w:rPr>
          <w:rFonts w:ascii="Arial" w:hAnsi="Arial" w:cs="Arial"/>
          <w:sz w:val="24"/>
          <w:szCs w:val="24"/>
        </w:rPr>
        <w:t>.</w:t>
      </w:r>
      <w:r w:rsidR="002A7E1C" w:rsidRPr="003745C6">
        <w:rPr>
          <w:rFonts w:ascii="Arial" w:hAnsi="Arial" w:cs="Arial"/>
          <w:sz w:val="24"/>
          <w:szCs w:val="24"/>
        </w:rPr>
        <w:t xml:space="preserve"> This requirement will not extend to investments with the UK public sector</w:t>
      </w:r>
      <w:r w:rsidR="00656EB5">
        <w:rPr>
          <w:rFonts w:ascii="Arial" w:hAnsi="Arial" w:cs="Arial"/>
          <w:sz w:val="24"/>
          <w:szCs w:val="24"/>
        </w:rPr>
        <w:t>.</w:t>
      </w:r>
    </w:p>
    <w:p w14:paraId="5D7613BE" w14:textId="77777777" w:rsidR="00833EB6" w:rsidRPr="003745C6" w:rsidRDefault="00833EB6" w:rsidP="003745C6">
      <w:pPr>
        <w:rPr>
          <w:rFonts w:ascii="Arial" w:hAnsi="Arial" w:cs="Arial"/>
          <w:sz w:val="24"/>
          <w:szCs w:val="24"/>
        </w:rPr>
      </w:pPr>
      <w:r w:rsidRPr="003745C6">
        <w:rPr>
          <w:rFonts w:ascii="Arial" w:hAnsi="Arial" w:cs="Arial"/>
          <w:sz w:val="24"/>
          <w:szCs w:val="24"/>
        </w:rPr>
        <w:t>Before a direct investment is made with an institution that is not a participant in the above initiative, approval will be sought from the section 151 or deputy section 151 officer setting out why no reasonable alternative at that particular time is available.  This ‘comply or explain’ approach recognises that, whilst ESG is a desirable objective for treasury investing</w:t>
      </w:r>
      <w:r w:rsidR="00FD585D">
        <w:rPr>
          <w:rFonts w:ascii="Arial" w:hAnsi="Arial" w:cs="Arial"/>
          <w:sz w:val="24"/>
          <w:szCs w:val="24"/>
        </w:rPr>
        <w:t>,</w:t>
      </w:r>
      <w:r w:rsidRPr="003745C6">
        <w:rPr>
          <w:rFonts w:ascii="Arial" w:hAnsi="Arial" w:cs="Arial"/>
          <w:sz w:val="24"/>
          <w:szCs w:val="24"/>
        </w:rPr>
        <w:t xml:space="preserve"> </w:t>
      </w:r>
      <w:r w:rsidR="00FD585D">
        <w:rPr>
          <w:rFonts w:ascii="Arial" w:hAnsi="Arial" w:cs="Arial"/>
          <w:sz w:val="24"/>
          <w:szCs w:val="24"/>
        </w:rPr>
        <w:t xml:space="preserve">to comply with Statutory Guidance </w:t>
      </w:r>
      <w:r w:rsidRPr="003745C6">
        <w:rPr>
          <w:rFonts w:ascii="Arial" w:hAnsi="Arial" w:cs="Arial"/>
          <w:sz w:val="24"/>
          <w:szCs w:val="24"/>
        </w:rPr>
        <w:t xml:space="preserve">it </w:t>
      </w:r>
      <w:r w:rsidR="00B64FBC">
        <w:rPr>
          <w:rFonts w:ascii="Arial" w:hAnsi="Arial" w:cs="Arial"/>
          <w:sz w:val="24"/>
          <w:szCs w:val="24"/>
        </w:rPr>
        <w:t xml:space="preserve">must be </w:t>
      </w:r>
      <w:r w:rsidRPr="003745C6">
        <w:rPr>
          <w:rFonts w:ascii="Arial" w:hAnsi="Arial" w:cs="Arial"/>
          <w:sz w:val="24"/>
          <w:szCs w:val="24"/>
        </w:rPr>
        <w:t>rank</w:t>
      </w:r>
      <w:r w:rsidR="00B64FBC">
        <w:rPr>
          <w:rFonts w:ascii="Arial" w:hAnsi="Arial" w:cs="Arial"/>
          <w:sz w:val="24"/>
          <w:szCs w:val="24"/>
        </w:rPr>
        <w:t>ed</w:t>
      </w:r>
      <w:r w:rsidRPr="003745C6">
        <w:rPr>
          <w:rFonts w:ascii="Arial" w:hAnsi="Arial" w:cs="Arial"/>
          <w:sz w:val="24"/>
          <w:szCs w:val="24"/>
        </w:rPr>
        <w:t xml:space="preserve"> behind security, </w:t>
      </w:r>
      <w:proofErr w:type="gramStart"/>
      <w:r w:rsidRPr="003745C6">
        <w:rPr>
          <w:rFonts w:ascii="Arial" w:hAnsi="Arial" w:cs="Arial"/>
          <w:sz w:val="24"/>
          <w:szCs w:val="24"/>
        </w:rPr>
        <w:t>liquidity</w:t>
      </w:r>
      <w:proofErr w:type="gramEnd"/>
      <w:r w:rsidRPr="003745C6">
        <w:rPr>
          <w:rFonts w:ascii="Arial" w:hAnsi="Arial" w:cs="Arial"/>
          <w:sz w:val="24"/>
          <w:szCs w:val="24"/>
        </w:rPr>
        <w:t xml:space="preserve"> and yield.</w:t>
      </w:r>
    </w:p>
    <w:p w14:paraId="15E03FC9" w14:textId="77777777" w:rsidR="00833EB6" w:rsidRDefault="00833EB6" w:rsidP="00EA768C">
      <w:pPr>
        <w:rPr>
          <w:rFonts w:ascii="Arial" w:hAnsi="Arial" w:cs="Arial"/>
          <w:sz w:val="24"/>
          <w:szCs w:val="24"/>
        </w:rPr>
      </w:pPr>
      <w:bookmarkStart w:id="13" w:name="_Toc58406019"/>
      <w:bookmarkStart w:id="14" w:name="_Toc58828811"/>
      <w:bookmarkStart w:id="15" w:name="_Toc58829221"/>
      <w:bookmarkStart w:id="16" w:name="_Toc60818629"/>
      <w:bookmarkStart w:id="17" w:name="_Toc60897562"/>
      <w:r w:rsidRPr="00EA768C">
        <w:rPr>
          <w:rFonts w:ascii="Arial" w:hAnsi="Arial" w:cs="Arial"/>
          <w:sz w:val="24"/>
          <w:szCs w:val="24"/>
        </w:rPr>
        <w:t xml:space="preserve">Where the Council does not have direct control over the individual investments, (for example, for investments in money market or external pooled funds), the Council will seek to understand and evaluate the Ethical, Social and Governance policies of money market and external pooled funds when considering making an initial investment. This evaluation will include a review </w:t>
      </w:r>
      <w:r w:rsidR="00B64FBC" w:rsidRPr="00EA768C">
        <w:rPr>
          <w:rFonts w:ascii="Arial" w:hAnsi="Arial" w:cs="Arial"/>
          <w:sz w:val="24"/>
          <w:szCs w:val="24"/>
        </w:rPr>
        <w:t xml:space="preserve">of </w:t>
      </w:r>
      <w:r w:rsidRPr="00EA768C">
        <w:rPr>
          <w:rFonts w:ascii="Arial" w:hAnsi="Arial" w:cs="Arial"/>
          <w:sz w:val="24"/>
          <w:szCs w:val="24"/>
        </w:rPr>
        <w:t>any reports prepared by prospective fund managers under the UK Stewardship Code issued by the F</w:t>
      </w:r>
      <w:r w:rsidR="00AD0978" w:rsidRPr="00EA768C">
        <w:rPr>
          <w:rFonts w:ascii="Arial" w:hAnsi="Arial" w:cs="Arial"/>
          <w:sz w:val="24"/>
          <w:szCs w:val="24"/>
        </w:rPr>
        <w:t xml:space="preserve">inancial Reporting Council and </w:t>
      </w:r>
      <w:r w:rsidRPr="00EA768C">
        <w:rPr>
          <w:rFonts w:ascii="Arial" w:hAnsi="Arial" w:cs="Arial"/>
          <w:sz w:val="24"/>
          <w:szCs w:val="24"/>
        </w:rPr>
        <w:t>of the institution’s commitment to the UN</w:t>
      </w:r>
      <w:r w:rsidR="00145828" w:rsidRPr="00EA768C">
        <w:rPr>
          <w:rFonts w:ascii="Arial" w:hAnsi="Arial" w:cs="Arial"/>
          <w:sz w:val="24"/>
          <w:szCs w:val="24"/>
        </w:rPr>
        <w:t>EFI</w:t>
      </w:r>
      <w:r w:rsidRPr="00EA768C">
        <w:rPr>
          <w:rFonts w:ascii="Arial" w:hAnsi="Arial" w:cs="Arial"/>
          <w:sz w:val="24"/>
          <w:szCs w:val="24"/>
        </w:rPr>
        <w:t xml:space="preserve"> P</w:t>
      </w:r>
      <w:r w:rsidR="00145828" w:rsidRPr="00EA768C">
        <w:rPr>
          <w:rFonts w:ascii="Arial" w:hAnsi="Arial" w:cs="Arial"/>
          <w:sz w:val="24"/>
          <w:szCs w:val="24"/>
        </w:rPr>
        <w:t xml:space="preserve">rinciples for </w:t>
      </w:r>
      <w:r w:rsidRPr="00EA768C">
        <w:rPr>
          <w:rFonts w:ascii="Arial" w:hAnsi="Arial" w:cs="Arial"/>
          <w:sz w:val="24"/>
          <w:szCs w:val="24"/>
        </w:rPr>
        <w:t>R</w:t>
      </w:r>
      <w:r w:rsidR="00145828" w:rsidRPr="00EA768C">
        <w:rPr>
          <w:rFonts w:ascii="Arial" w:hAnsi="Arial" w:cs="Arial"/>
          <w:sz w:val="24"/>
          <w:szCs w:val="24"/>
        </w:rPr>
        <w:t xml:space="preserve">esponsible </w:t>
      </w:r>
      <w:r w:rsidRPr="00EA768C">
        <w:rPr>
          <w:rFonts w:ascii="Arial" w:hAnsi="Arial" w:cs="Arial"/>
          <w:sz w:val="24"/>
          <w:szCs w:val="24"/>
        </w:rPr>
        <w:t>I</w:t>
      </w:r>
      <w:r w:rsidR="00145828" w:rsidRPr="00EA768C">
        <w:rPr>
          <w:rFonts w:ascii="Arial" w:hAnsi="Arial" w:cs="Arial"/>
          <w:sz w:val="24"/>
          <w:szCs w:val="24"/>
        </w:rPr>
        <w:t>nvestment</w:t>
      </w:r>
      <w:r w:rsidRPr="00EA768C">
        <w:rPr>
          <w:rFonts w:ascii="Arial" w:hAnsi="Arial" w:cs="Arial"/>
          <w:sz w:val="24"/>
          <w:szCs w:val="24"/>
        </w:rPr>
        <w:t>.</w:t>
      </w:r>
      <w:bookmarkEnd w:id="13"/>
      <w:bookmarkEnd w:id="14"/>
      <w:bookmarkEnd w:id="15"/>
      <w:bookmarkEnd w:id="16"/>
      <w:bookmarkEnd w:id="17"/>
    </w:p>
    <w:p w14:paraId="56FBC634" w14:textId="77777777" w:rsidR="007F3B5B" w:rsidRDefault="007F3B5B" w:rsidP="003C1688">
      <w:pPr>
        <w:pStyle w:val="Heading2"/>
        <w:rPr>
          <w:rFonts w:ascii="Arial" w:hAnsi="Arial" w:cs="Arial"/>
          <w:color w:val="auto"/>
        </w:rPr>
      </w:pPr>
      <w:bookmarkStart w:id="18" w:name="_Toc115768668"/>
      <w:r w:rsidRPr="003745C6">
        <w:rPr>
          <w:rFonts w:ascii="Arial" w:hAnsi="Arial" w:cs="Arial"/>
          <w:color w:val="auto"/>
        </w:rPr>
        <w:t>Borrowing</w:t>
      </w:r>
      <w:bookmarkEnd w:id="18"/>
    </w:p>
    <w:p w14:paraId="13EF9DF9" w14:textId="77777777" w:rsidR="00852915" w:rsidRPr="002E1C30" w:rsidRDefault="00852915" w:rsidP="0008572F">
      <w:pPr>
        <w:spacing w:after="0"/>
      </w:pPr>
    </w:p>
    <w:p w14:paraId="6A8C0E34" w14:textId="77777777" w:rsidR="00852915" w:rsidRPr="002E1C30" w:rsidRDefault="00852915" w:rsidP="002E1C30">
      <w:p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bookmarkStart w:id="19" w:name="_Toc27485388"/>
      <w:bookmarkStart w:id="20" w:name="_Toc27646692"/>
      <w:bookmarkStart w:id="21" w:name="_Toc27653516"/>
      <w:bookmarkStart w:id="22" w:name="_Toc27983288"/>
      <w:bookmarkStart w:id="23" w:name="_Toc29558767"/>
      <w:bookmarkStart w:id="24" w:name="_Toc34034678"/>
      <w:bookmarkStart w:id="25" w:name="_Toc34034789"/>
      <w:bookmarkStart w:id="26" w:name="_Toc34035081"/>
      <w:bookmarkStart w:id="27" w:name="_Toc34035169"/>
      <w:bookmarkStart w:id="28" w:name="_Toc58406022"/>
      <w:bookmarkStart w:id="29" w:name="_Toc58828814"/>
      <w:bookmarkStart w:id="30" w:name="_Toc58829224"/>
      <w:bookmarkStart w:id="31" w:name="_Toc60754357"/>
      <w:bookmarkStart w:id="32" w:name="_Toc60818632"/>
      <w:bookmarkStart w:id="33" w:name="_Toc60897565"/>
      <w:r w:rsidRPr="002E1C30">
        <w:rPr>
          <w:rFonts w:ascii="Arial" w:hAnsi="Arial" w:cs="Arial"/>
          <w:sz w:val="24"/>
          <w:szCs w:val="24"/>
        </w:rPr>
        <w:t xml:space="preserve">The strategy recognises that the following </w:t>
      </w:r>
      <w:r>
        <w:rPr>
          <w:rFonts w:ascii="Arial" w:hAnsi="Arial" w:cs="Arial"/>
          <w:sz w:val="24"/>
          <w:szCs w:val="24"/>
        </w:rPr>
        <w:t>are</w:t>
      </w:r>
      <w:r w:rsidRPr="002E1C30">
        <w:rPr>
          <w:rFonts w:ascii="Arial" w:hAnsi="Arial" w:cs="Arial"/>
          <w:sz w:val="24"/>
          <w:szCs w:val="24"/>
        </w:rPr>
        <w:t xml:space="preserve"> not prudent activit</w:t>
      </w:r>
      <w:r>
        <w:rPr>
          <w:rFonts w:ascii="Arial" w:hAnsi="Arial" w:cs="Arial"/>
          <w:sz w:val="24"/>
          <w:szCs w:val="24"/>
        </w:rPr>
        <w:t>ies</w:t>
      </w:r>
      <w:r w:rsidRPr="002E1C30">
        <w:rPr>
          <w:rFonts w:ascii="Arial" w:hAnsi="Arial" w:cs="Arial"/>
          <w:sz w:val="24"/>
          <w:szCs w:val="24"/>
        </w:rPr>
        <w:t xml:space="preserve"> for the Council to undertake.</w:t>
      </w:r>
    </w:p>
    <w:p w14:paraId="1A09DC4D" w14:textId="77777777" w:rsidR="00852915" w:rsidRPr="002E1C30" w:rsidRDefault="00852915" w:rsidP="002E1C30">
      <w:pPr>
        <w:numPr>
          <w:ilvl w:val="0"/>
          <w:numId w:val="29"/>
        </w:num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sidRPr="002E1C30">
        <w:rPr>
          <w:rFonts w:ascii="Arial" w:hAnsi="Arial" w:cs="Arial"/>
          <w:sz w:val="24"/>
          <w:szCs w:val="24"/>
        </w:rPr>
        <w:t>Borrowing to investment for the primary purpose of return</w:t>
      </w:r>
    </w:p>
    <w:p w14:paraId="07552FAC" w14:textId="77777777" w:rsidR="00852915" w:rsidRPr="002E1C30" w:rsidRDefault="00852915" w:rsidP="002E1C30">
      <w:pPr>
        <w:numPr>
          <w:ilvl w:val="0"/>
          <w:numId w:val="29"/>
        </w:num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sidRPr="002E1C30">
        <w:rPr>
          <w:rFonts w:ascii="Arial" w:hAnsi="Arial" w:cs="Arial"/>
          <w:sz w:val="24"/>
          <w:szCs w:val="24"/>
        </w:rPr>
        <w:t xml:space="preserve">Making any investment or spending decision that will increase the Council’s capital financing requirement, and so may lead to new borrowing, unless directly and primarily related to the function of the Council and where any financial returns are either related to the financial viability of the project or otherwise incidental to the primary </w:t>
      </w:r>
      <w:proofErr w:type="gramStart"/>
      <w:r w:rsidRPr="002E1C30">
        <w:rPr>
          <w:rFonts w:ascii="Arial" w:hAnsi="Arial" w:cs="Arial"/>
          <w:sz w:val="24"/>
          <w:szCs w:val="24"/>
        </w:rPr>
        <w:t>purpose</w:t>
      </w:r>
      <w:proofErr w:type="gramEnd"/>
    </w:p>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6A1287B7" w14:textId="77777777" w:rsidR="00852915" w:rsidRDefault="00852915" w:rsidP="003C1688">
      <w:pPr>
        <w:rPr>
          <w:rFonts w:ascii="Arial" w:hAnsi="Arial" w:cs="Arial"/>
          <w:sz w:val="24"/>
          <w:szCs w:val="24"/>
        </w:rPr>
      </w:pPr>
      <w:r w:rsidRPr="00852915">
        <w:rPr>
          <w:rFonts w:ascii="Arial" w:hAnsi="Arial" w:cs="Arial"/>
          <w:sz w:val="24"/>
          <w:szCs w:val="24"/>
        </w:rPr>
        <w:t xml:space="preserve">The Council is currently debt-free and has no borrowing other than that which might occur as part of routine working capital management.  There are no plans to borrow to finance new capital expenditure over the medium </w:t>
      </w:r>
      <w:proofErr w:type="gramStart"/>
      <w:r w:rsidRPr="00852915">
        <w:rPr>
          <w:rFonts w:ascii="Arial" w:hAnsi="Arial" w:cs="Arial"/>
          <w:sz w:val="24"/>
          <w:szCs w:val="24"/>
        </w:rPr>
        <w:t>term</w:t>
      </w:r>
      <w:proofErr w:type="gramEnd"/>
      <w:r w:rsidRPr="00852915">
        <w:rPr>
          <w:rFonts w:ascii="Arial" w:hAnsi="Arial" w:cs="Arial"/>
          <w:sz w:val="24"/>
          <w:szCs w:val="24"/>
        </w:rPr>
        <w:t xml:space="preserve"> but this remains an option if deemed to be prudent.</w:t>
      </w:r>
    </w:p>
    <w:p w14:paraId="63ED5417" w14:textId="77777777" w:rsidR="007F3B5B" w:rsidRPr="00E1158E" w:rsidRDefault="007F3B5B" w:rsidP="003C1688">
      <w:pPr>
        <w:rPr>
          <w:rFonts w:ascii="Arial" w:hAnsi="Arial" w:cs="Arial"/>
          <w:sz w:val="24"/>
          <w:szCs w:val="24"/>
        </w:rPr>
      </w:pPr>
      <w:r w:rsidRPr="00E1158E">
        <w:rPr>
          <w:rFonts w:ascii="Arial" w:hAnsi="Arial" w:cs="Arial"/>
          <w:sz w:val="24"/>
          <w:szCs w:val="24"/>
        </w:rPr>
        <w:t xml:space="preserve">If it considers it necessary to borrow money, the Council’s chief objective </w:t>
      </w:r>
      <w:r w:rsidR="008D4E73" w:rsidRPr="00E1158E">
        <w:rPr>
          <w:rFonts w:ascii="Arial" w:hAnsi="Arial" w:cs="Arial"/>
          <w:sz w:val="24"/>
          <w:szCs w:val="24"/>
        </w:rPr>
        <w:t xml:space="preserve">will be </w:t>
      </w:r>
      <w:r w:rsidRPr="00E1158E">
        <w:rPr>
          <w:rFonts w:ascii="Arial" w:hAnsi="Arial" w:cs="Arial"/>
          <w:sz w:val="24"/>
          <w:szCs w:val="24"/>
        </w:rPr>
        <w:t xml:space="preserve">to strike an appropriately low risk balance between securing low interest costs and achieving </w:t>
      </w:r>
      <w:r w:rsidRPr="00E1158E">
        <w:rPr>
          <w:rFonts w:ascii="Arial" w:hAnsi="Arial" w:cs="Arial"/>
          <w:sz w:val="24"/>
          <w:szCs w:val="24"/>
        </w:rPr>
        <w:lastRenderedPageBreak/>
        <w:t>certainty of those costs over the period for which funds are required.  The flexibility to renegotiate loans should the Council’s long-term plans change is a secondary objective.</w:t>
      </w:r>
    </w:p>
    <w:p w14:paraId="22BFE3AE" w14:textId="77777777" w:rsidR="00C37350" w:rsidRPr="00E1158E" w:rsidRDefault="00C37350" w:rsidP="00C37350">
      <w:pPr>
        <w:rPr>
          <w:rFonts w:ascii="Arial" w:hAnsi="Arial" w:cs="Arial"/>
          <w:sz w:val="24"/>
          <w:szCs w:val="24"/>
        </w:rPr>
      </w:pPr>
      <w:r w:rsidRPr="00E1158E">
        <w:rPr>
          <w:rFonts w:ascii="Arial" w:hAnsi="Arial" w:cs="Arial"/>
          <w:sz w:val="24"/>
          <w:szCs w:val="24"/>
        </w:rPr>
        <w:t xml:space="preserve">Short term internal borrowing (for schemes that pay back within the 5 year time frame of the capital programme) can be accommodated without incurring external interest charges, provided the resulting savings are recycled into reserves. </w:t>
      </w:r>
    </w:p>
    <w:p w14:paraId="368E3E36" w14:textId="77777777" w:rsidR="00C37350" w:rsidRPr="00E1158E" w:rsidRDefault="00C37350" w:rsidP="00C37350">
      <w:pPr>
        <w:rPr>
          <w:rFonts w:ascii="Arial" w:hAnsi="Arial" w:cs="Arial"/>
          <w:sz w:val="24"/>
          <w:szCs w:val="24"/>
        </w:rPr>
      </w:pPr>
      <w:r w:rsidRPr="00E1158E">
        <w:rPr>
          <w:rFonts w:ascii="Arial" w:hAnsi="Arial" w:cs="Arial"/>
          <w:sz w:val="24"/>
          <w:szCs w:val="24"/>
        </w:rPr>
        <w:t xml:space="preserve">Longer term pay back periods will have to accommodate both the external interest and a minimum revenue provision (MRP) in accordance with the Council’s MRP policy. </w:t>
      </w:r>
    </w:p>
    <w:p w14:paraId="09F579B5" w14:textId="77777777" w:rsidR="00C37350" w:rsidRPr="00E1158E" w:rsidRDefault="00C37350" w:rsidP="00C37350">
      <w:pPr>
        <w:rPr>
          <w:rFonts w:ascii="Arial" w:hAnsi="Arial" w:cs="Arial"/>
          <w:sz w:val="24"/>
          <w:szCs w:val="24"/>
        </w:rPr>
      </w:pPr>
      <w:r w:rsidRPr="00E1158E">
        <w:rPr>
          <w:rFonts w:ascii="Arial" w:hAnsi="Arial" w:cs="Arial"/>
          <w:sz w:val="24"/>
          <w:szCs w:val="24"/>
        </w:rPr>
        <w:t>Borrowing would add pressure on the revenue budget as MRP and interest would become payable. The capacity to make these payments would need to be identified in advance, namely the further efficiency savings generated by the investment in the assets.</w:t>
      </w:r>
    </w:p>
    <w:p w14:paraId="294AD14C" w14:textId="77777777" w:rsidR="007F3B5B" w:rsidRPr="003745C6" w:rsidRDefault="007F3B5B" w:rsidP="003745C6">
      <w:pPr>
        <w:pStyle w:val="Heading3"/>
        <w:rPr>
          <w:rFonts w:ascii="Arial" w:hAnsi="Arial" w:cs="Arial"/>
        </w:rPr>
      </w:pPr>
      <w:bookmarkStart w:id="34" w:name="_Toc115768669"/>
      <w:r w:rsidRPr="003745C6">
        <w:rPr>
          <w:rFonts w:ascii="Arial" w:hAnsi="Arial" w:cs="Arial"/>
        </w:rPr>
        <w:t>Borrowing Sources</w:t>
      </w:r>
      <w:bookmarkEnd w:id="34"/>
    </w:p>
    <w:p w14:paraId="364C2175" w14:textId="77777777" w:rsidR="007F3B5B" w:rsidRPr="00E1158E" w:rsidRDefault="007F3B5B" w:rsidP="003C1688">
      <w:pPr>
        <w:rPr>
          <w:rFonts w:ascii="Arial" w:hAnsi="Arial" w:cs="Arial"/>
          <w:sz w:val="24"/>
          <w:szCs w:val="24"/>
        </w:rPr>
      </w:pPr>
      <w:r w:rsidRPr="00E1158E">
        <w:rPr>
          <w:rFonts w:ascii="Arial" w:hAnsi="Arial" w:cs="Arial"/>
          <w:sz w:val="24"/>
          <w:szCs w:val="24"/>
        </w:rPr>
        <w:t xml:space="preserve">The Council may need to borrow money in the short term to cover unexpected cash flow shortages </w:t>
      </w:r>
      <w:r w:rsidR="008D4E73" w:rsidRPr="00E1158E">
        <w:rPr>
          <w:rFonts w:ascii="Arial" w:hAnsi="Arial" w:cs="Arial"/>
          <w:sz w:val="24"/>
          <w:szCs w:val="24"/>
        </w:rPr>
        <w:t xml:space="preserve">from the following approved </w:t>
      </w:r>
      <w:r w:rsidR="00305D7E" w:rsidRPr="00E1158E">
        <w:rPr>
          <w:rFonts w:ascii="Arial" w:hAnsi="Arial" w:cs="Arial"/>
          <w:sz w:val="24"/>
          <w:szCs w:val="24"/>
        </w:rPr>
        <w:t>sources</w:t>
      </w:r>
      <w:r w:rsidR="00642D68" w:rsidRPr="00E1158E">
        <w:rPr>
          <w:rFonts w:ascii="Arial" w:hAnsi="Arial" w:cs="Arial"/>
          <w:sz w:val="24"/>
          <w:szCs w:val="24"/>
        </w:rPr>
        <w:t>:</w:t>
      </w:r>
    </w:p>
    <w:p w14:paraId="21AC5EF8" w14:textId="521762FE" w:rsidR="008D4E73" w:rsidRDefault="00E57007" w:rsidP="00E57007">
      <w:pPr>
        <w:pStyle w:val="ListParagraph"/>
        <w:numPr>
          <w:ilvl w:val="0"/>
          <w:numId w:val="3"/>
        </w:numPr>
        <w:rPr>
          <w:rFonts w:ascii="Arial" w:hAnsi="Arial" w:cs="Arial"/>
          <w:sz w:val="24"/>
          <w:szCs w:val="24"/>
        </w:rPr>
      </w:pPr>
      <w:r w:rsidRPr="00E57007">
        <w:rPr>
          <w:rFonts w:ascii="Arial" w:hAnsi="Arial" w:cs="Arial"/>
          <w:sz w:val="24"/>
          <w:szCs w:val="24"/>
        </w:rPr>
        <w:t>HM Treasury’s PWLB lending facility (formerly the Public Works Loan Board)</w:t>
      </w:r>
    </w:p>
    <w:p w14:paraId="663D7FEA" w14:textId="62034B22" w:rsidR="00762564" w:rsidRPr="00E1158E" w:rsidRDefault="00762564" w:rsidP="00E57007">
      <w:pPr>
        <w:pStyle w:val="ListParagraph"/>
        <w:numPr>
          <w:ilvl w:val="0"/>
          <w:numId w:val="3"/>
        </w:numPr>
        <w:rPr>
          <w:rFonts w:ascii="Arial" w:hAnsi="Arial" w:cs="Arial"/>
          <w:sz w:val="24"/>
          <w:szCs w:val="24"/>
        </w:rPr>
      </w:pPr>
      <w:r>
        <w:rPr>
          <w:rFonts w:ascii="Arial" w:hAnsi="Arial" w:cs="Arial"/>
          <w:sz w:val="24"/>
          <w:szCs w:val="24"/>
        </w:rPr>
        <w:t>UK Infrastructure Bank Ltd</w:t>
      </w:r>
    </w:p>
    <w:p w14:paraId="6CC42549" w14:textId="77777777" w:rsidR="008D4E73" w:rsidRPr="00E1158E" w:rsidRDefault="008D4E73" w:rsidP="00AA2347">
      <w:pPr>
        <w:pStyle w:val="ListParagraph"/>
        <w:numPr>
          <w:ilvl w:val="0"/>
          <w:numId w:val="3"/>
        </w:numPr>
        <w:rPr>
          <w:rFonts w:ascii="Arial" w:hAnsi="Arial" w:cs="Arial"/>
          <w:sz w:val="24"/>
          <w:szCs w:val="24"/>
        </w:rPr>
      </w:pPr>
      <w:r w:rsidRPr="00E1158E">
        <w:rPr>
          <w:rFonts w:ascii="Arial" w:hAnsi="Arial" w:cs="Arial"/>
          <w:sz w:val="24"/>
          <w:szCs w:val="24"/>
        </w:rPr>
        <w:t xml:space="preserve">Any institution approved for </w:t>
      </w:r>
      <w:proofErr w:type="gramStart"/>
      <w:r w:rsidRPr="00E1158E">
        <w:rPr>
          <w:rFonts w:ascii="Arial" w:hAnsi="Arial" w:cs="Arial"/>
          <w:sz w:val="24"/>
          <w:szCs w:val="24"/>
        </w:rPr>
        <w:t>investments</w:t>
      </w:r>
      <w:proofErr w:type="gramEnd"/>
    </w:p>
    <w:p w14:paraId="3BD74F84" w14:textId="77777777" w:rsidR="008D4E73" w:rsidRPr="00E1158E" w:rsidRDefault="008D4E73" w:rsidP="00AA2347">
      <w:pPr>
        <w:pStyle w:val="ListParagraph"/>
        <w:numPr>
          <w:ilvl w:val="0"/>
          <w:numId w:val="3"/>
        </w:numPr>
        <w:rPr>
          <w:rFonts w:ascii="Arial" w:hAnsi="Arial" w:cs="Arial"/>
          <w:sz w:val="24"/>
          <w:szCs w:val="24"/>
        </w:rPr>
      </w:pPr>
      <w:r w:rsidRPr="00E1158E">
        <w:rPr>
          <w:rFonts w:ascii="Arial" w:hAnsi="Arial" w:cs="Arial"/>
          <w:sz w:val="24"/>
          <w:szCs w:val="24"/>
        </w:rPr>
        <w:t xml:space="preserve">Any other bank or building society authorised to operate in the </w:t>
      </w:r>
      <w:proofErr w:type="gramStart"/>
      <w:r w:rsidRPr="00E1158E">
        <w:rPr>
          <w:rFonts w:ascii="Arial" w:hAnsi="Arial" w:cs="Arial"/>
          <w:sz w:val="24"/>
          <w:szCs w:val="24"/>
        </w:rPr>
        <w:t>UK</w:t>
      </w:r>
      <w:proofErr w:type="gramEnd"/>
    </w:p>
    <w:p w14:paraId="4E12474E" w14:textId="77777777" w:rsidR="00AD2B6F" w:rsidRDefault="008D4E73" w:rsidP="003745C6">
      <w:pPr>
        <w:pStyle w:val="ListParagraph"/>
        <w:numPr>
          <w:ilvl w:val="0"/>
          <w:numId w:val="3"/>
        </w:numPr>
        <w:rPr>
          <w:rFonts w:ascii="Arial" w:hAnsi="Arial" w:cs="Arial"/>
          <w:sz w:val="24"/>
          <w:szCs w:val="24"/>
        </w:rPr>
      </w:pPr>
      <w:r w:rsidRPr="00AD2B6F">
        <w:rPr>
          <w:rFonts w:ascii="Arial" w:hAnsi="Arial" w:cs="Arial"/>
          <w:sz w:val="24"/>
          <w:szCs w:val="24"/>
        </w:rPr>
        <w:t>UK public and private sector pension funds (except the West Sussex Pension Fund)</w:t>
      </w:r>
    </w:p>
    <w:p w14:paraId="2E4658B3" w14:textId="77777777" w:rsidR="00AD2B6F" w:rsidRDefault="00AD2B6F" w:rsidP="003745C6">
      <w:pPr>
        <w:pStyle w:val="ListParagraph"/>
        <w:numPr>
          <w:ilvl w:val="0"/>
          <w:numId w:val="3"/>
        </w:numPr>
        <w:rPr>
          <w:rFonts w:ascii="Arial" w:hAnsi="Arial" w:cs="Arial"/>
          <w:sz w:val="24"/>
          <w:szCs w:val="24"/>
        </w:rPr>
      </w:pPr>
      <w:r w:rsidRPr="00AD2B6F">
        <w:rPr>
          <w:rFonts w:ascii="Arial" w:hAnsi="Arial" w:cs="Arial"/>
          <w:sz w:val="24"/>
          <w:szCs w:val="24"/>
        </w:rPr>
        <w:t xml:space="preserve">UK Municipal Bonds Agency plc and other special purpose companies created to enable local authority bond </w:t>
      </w:r>
      <w:proofErr w:type="gramStart"/>
      <w:r w:rsidRPr="00AD2B6F">
        <w:rPr>
          <w:rFonts w:ascii="Arial" w:hAnsi="Arial" w:cs="Arial"/>
          <w:sz w:val="24"/>
          <w:szCs w:val="24"/>
        </w:rPr>
        <w:t>issues</w:t>
      </w:r>
      <w:proofErr w:type="gramEnd"/>
    </w:p>
    <w:p w14:paraId="5BC58AF1" w14:textId="77777777" w:rsidR="00D16147" w:rsidRPr="00D16147" w:rsidRDefault="00D16147" w:rsidP="00D16147">
      <w:pPr>
        <w:pStyle w:val="ListParagraph"/>
        <w:numPr>
          <w:ilvl w:val="0"/>
          <w:numId w:val="3"/>
        </w:numPr>
        <w:rPr>
          <w:rFonts w:ascii="Arial" w:hAnsi="Arial" w:cs="Arial"/>
          <w:sz w:val="24"/>
          <w:szCs w:val="24"/>
        </w:rPr>
      </w:pPr>
      <w:r w:rsidRPr="00D16147">
        <w:rPr>
          <w:rFonts w:ascii="Arial" w:hAnsi="Arial" w:cs="Arial"/>
          <w:sz w:val="24"/>
          <w:szCs w:val="24"/>
        </w:rPr>
        <w:t>Capital market bond investors</w:t>
      </w:r>
      <w:r w:rsidR="00536E4A">
        <w:rPr>
          <w:rFonts w:ascii="Arial" w:hAnsi="Arial" w:cs="Arial"/>
          <w:sz w:val="24"/>
          <w:szCs w:val="24"/>
        </w:rPr>
        <w:t xml:space="preserve">, including via community municipal </w:t>
      </w:r>
      <w:proofErr w:type="gramStart"/>
      <w:r w:rsidR="00536E4A">
        <w:rPr>
          <w:rFonts w:ascii="Arial" w:hAnsi="Arial" w:cs="Arial"/>
          <w:sz w:val="24"/>
          <w:szCs w:val="24"/>
        </w:rPr>
        <w:t>bonds</w:t>
      </w:r>
      <w:proofErr w:type="gramEnd"/>
    </w:p>
    <w:p w14:paraId="44701711" w14:textId="77777777" w:rsidR="007A12C7" w:rsidRPr="00E1158E" w:rsidRDefault="007A12C7" w:rsidP="00AA2347">
      <w:pPr>
        <w:pStyle w:val="ListParagraph"/>
        <w:numPr>
          <w:ilvl w:val="0"/>
          <w:numId w:val="3"/>
        </w:numPr>
        <w:rPr>
          <w:rFonts w:ascii="Arial" w:hAnsi="Arial" w:cs="Arial"/>
          <w:sz w:val="24"/>
          <w:szCs w:val="24"/>
        </w:rPr>
      </w:pPr>
      <w:r w:rsidRPr="00E1158E">
        <w:rPr>
          <w:rFonts w:ascii="Arial" w:hAnsi="Arial" w:cs="Arial"/>
          <w:sz w:val="24"/>
          <w:szCs w:val="24"/>
        </w:rPr>
        <w:t>Any other UK public sector body</w:t>
      </w:r>
    </w:p>
    <w:p w14:paraId="1B31C703" w14:textId="77777777" w:rsidR="008D4E73" w:rsidRPr="00E1158E" w:rsidRDefault="008D4E73" w:rsidP="008D4E73">
      <w:pPr>
        <w:rPr>
          <w:rFonts w:ascii="Arial" w:hAnsi="Arial" w:cs="Arial"/>
          <w:sz w:val="24"/>
          <w:szCs w:val="24"/>
        </w:rPr>
      </w:pPr>
      <w:r w:rsidRPr="00E1158E">
        <w:rPr>
          <w:rFonts w:ascii="Arial" w:hAnsi="Arial" w:cs="Arial"/>
          <w:sz w:val="24"/>
          <w:szCs w:val="24"/>
        </w:rPr>
        <w:t>In addition, capital finance may be raised by the following methods that are not borrowing, but may be classed as other debt liabilities:</w:t>
      </w:r>
    </w:p>
    <w:p w14:paraId="5FAC7DC7" w14:textId="77777777" w:rsidR="008D4E73" w:rsidRPr="00E1158E" w:rsidRDefault="007A12C7" w:rsidP="00AA2347">
      <w:pPr>
        <w:pStyle w:val="ListParagraph"/>
        <w:numPr>
          <w:ilvl w:val="0"/>
          <w:numId w:val="10"/>
        </w:numPr>
        <w:rPr>
          <w:rFonts w:ascii="Arial" w:hAnsi="Arial" w:cs="Arial"/>
          <w:sz w:val="24"/>
          <w:szCs w:val="24"/>
        </w:rPr>
      </w:pPr>
      <w:r w:rsidRPr="00E1158E">
        <w:rPr>
          <w:rFonts w:ascii="Arial" w:hAnsi="Arial" w:cs="Arial"/>
          <w:sz w:val="24"/>
          <w:szCs w:val="24"/>
        </w:rPr>
        <w:t>Leasing</w:t>
      </w:r>
    </w:p>
    <w:p w14:paraId="77622444" w14:textId="77777777" w:rsidR="008D4E73" w:rsidRPr="00E1158E" w:rsidRDefault="008D4E73" w:rsidP="00AA2347">
      <w:pPr>
        <w:pStyle w:val="ListParagraph"/>
        <w:numPr>
          <w:ilvl w:val="0"/>
          <w:numId w:val="10"/>
        </w:numPr>
        <w:rPr>
          <w:rFonts w:ascii="Arial" w:hAnsi="Arial" w:cs="Arial"/>
          <w:sz w:val="24"/>
          <w:szCs w:val="24"/>
        </w:rPr>
      </w:pPr>
      <w:r w:rsidRPr="00E1158E">
        <w:rPr>
          <w:rFonts w:ascii="Arial" w:hAnsi="Arial" w:cs="Arial"/>
          <w:sz w:val="24"/>
          <w:szCs w:val="24"/>
        </w:rPr>
        <w:t xml:space="preserve">Hire </w:t>
      </w:r>
      <w:proofErr w:type="gramStart"/>
      <w:r w:rsidRPr="00E1158E">
        <w:rPr>
          <w:rFonts w:ascii="Arial" w:hAnsi="Arial" w:cs="Arial"/>
          <w:sz w:val="24"/>
          <w:szCs w:val="24"/>
        </w:rPr>
        <w:t>purchase</w:t>
      </w:r>
      <w:proofErr w:type="gramEnd"/>
    </w:p>
    <w:p w14:paraId="0B1630E7" w14:textId="77777777" w:rsidR="008D4E73" w:rsidRDefault="008D4E73" w:rsidP="00AA2347">
      <w:pPr>
        <w:pStyle w:val="ListParagraph"/>
        <w:numPr>
          <w:ilvl w:val="0"/>
          <w:numId w:val="10"/>
        </w:numPr>
        <w:rPr>
          <w:rFonts w:ascii="Arial" w:hAnsi="Arial" w:cs="Arial"/>
          <w:sz w:val="24"/>
          <w:szCs w:val="24"/>
        </w:rPr>
      </w:pPr>
      <w:r w:rsidRPr="00E1158E">
        <w:rPr>
          <w:rFonts w:ascii="Arial" w:hAnsi="Arial" w:cs="Arial"/>
          <w:sz w:val="24"/>
          <w:szCs w:val="24"/>
        </w:rPr>
        <w:t>Sale and leaseback</w:t>
      </w:r>
    </w:p>
    <w:p w14:paraId="6D5ECC7B" w14:textId="77777777" w:rsidR="0008572F" w:rsidRPr="00E1158E" w:rsidRDefault="0008572F" w:rsidP="00AA2347">
      <w:pPr>
        <w:pStyle w:val="ListParagraph"/>
        <w:numPr>
          <w:ilvl w:val="0"/>
          <w:numId w:val="10"/>
        </w:numPr>
        <w:rPr>
          <w:rFonts w:ascii="Arial" w:hAnsi="Arial" w:cs="Arial"/>
          <w:sz w:val="24"/>
          <w:szCs w:val="24"/>
        </w:rPr>
      </w:pPr>
      <w:r>
        <w:rPr>
          <w:rFonts w:ascii="Arial" w:hAnsi="Arial" w:cs="Arial"/>
          <w:sz w:val="24"/>
          <w:szCs w:val="24"/>
        </w:rPr>
        <w:t xml:space="preserve">Similar asset based </w:t>
      </w:r>
      <w:proofErr w:type="gramStart"/>
      <w:r>
        <w:rPr>
          <w:rFonts w:ascii="Arial" w:hAnsi="Arial" w:cs="Arial"/>
          <w:sz w:val="24"/>
          <w:szCs w:val="24"/>
        </w:rPr>
        <w:t>finance</w:t>
      </w:r>
      <w:proofErr w:type="gramEnd"/>
    </w:p>
    <w:p w14:paraId="68D77E39" w14:textId="77777777" w:rsidR="00520C6E" w:rsidRDefault="007F3B5B" w:rsidP="003C1688">
      <w:pPr>
        <w:rPr>
          <w:rFonts w:ascii="Arial" w:hAnsi="Arial" w:cs="Arial"/>
          <w:sz w:val="24"/>
          <w:szCs w:val="24"/>
        </w:rPr>
      </w:pPr>
      <w:r w:rsidRPr="00E1158E">
        <w:rPr>
          <w:rFonts w:ascii="Arial" w:hAnsi="Arial" w:cs="Arial"/>
          <w:sz w:val="24"/>
          <w:szCs w:val="24"/>
        </w:rPr>
        <w:t xml:space="preserve">The Council will, where possible, take advantage of </w:t>
      </w:r>
      <w:r w:rsidR="006A0D2E">
        <w:rPr>
          <w:rFonts w:ascii="Arial" w:hAnsi="Arial" w:cs="Arial"/>
          <w:sz w:val="24"/>
          <w:szCs w:val="24"/>
        </w:rPr>
        <w:t>any</w:t>
      </w:r>
      <w:r w:rsidRPr="00E1158E">
        <w:rPr>
          <w:rFonts w:ascii="Arial" w:hAnsi="Arial" w:cs="Arial"/>
          <w:sz w:val="24"/>
          <w:szCs w:val="24"/>
        </w:rPr>
        <w:t xml:space="preserve"> reduction in borrowing costs available from the Public Works Loan Board (PWLB) </w:t>
      </w:r>
      <w:r w:rsidR="006A0D2E">
        <w:rPr>
          <w:rFonts w:ascii="Arial" w:hAnsi="Arial" w:cs="Arial"/>
          <w:sz w:val="24"/>
          <w:szCs w:val="24"/>
        </w:rPr>
        <w:t>for</w:t>
      </w:r>
      <w:r w:rsidRPr="00E1158E">
        <w:rPr>
          <w:rFonts w:ascii="Arial" w:hAnsi="Arial" w:cs="Arial"/>
          <w:sz w:val="24"/>
          <w:szCs w:val="24"/>
        </w:rPr>
        <w:t xml:space="preserve"> authorities who provide information on their plans for long-term borrowing and associated capital spending. </w:t>
      </w:r>
    </w:p>
    <w:p w14:paraId="2E122E25" w14:textId="77777777" w:rsidR="007F3B5B" w:rsidRPr="00E1158E" w:rsidRDefault="00520C6E" w:rsidP="003C1688">
      <w:pPr>
        <w:rPr>
          <w:rFonts w:ascii="Arial" w:hAnsi="Arial" w:cs="Arial"/>
          <w:sz w:val="24"/>
          <w:szCs w:val="24"/>
        </w:rPr>
      </w:pPr>
      <w:r w:rsidRPr="00762302">
        <w:rPr>
          <w:rFonts w:ascii="Arial" w:hAnsi="Arial" w:cs="Arial"/>
          <w:sz w:val="24"/>
          <w:szCs w:val="24"/>
        </w:rPr>
        <w:t>PWLB loans are no longer available to local authorities planning to buy investment assets primarily for yield; the Authority intends to avoid this activity in order to retain its potential access to PWLB loans.</w:t>
      </w:r>
    </w:p>
    <w:p w14:paraId="0A810854" w14:textId="77777777" w:rsidR="007F3B5B" w:rsidRPr="003745C6" w:rsidRDefault="007F3B5B" w:rsidP="003745C6">
      <w:pPr>
        <w:pStyle w:val="Heading3"/>
        <w:rPr>
          <w:rFonts w:ascii="Arial" w:hAnsi="Arial" w:cs="Arial"/>
        </w:rPr>
      </w:pPr>
      <w:bookmarkStart w:id="35" w:name="_Toc115768670"/>
      <w:r w:rsidRPr="003745C6">
        <w:rPr>
          <w:rFonts w:ascii="Arial" w:hAnsi="Arial" w:cs="Arial"/>
        </w:rPr>
        <w:lastRenderedPageBreak/>
        <w:t>Operational Bound</w:t>
      </w:r>
      <w:r w:rsidRPr="003745C6">
        <w:rPr>
          <w:rStyle w:val="Heading3Char"/>
          <w:rFonts w:ascii="Arial" w:hAnsi="Arial" w:cs="Arial"/>
        </w:rPr>
        <w:t>a</w:t>
      </w:r>
      <w:r w:rsidRPr="003745C6">
        <w:rPr>
          <w:rFonts w:ascii="Arial" w:hAnsi="Arial" w:cs="Arial"/>
        </w:rPr>
        <w:t>ry for External Debt</w:t>
      </w:r>
      <w:bookmarkEnd w:id="35"/>
    </w:p>
    <w:p w14:paraId="13292B8D" w14:textId="77777777" w:rsidR="007F3B5B" w:rsidRDefault="007F3B5B" w:rsidP="003C1688">
      <w:pPr>
        <w:rPr>
          <w:rFonts w:ascii="Arial" w:hAnsi="Arial" w:cs="Arial"/>
          <w:sz w:val="24"/>
          <w:szCs w:val="24"/>
        </w:rPr>
      </w:pPr>
      <w:r w:rsidRPr="00E1158E">
        <w:rPr>
          <w:rFonts w:ascii="Arial" w:hAnsi="Arial" w:cs="Arial"/>
          <w:sz w:val="24"/>
          <w:szCs w:val="24"/>
        </w:rPr>
        <w:t>The operational boundary is based on the Authority’s estimate of most likely (</w:t>
      </w:r>
      <w:proofErr w:type="gramStart"/>
      <w:r w:rsidRPr="00E1158E">
        <w:rPr>
          <w:rFonts w:ascii="Arial" w:hAnsi="Arial" w:cs="Arial"/>
          <w:sz w:val="24"/>
          <w:szCs w:val="24"/>
        </w:rPr>
        <w:t>i.e.</w:t>
      </w:r>
      <w:proofErr w:type="gramEnd"/>
      <w:r w:rsidRPr="00E1158E">
        <w:rPr>
          <w:rFonts w:ascii="Arial" w:hAnsi="Arial" w:cs="Arial"/>
          <w:sz w:val="24"/>
          <w:szCs w:val="24"/>
        </w:rPr>
        <w:t xml:space="preserve"> prudent but not worst case) scenario for external debt. It links directly to the Authority’s estimates of capital expenditure, the capital financing </w:t>
      </w:r>
      <w:proofErr w:type="gramStart"/>
      <w:r w:rsidRPr="00E1158E">
        <w:rPr>
          <w:rFonts w:ascii="Arial" w:hAnsi="Arial" w:cs="Arial"/>
          <w:sz w:val="24"/>
          <w:szCs w:val="24"/>
        </w:rPr>
        <w:t>requirement</w:t>
      </w:r>
      <w:proofErr w:type="gramEnd"/>
      <w:r w:rsidRPr="00E1158E">
        <w:rPr>
          <w:rFonts w:ascii="Arial" w:hAnsi="Arial" w:cs="Arial"/>
          <w:sz w:val="24"/>
          <w:szCs w:val="24"/>
        </w:rPr>
        <w:t xml:space="preserve"> and cash flow requirements, and is a key management tool for in-year monitoring.  </w:t>
      </w:r>
      <w:r w:rsidR="00F619C2">
        <w:rPr>
          <w:rFonts w:ascii="Arial" w:hAnsi="Arial" w:cs="Arial"/>
          <w:sz w:val="24"/>
          <w:szCs w:val="24"/>
        </w:rPr>
        <w:t>If these limits are breached in-year, this will trigger an exception report explaining the circumstances of the breach to Cabinet.</w:t>
      </w:r>
    </w:p>
    <w:p w14:paraId="2D787A12" w14:textId="77777777" w:rsidR="00C24478" w:rsidRPr="00E1158E" w:rsidRDefault="00C24478" w:rsidP="003C1688">
      <w:pPr>
        <w:rPr>
          <w:rFonts w:ascii="Arial" w:hAnsi="Arial" w:cs="Arial"/>
          <w:sz w:val="24"/>
          <w:szCs w:val="24"/>
        </w:rPr>
      </w:pPr>
      <w:r>
        <w:rPr>
          <w:rFonts w:ascii="Arial" w:hAnsi="Arial" w:cs="Arial"/>
          <w:sz w:val="24"/>
          <w:szCs w:val="24"/>
        </w:rPr>
        <w:t xml:space="preserve">The limit for ‘other long term </w:t>
      </w:r>
      <w:r w:rsidR="005F5525">
        <w:rPr>
          <w:rFonts w:ascii="Arial" w:hAnsi="Arial" w:cs="Arial"/>
          <w:sz w:val="24"/>
          <w:szCs w:val="24"/>
        </w:rPr>
        <w:t>liabilities</w:t>
      </w:r>
      <w:r>
        <w:rPr>
          <w:rFonts w:ascii="Arial" w:hAnsi="Arial" w:cs="Arial"/>
          <w:sz w:val="24"/>
          <w:szCs w:val="24"/>
        </w:rPr>
        <w:t>’ includes the Council’s best estimate of finance lease liabilities that may be recognised following adoption of IFRS16 on 1 April 202</w:t>
      </w:r>
      <w:r w:rsidR="00E81157">
        <w:rPr>
          <w:rFonts w:ascii="Arial" w:hAnsi="Arial" w:cs="Arial"/>
          <w:sz w:val="24"/>
          <w:szCs w:val="24"/>
        </w:rPr>
        <w:t>4</w:t>
      </w:r>
      <w:r>
        <w:rPr>
          <w:rFonts w:ascii="Arial" w:hAnsi="Arial" w:cs="Arial"/>
          <w:sz w:val="24"/>
          <w:szCs w:val="24"/>
        </w:rPr>
        <w:t>.</w:t>
      </w:r>
    </w:p>
    <w:p w14:paraId="01EFC0B6" w14:textId="77777777" w:rsidR="007F3B5B" w:rsidRPr="00E1158E" w:rsidRDefault="007F3B5B" w:rsidP="003C1688">
      <w:pPr>
        <w:ind w:firstLine="360"/>
        <w:rPr>
          <w:rFonts w:ascii="Arial" w:hAnsi="Arial" w:cs="Arial"/>
          <w:i/>
          <w:sz w:val="24"/>
          <w:szCs w:val="24"/>
        </w:rPr>
      </w:pPr>
      <w:r w:rsidRPr="00E1158E">
        <w:rPr>
          <w:rFonts w:ascii="Arial" w:hAnsi="Arial" w:cs="Arial"/>
          <w:i/>
          <w:sz w:val="24"/>
          <w:szCs w:val="24"/>
        </w:rPr>
        <w:t xml:space="preserve">Table </w:t>
      </w:r>
      <w:r w:rsidR="009B2917">
        <w:rPr>
          <w:rFonts w:ascii="Arial" w:hAnsi="Arial" w:cs="Arial"/>
          <w:i/>
          <w:sz w:val="24"/>
          <w:szCs w:val="24"/>
        </w:rPr>
        <w:t>5</w:t>
      </w:r>
      <w:r w:rsidRPr="00E1158E">
        <w:rPr>
          <w:rFonts w:ascii="Arial" w:hAnsi="Arial" w:cs="Arial"/>
          <w:i/>
          <w:sz w:val="24"/>
          <w:szCs w:val="24"/>
        </w:rPr>
        <w:t xml:space="preserve">: </w:t>
      </w:r>
      <w:r w:rsidRPr="00E1158E">
        <w:rPr>
          <w:rFonts w:ascii="Arial" w:hAnsi="Arial" w:cs="Arial"/>
          <w:i/>
          <w:color w:val="000000"/>
          <w:sz w:val="24"/>
          <w:szCs w:val="24"/>
        </w:rPr>
        <w:t>Operational</w:t>
      </w:r>
      <w:r w:rsidRPr="00E1158E">
        <w:rPr>
          <w:rFonts w:ascii="Arial" w:hAnsi="Arial" w:cs="Arial"/>
          <w:i/>
          <w:sz w:val="24"/>
          <w:szCs w:val="24"/>
        </w:rPr>
        <w:t xml:space="preserve"> boundary for external debt</w:t>
      </w:r>
    </w:p>
    <w:tbl>
      <w:tblPr>
        <w:tblW w:w="858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303"/>
        <w:gridCol w:w="1276"/>
        <w:gridCol w:w="1276"/>
        <w:gridCol w:w="1276"/>
        <w:gridCol w:w="1276"/>
      </w:tblGrid>
      <w:tr w:rsidR="00527259" w:rsidRPr="00940812" w14:paraId="5A664A0C" w14:textId="77777777" w:rsidTr="007E6F23">
        <w:trPr>
          <w:trHeight w:val="397"/>
        </w:trPr>
        <w:tc>
          <w:tcPr>
            <w:tcW w:w="2178" w:type="dxa"/>
            <w:shd w:val="clear" w:color="auto" w:fill="D9D9D9"/>
            <w:vAlign w:val="center"/>
          </w:tcPr>
          <w:p w14:paraId="65C0B41F" w14:textId="77777777" w:rsidR="00527259" w:rsidRPr="00940812" w:rsidRDefault="00527259" w:rsidP="003C1688">
            <w:pPr>
              <w:tabs>
                <w:tab w:val="left" w:pos="374"/>
                <w:tab w:val="left" w:pos="720"/>
                <w:tab w:val="left" w:pos="748"/>
                <w:tab w:val="left" w:pos="1260"/>
                <w:tab w:val="left" w:pos="1980"/>
                <w:tab w:val="left" w:pos="2520"/>
              </w:tabs>
              <w:spacing w:after="0"/>
              <w:rPr>
                <w:rFonts w:ascii="Arial" w:hAnsi="Arial" w:cs="Arial"/>
                <w:bCs/>
                <w:sz w:val="24"/>
                <w:szCs w:val="24"/>
              </w:rPr>
            </w:pPr>
            <w:r w:rsidRPr="00940812">
              <w:rPr>
                <w:rFonts w:ascii="Arial" w:hAnsi="Arial" w:cs="Arial"/>
                <w:sz w:val="24"/>
                <w:szCs w:val="24"/>
              </w:rPr>
              <w:t>Operational Boundary</w:t>
            </w:r>
          </w:p>
        </w:tc>
        <w:tc>
          <w:tcPr>
            <w:tcW w:w="1303" w:type="dxa"/>
            <w:shd w:val="clear" w:color="auto" w:fill="D9D9D9"/>
            <w:vAlign w:val="center"/>
          </w:tcPr>
          <w:p w14:paraId="2CCAF756" w14:textId="77777777" w:rsidR="00527259" w:rsidRPr="00940812" w:rsidRDefault="00527259" w:rsidP="00E81157">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940812">
              <w:rPr>
                <w:rFonts w:ascii="Arial" w:hAnsi="Arial" w:cs="Arial"/>
                <w:bCs/>
                <w:sz w:val="24"/>
                <w:szCs w:val="24"/>
              </w:rPr>
              <w:t>20</w:t>
            </w:r>
            <w:r w:rsidR="00903CA3">
              <w:rPr>
                <w:rFonts w:ascii="Arial" w:hAnsi="Arial" w:cs="Arial"/>
                <w:bCs/>
                <w:sz w:val="24"/>
                <w:szCs w:val="24"/>
              </w:rPr>
              <w:t>2</w:t>
            </w:r>
            <w:r w:rsidR="00E81157">
              <w:rPr>
                <w:rFonts w:ascii="Arial" w:hAnsi="Arial" w:cs="Arial"/>
                <w:bCs/>
                <w:sz w:val="24"/>
                <w:szCs w:val="24"/>
              </w:rPr>
              <w:t>3-24</w:t>
            </w:r>
            <w:r w:rsidRPr="00940812">
              <w:rPr>
                <w:rFonts w:ascii="Arial" w:hAnsi="Arial" w:cs="Arial"/>
                <w:sz w:val="24"/>
                <w:szCs w:val="24"/>
              </w:rPr>
              <w:t xml:space="preserve"> £m</w:t>
            </w:r>
          </w:p>
        </w:tc>
        <w:tc>
          <w:tcPr>
            <w:tcW w:w="1276" w:type="dxa"/>
            <w:shd w:val="clear" w:color="auto" w:fill="D9D9D9"/>
            <w:vAlign w:val="center"/>
          </w:tcPr>
          <w:p w14:paraId="017F6235" w14:textId="77777777" w:rsidR="00527259" w:rsidRPr="00940812" w:rsidRDefault="00527259" w:rsidP="00E81157">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940812">
              <w:rPr>
                <w:rFonts w:ascii="Arial" w:hAnsi="Arial" w:cs="Arial"/>
                <w:bCs/>
                <w:sz w:val="24"/>
                <w:szCs w:val="24"/>
              </w:rPr>
              <w:t>202</w:t>
            </w:r>
            <w:r w:rsidR="00E81157">
              <w:rPr>
                <w:rFonts w:ascii="Arial" w:hAnsi="Arial" w:cs="Arial"/>
                <w:bCs/>
                <w:sz w:val="24"/>
                <w:szCs w:val="24"/>
              </w:rPr>
              <w:t>4-25</w:t>
            </w:r>
            <w:r w:rsidRPr="00940812">
              <w:rPr>
                <w:rFonts w:ascii="Arial" w:hAnsi="Arial" w:cs="Arial"/>
                <w:sz w:val="24"/>
                <w:szCs w:val="24"/>
              </w:rPr>
              <w:t xml:space="preserve"> £m</w:t>
            </w:r>
          </w:p>
        </w:tc>
        <w:tc>
          <w:tcPr>
            <w:tcW w:w="1276" w:type="dxa"/>
            <w:shd w:val="clear" w:color="auto" w:fill="D9D9D9"/>
            <w:vAlign w:val="center"/>
          </w:tcPr>
          <w:p w14:paraId="0EE73511" w14:textId="77777777" w:rsidR="00527259" w:rsidRPr="00940812" w:rsidRDefault="00527259" w:rsidP="00E81157">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940812">
              <w:rPr>
                <w:rFonts w:ascii="Arial" w:hAnsi="Arial" w:cs="Arial"/>
                <w:bCs/>
                <w:sz w:val="24"/>
                <w:szCs w:val="24"/>
              </w:rPr>
              <w:t>202</w:t>
            </w:r>
            <w:r w:rsidR="00E81157">
              <w:rPr>
                <w:rFonts w:ascii="Arial" w:hAnsi="Arial" w:cs="Arial"/>
                <w:bCs/>
                <w:sz w:val="24"/>
                <w:szCs w:val="24"/>
              </w:rPr>
              <w:t>5-26</w:t>
            </w:r>
            <w:r w:rsidRPr="00940812">
              <w:rPr>
                <w:rFonts w:ascii="Arial" w:hAnsi="Arial" w:cs="Arial"/>
                <w:sz w:val="24"/>
                <w:szCs w:val="24"/>
              </w:rPr>
              <w:t xml:space="preserve"> £m</w:t>
            </w:r>
          </w:p>
        </w:tc>
        <w:tc>
          <w:tcPr>
            <w:tcW w:w="1276" w:type="dxa"/>
            <w:shd w:val="clear" w:color="auto" w:fill="D9D9D9"/>
            <w:vAlign w:val="center"/>
          </w:tcPr>
          <w:p w14:paraId="56EB8E4A" w14:textId="77777777" w:rsidR="00527259" w:rsidRPr="00940812" w:rsidRDefault="00527259" w:rsidP="00E81157">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940812">
              <w:rPr>
                <w:rFonts w:ascii="Arial" w:hAnsi="Arial" w:cs="Arial"/>
                <w:bCs/>
                <w:sz w:val="24"/>
                <w:szCs w:val="24"/>
              </w:rPr>
              <w:t>202</w:t>
            </w:r>
            <w:r w:rsidR="00E81157">
              <w:rPr>
                <w:rFonts w:ascii="Arial" w:hAnsi="Arial" w:cs="Arial"/>
                <w:bCs/>
                <w:sz w:val="24"/>
                <w:szCs w:val="24"/>
              </w:rPr>
              <w:t>6-27</w:t>
            </w:r>
            <w:r w:rsidRPr="00940812">
              <w:rPr>
                <w:rFonts w:ascii="Arial" w:hAnsi="Arial" w:cs="Arial"/>
                <w:sz w:val="24"/>
                <w:szCs w:val="24"/>
              </w:rPr>
              <w:t xml:space="preserve"> £m</w:t>
            </w:r>
          </w:p>
        </w:tc>
        <w:tc>
          <w:tcPr>
            <w:tcW w:w="1276" w:type="dxa"/>
            <w:shd w:val="clear" w:color="auto" w:fill="D9D9D9"/>
          </w:tcPr>
          <w:p w14:paraId="25BE8C4E" w14:textId="77777777" w:rsidR="00527259" w:rsidRDefault="00527259" w:rsidP="00E81157">
            <w:pPr>
              <w:tabs>
                <w:tab w:val="left" w:pos="374"/>
                <w:tab w:val="left" w:pos="720"/>
                <w:tab w:val="left" w:pos="748"/>
                <w:tab w:val="left" w:pos="1260"/>
                <w:tab w:val="left" w:pos="1980"/>
                <w:tab w:val="left" w:pos="2520"/>
              </w:tabs>
              <w:spacing w:after="0"/>
              <w:jc w:val="center"/>
              <w:rPr>
                <w:rFonts w:ascii="Arial" w:hAnsi="Arial" w:cs="Arial"/>
                <w:bCs/>
                <w:sz w:val="24"/>
                <w:szCs w:val="24"/>
              </w:rPr>
            </w:pPr>
            <w:r>
              <w:rPr>
                <w:rFonts w:ascii="Arial" w:hAnsi="Arial" w:cs="Arial"/>
                <w:bCs/>
                <w:sz w:val="24"/>
                <w:szCs w:val="24"/>
              </w:rPr>
              <w:t>202</w:t>
            </w:r>
            <w:r w:rsidR="00E81157">
              <w:rPr>
                <w:rFonts w:ascii="Arial" w:hAnsi="Arial" w:cs="Arial"/>
                <w:bCs/>
                <w:sz w:val="24"/>
                <w:szCs w:val="24"/>
              </w:rPr>
              <w:t>7-28</w:t>
            </w:r>
          </w:p>
          <w:p w14:paraId="1A195F36" w14:textId="77777777" w:rsidR="00527259" w:rsidRPr="00940812" w:rsidRDefault="00527259" w:rsidP="00E81157">
            <w:pPr>
              <w:tabs>
                <w:tab w:val="left" w:pos="374"/>
                <w:tab w:val="left" w:pos="720"/>
                <w:tab w:val="left" w:pos="748"/>
                <w:tab w:val="left" w:pos="1260"/>
                <w:tab w:val="left" w:pos="1980"/>
                <w:tab w:val="left" w:pos="2520"/>
              </w:tabs>
              <w:spacing w:after="0"/>
              <w:jc w:val="center"/>
              <w:rPr>
                <w:rFonts w:ascii="Arial" w:hAnsi="Arial" w:cs="Arial"/>
                <w:bCs/>
                <w:sz w:val="24"/>
                <w:szCs w:val="24"/>
              </w:rPr>
            </w:pPr>
            <w:r>
              <w:rPr>
                <w:rFonts w:ascii="Arial" w:hAnsi="Arial" w:cs="Arial"/>
                <w:bCs/>
                <w:sz w:val="24"/>
                <w:szCs w:val="24"/>
              </w:rPr>
              <w:t>£m</w:t>
            </w:r>
          </w:p>
        </w:tc>
      </w:tr>
      <w:tr w:rsidR="00527259" w:rsidRPr="00E1158E" w14:paraId="651F8386" w14:textId="77777777" w:rsidTr="008B2B8E">
        <w:trPr>
          <w:trHeight w:val="397"/>
        </w:trPr>
        <w:tc>
          <w:tcPr>
            <w:tcW w:w="2178" w:type="dxa"/>
            <w:shd w:val="clear" w:color="auto" w:fill="auto"/>
            <w:noWrap/>
            <w:vAlign w:val="center"/>
          </w:tcPr>
          <w:p w14:paraId="21338760" w14:textId="77777777" w:rsidR="00527259" w:rsidRPr="00E1158E" w:rsidRDefault="00527259" w:rsidP="003C1688">
            <w:pPr>
              <w:tabs>
                <w:tab w:val="left" w:pos="374"/>
                <w:tab w:val="left" w:pos="720"/>
                <w:tab w:val="left" w:pos="748"/>
                <w:tab w:val="left" w:pos="1260"/>
                <w:tab w:val="left" w:pos="1980"/>
                <w:tab w:val="left" w:pos="2520"/>
              </w:tabs>
              <w:spacing w:after="0"/>
              <w:rPr>
                <w:rFonts w:ascii="Arial" w:hAnsi="Arial" w:cs="Arial"/>
                <w:sz w:val="24"/>
                <w:szCs w:val="24"/>
              </w:rPr>
            </w:pPr>
            <w:r w:rsidRPr="00E1158E">
              <w:rPr>
                <w:rFonts w:ascii="Arial" w:hAnsi="Arial" w:cs="Arial"/>
                <w:sz w:val="24"/>
                <w:szCs w:val="24"/>
              </w:rPr>
              <w:t>Borrowing</w:t>
            </w:r>
          </w:p>
        </w:tc>
        <w:tc>
          <w:tcPr>
            <w:tcW w:w="1303" w:type="dxa"/>
            <w:shd w:val="clear" w:color="auto" w:fill="auto"/>
            <w:vAlign w:val="center"/>
          </w:tcPr>
          <w:p w14:paraId="50DD3F9F" w14:textId="77777777" w:rsidR="00527259" w:rsidRPr="00E1158E" w:rsidRDefault="00527259" w:rsidP="00E81157">
            <w:pPr>
              <w:tabs>
                <w:tab w:val="left" w:pos="374"/>
                <w:tab w:val="left" w:pos="720"/>
                <w:tab w:val="left" w:pos="748"/>
                <w:tab w:val="left" w:pos="1260"/>
                <w:tab w:val="left" w:pos="1980"/>
                <w:tab w:val="left" w:pos="2520"/>
              </w:tabs>
              <w:spacing w:after="0"/>
              <w:jc w:val="center"/>
              <w:rPr>
                <w:rFonts w:ascii="Arial" w:hAnsi="Arial" w:cs="Arial"/>
                <w:sz w:val="24"/>
                <w:szCs w:val="24"/>
              </w:rPr>
            </w:pPr>
            <w:r w:rsidRPr="00E1158E">
              <w:rPr>
                <w:rFonts w:ascii="Arial" w:hAnsi="Arial" w:cs="Arial"/>
                <w:sz w:val="24"/>
                <w:szCs w:val="24"/>
              </w:rPr>
              <w:t>10</w:t>
            </w:r>
          </w:p>
        </w:tc>
        <w:tc>
          <w:tcPr>
            <w:tcW w:w="1276" w:type="dxa"/>
            <w:shd w:val="clear" w:color="auto" w:fill="D9D9D9"/>
            <w:vAlign w:val="center"/>
          </w:tcPr>
          <w:p w14:paraId="52DE971E" w14:textId="77777777" w:rsidR="00527259" w:rsidRPr="00E1158E" w:rsidRDefault="00527259" w:rsidP="00E81157">
            <w:pPr>
              <w:tabs>
                <w:tab w:val="left" w:pos="374"/>
                <w:tab w:val="left" w:pos="720"/>
                <w:tab w:val="left" w:pos="748"/>
                <w:tab w:val="left" w:pos="1260"/>
                <w:tab w:val="left" w:pos="1980"/>
                <w:tab w:val="left" w:pos="2520"/>
              </w:tabs>
              <w:spacing w:after="0"/>
              <w:jc w:val="center"/>
              <w:rPr>
                <w:rFonts w:ascii="Arial" w:hAnsi="Arial" w:cs="Arial"/>
                <w:sz w:val="24"/>
                <w:szCs w:val="24"/>
              </w:rPr>
            </w:pPr>
            <w:r w:rsidRPr="00E1158E">
              <w:rPr>
                <w:rFonts w:ascii="Arial" w:hAnsi="Arial" w:cs="Arial"/>
                <w:sz w:val="24"/>
                <w:szCs w:val="24"/>
              </w:rPr>
              <w:t>10</w:t>
            </w:r>
          </w:p>
        </w:tc>
        <w:tc>
          <w:tcPr>
            <w:tcW w:w="1276" w:type="dxa"/>
            <w:vAlign w:val="center"/>
          </w:tcPr>
          <w:p w14:paraId="40584A5E" w14:textId="77777777" w:rsidR="00527259" w:rsidRPr="00E1158E" w:rsidRDefault="00527259" w:rsidP="00E81157">
            <w:pPr>
              <w:tabs>
                <w:tab w:val="left" w:pos="374"/>
                <w:tab w:val="left" w:pos="720"/>
                <w:tab w:val="left" w:pos="748"/>
                <w:tab w:val="left" w:pos="1260"/>
                <w:tab w:val="left" w:pos="1980"/>
                <w:tab w:val="left" w:pos="2520"/>
              </w:tabs>
              <w:spacing w:after="0"/>
              <w:jc w:val="center"/>
              <w:rPr>
                <w:rFonts w:ascii="Arial" w:hAnsi="Arial" w:cs="Arial"/>
                <w:sz w:val="24"/>
                <w:szCs w:val="24"/>
              </w:rPr>
            </w:pPr>
            <w:r w:rsidRPr="00E1158E">
              <w:rPr>
                <w:rFonts w:ascii="Arial" w:hAnsi="Arial" w:cs="Arial"/>
                <w:sz w:val="24"/>
                <w:szCs w:val="24"/>
              </w:rPr>
              <w:t>10</w:t>
            </w:r>
          </w:p>
        </w:tc>
        <w:tc>
          <w:tcPr>
            <w:tcW w:w="1276" w:type="dxa"/>
            <w:vAlign w:val="center"/>
          </w:tcPr>
          <w:p w14:paraId="1629C447" w14:textId="77777777" w:rsidR="00527259" w:rsidRPr="00E1158E" w:rsidRDefault="00527259" w:rsidP="00E81157">
            <w:pPr>
              <w:tabs>
                <w:tab w:val="left" w:pos="374"/>
                <w:tab w:val="left" w:pos="720"/>
                <w:tab w:val="left" w:pos="748"/>
                <w:tab w:val="left" w:pos="1260"/>
                <w:tab w:val="left" w:pos="1980"/>
                <w:tab w:val="left" w:pos="2520"/>
              </w:tabs>
              <w:spacing w:after="0"/>
              <w:jc w:val="center"/>
              <w:rPr>
                <w:rFonts w:ascii="Arial" w:hAnsi="Arial" w:cs="Arial"/>
                <w:sz w:val="24"/>
                <w:szCs w:val="24"/>
              </w:rPr>
            </w:pPr>
            <w:r w:rsidRPr="00E1158E">
              <w:rPr>
                <w:rFonts w:ascii="Arial" w:hAnsi="Arial" w:cs="Arial"/>
                <w:sz w:val="24"/>
                <w:szCs w:val="24"/>
              </w:rPr>
              <w:t>10</w:t>
            </w:r>
          </w:p>
        </w:tc>
        <w:tc>
          <w:tcPr>
            <w:tcW w:w="1276" w:type="dxa"/>
          </w:tcPr>
          <w:p w14:paraId="5B5BA03F" w14:textId="77777777" w:rsidR="00527259" w:rsidRPr="00E1158E" w:rsidRDefault="00527259" w:rsidP="00E81157">
            <w:pPr>
              <w:tabs>
                <w:tab w:val="left" w:pos="374"/>
                <w:tab w:val="left" w:pos="720"/>
                <w:tab w:val="left" w:pos="748"/>
                <w:tab w:val="left" w:pos="1260"/>
                <w:tab w:val="left" w:pos="1980"/>
                <w:tab w:val="left" w:pos="2520"/>
              </w:tabs>
              <w:spacing w:after="0"/>
              <w:jc w:val="center"/>
              <w:rPr>
                <w:rFonts w:ascii="Arial" w:hAnsi="Arial" w:cs="Arial"/>
                <w:sz w:val="24"/>
                <w:szCs w:val="24"/>
              </w:rPr>
            </w:pPr>
            <w:r>
              <w:rPr>
                <w:rFonts w:ascii="Arial" w:hAnsi="Arial" w:cs="Arial"/>
                <w:sz w:val="24"/>
                <w:szCs w:val="24"/>
              </w:rPr>
              <w:t>10</w:t>
            </w:r>
          </w:p>
        </w:tc>
      </w:tr>
      <w:tr w:rsidR="00527259" w:rsidRPr="00E1158E" w14:paraId="0BB7EA37" w14:textId="77777777" w:rsidTr="008B2B8E">
        <w:trPr>
          <w:trHeight w:val="397"/>
        </w:trPr>
        <w:tc>
          <w:tcPr>
            <w:tcW w:w="2178" w:type="dxa"/>
            <w:shd w:val="clear" w:color="auto" w:fill="auto"/>
            <w:noWrap/>
            <w:vAlign w:val="center"/>
          </w:tcPr>
          <w:p w14:paraId="0505A870" w14:textId="77777777" w:rsidR="00527259" w:rsidRPr="00E1158E" w:rsidRDefault="00527259" w:rsidP="003C1688">
            <w:pPr>
              <w:tabs>
                <w:tab w:val="left" w:pos="374"/>
                <w:tab w:val="left" w:pos="720"/>
                <w:tab w:val="left" w:pos="748"/>
                <w:tab w:val="left" w:pos="1260"/>
                <w:tab w:val="left" w:pos="1980"/>
                <w:tab w:val="left" w:pos="2520"/>
              </w:tabs>
              <w:spacing w:after="0"/>
              <w:rPr>
                <w:rFonts w:ascii="Arial" w:hAnsi="Arial" w:cs="Arial"/>
                <w:sz w:val="24"/>
                <w:szCs w:val="24"/>
              </w:rPr>
            </w:pPr>
            <w:r w:rsidRPr="00E1158E">
              <w:rPr>
                <w:rFonts w:ascii="Arial" w:hAnsi="Arial" w:cs="Arial"/>
                <w:sz w:val="24"/>
                <w:szCs w:val="24"/>
              </w:rPr>
              <w:t>Other long-term liabilities</w:t>
            </w:r>
          </w:p>
        </w:tc>
        <w:tc>
          <w:tcPr>
            <w:tcW w:w="1303" w:type="dxa"/>
            <w:shd w:val="clear" w:color="auto" w:fill="auto"/>
            <w:vAlign w:val="center"/>
          </w:tcPr>
          <w:p w14:paraId="451B94B9" w14:textId="77777777" w:rsidR="00527259" w:rsidRPr="00E1158E" w:rsidRDefault="00527259" w:rsidP="00E81157">
            <w:pPr>
              <w:tabs>
                <w:tab w:val="left" w:pos="374"/>
                <w:tab w:val="left" w:pos="720"/>
                <w:tab w:val="left" w:pos="748"/>
                <w:tab w:val="left" w:pos="1260"/>
                <w:tab w:val="left" w:pos="1980"/>
                <w:tab w:val="left" w:pos="2520"/>
              </w:tabs>
              <w:spacing w:after="0"/>
              <w:jc w:val="center"/>
              <w:rPr>
                <w:rFonts w:ascii="Arial" w:hAnsi="Arial" w:cs="Arial"/>
                <w:sz w:val="24"/>
                <w:szCs w:val="24"/>
              </w:rPr>
            </w:pPr>
            <w:r w:rsidRPr="00E1158E">
              <w:rPr>
                <w:rFonts w:ascii="Arial" w:hAnsi="Arial" w:cs="Arial"/>
                <w:sz w:val="24"/>
                <w:szCs w:val="24"/>
              </w:rPr>
              <w:t>2</w:t>
            </w:r>
          </w:p>
        </w:tc>
        <w:tc>
          <w:tcPr>
            <w:tcW w:w="1276" w:type="dxa"/>
            <w:shd w:val="clear" w:color="auto" w:fill="D9D9D9"/>
            <w:vAlign w:val="center"/>
          </w:tcPr>
          <w:p w14:paraId="4E255459" w14:textId="77777777" w:rsidR="00527259" w:rsidRPr="00E1158E" w:rsidRDefault="00E81157" w:rsidP="00E81157">
            <w:pPr>
              <w:tabs>
                <w:tab w:val="left" w:pos="374"/>
                <w:tab w:val="left" w:pos="720"/>
                <w:tab w:val="left" w:pos="748"/>
                <w:tab w:val="left" w:pos="1260"/>
                <w:tab w:val="left" w:pos="1980"/>
                <w:tab w:val="left" w:pos="2520"/>
              </w:tabs>
              <w:spacing w:after="0"/>
              <w:jc w:val="center"/>
              <w:rPr>
                <w:rFonts w:ascii="Arial" w:hAnsi="Arial" w:cs="Arial"/>
                <w:sz w:val="24"/>
                <w:szCs w:val="24"/>
              </w:rPr>
            </w:pPr>
            <w:r>
              <w:rPr>
                <w:rFonts w:ascii="Arial" w:hAnsi="Arial" w:cs="Arial"/>
                <w:sz w:val="24"/>
                <w:szCs w:val="24"/>
              </w:rPr>
              <w:t>3</w:t>
            </w:r>
          </w:p>
        </w:tc>
        <w:tc>
          <w:tcPr>
            <w:tcW w:w="1276" w:type="dxa"/>
            <w:vAlign w:val="center"/>
          </w:tcPr>
          <w:p w14:paraId="0921BDB1" w14:textId="77777777" w:rsidR="00527259" w:rsidRDefault="00527259" w:rsidP="00E81157">
            <w:pPr>
              <w:tabs>
                <w:tab w:val="left" w:pos="374"/>
                <w:tab w:val="left" w:pos="720"/>
                <w:tab w:val="left" w:pos="748"/>
                <w:tab w:val="left" w:pos="1260"/>
                <w:tab w:val="left" w:pos="1980"/>
                <w:tab w:val="left" w:pos="2520"/>
              </w:tabs>
              <w:spacing w:after="0"/>
              <w:jc w:val="center"/>
              <w:rPr>
                <w:rFonts w:ascii="Arial" w:hAnsi="Arial" w:cs="Arial"/>
                <w:sz w:val="24"/>
                <w:szCs w:val="24"/>
              </w:rPr>
            </w:pPr>
            <w:r>
              <w:rPr>
                <w:rFonts w:ascii="Arial" w:hAnsi="Arial" w:cs="Arial"/>
                <w:sz w:val="24"/>
                <w:szCs w:val="24"/>
              </w:rPr>
              <w:t>3</w:t>
            </w:r>
          </w:p>
        </w:tc>
        <w:tc>
          <w:tcPr>
            <w:tcW w:w="1276" w:type="dxa"/>
            <w:vAlign w:val="center"/>
          </w:tcPr>
          <w:p w14:paraId="6E76DD3B" w14:textId="77777777" w:rsidR="00527259" w:rsidRPr="00E1158E" w:rsidRDefault="00527259" w:rsidP="00E81157">
            <w:pPr>
              <w:tabs>
                <w:tab w:val="left" w:pos="374"/>
                <w:tab w:val="left" w:pos="720"/>
                <w:tab w:val="left" w:pos="748"/>
                <w:tab w:val="left" w:pos="1260"/>
                <w:tab w:val="left" w:pos="1980"/>
                <w:tab w:val="left" w:pos="2520"/>
              </w:tabs>
              <w:spacing w:after="0"/>
              <w:jc w:val="center"/>
              <w:rPr>
                <w:rFonts w:ascii="Arial" w:hAnsi="Arial" w:cs="Arial"/>
                <w:sz w:val="24"/>
                <w:szCs w:val="24"/>
              </w:rPr>
            </w:pPr>
            <w:r>
              <w:rPr>
                <w:rFonts w:ascii="Arial" w:hAnsi="Arial" w:cs="Arial"/>
                <w:sz w:val="24"/>
                <w:szCs w:val="24"/>
              </w:rPr>
              <w:t>3</w:t>
            </w:r>
          </w:p>
        </w:tc>
        <w:tc>
          <w:tcPr>
            <w:tcW w:w="1276" w:type="dxa"/>
            <w:vAlign w:val="center"/>
          </w:tcPr>
          <w:p w14:paraId="61120789" w14:textId="77777777" w:rsidR="00527259" w:rsidRDefault="00527259" w:rsidP="00E81157">
            <w:pPr>
              <w:tabs>
                <w:tab w:val="left" w:pos="374"/>
                <w:tab w:val="left" w:pos="720"/>
                <w:tab w:val="left" w:pos="748"/>
                <w:tab w:val="left" w:pos="1260"/>
                <w:tab w:val="left" w:pos="1980"/>
                <w:tab w:val="left" w:pos="2520"/>
              </w:tabs>
              <w:spacing w:after="0"/>
              <w:jc w:val="center"/>
              <w:rPr>
                <w:rFonts w:ascii="Arial" w:hAnsi="Arial" w:cs="Arial"/>
                <w:sz w:val="24"/>
                <w:szCs w:val="24"/>
              </w:rPr>
            </w:pPr>
            <w:r>
              <w:rPr>
                <w:rFonts w:ascii="Arial" w:hAnsi="Arial" w:cs="Arial"/>
                <w:sz w:val="24"/>
                <w:szCs w:val="24"/>
              </w:rPr>
              <w:t>3</w:t>
            </w:r>
          </w:p>
        </w:tc>
      </w:tr>
      <w:tr w:rsidR="00527259" w:rsidRPr="00E1158E" w14:paraId="7A151CA9" w14:textId="77777777" w:rsidTr="008B2B8E">
        <w:trPr>
          <w:trHeight w:val="397"/>
        </w:trPr>
        <w:tc>
          <w:tcPr>
            <w:tcW w:w="2178" w:type="dxa"/>
            <w:shd w:val="clear" w:color="auto" w:fill="auto"/>
            <w:noWrap/>
            <w:vAlign w:val="center"/>
          </w:tcPr>
          <w:p w14:paraId="29A0F27C" w14:textId="77777777" w:rsidR="00527259" w:rsidRPr="00E1158E" w:rsidRDefault="00527259" w:rsidP="003C1688">
            <w:pPr>
              <w:tabs>
                <w:tab w:val="left" w:pos="374"/>
                <w:tab w:val="left" w:pos="720"/>
                <w:tab w:val="left" w:pos="748"/>
                <w:tab w:val="left" w:pos="1260"/>
                <w:tab w:val="left" w:pos="1980"/>
                <w:tab w:val="left" w:pos="2520"/>
              </w:tabs>
              <w:spacing w:after="0"/>
              <w:rPr>
                <w:rFonts w:ascii="Arial" w:hAnsi="Arial" w:cs="Arial"/>
                <w:bCs/>
                <w:sz w:val="24"/>
                <w:szCs w:val="24"/>
              </w:rPr>
            </w:pPr>
            <w:r w:rsidRPr="00E1158E">
              <w:rPr>
                <w:rFonts w:ascii="Arial" w:hAnsi="Arial" w:cs="Arial"/>
                <w:bCs/>
                <w:sz w:val="24"/>
                <w:szCs w:val="24"/>
              </w:rPr>
              <w:t>Total Debt</w:t>
            </w:r>
          </w:p>
        </w:tc>
        <w:tc>
          <w:tcPr>
            <w:tcW w:w="1303" w:type="dxa"/>
            <w:shd w:val="clear" w:color="auto" w:fill="auto"/>
            <w:vAlign w:val="center"/>
          </w:tcPr>
          <w:p w14:paraId="1E8342DC" w14:textId="77777777" w:rsidR="00527259" w:rsidRPr="00E1158E" w:rsidRDefault="00527259" w:rsidP="00E81157">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E1158E">
              <w:rPr>
                <w:rFonts w:ascii="Arial" w:hAnsi="Arial" w:cs="Arial"/>
                <w:bCs/>
                <w:sz w:val="24"/>
                <w:szCs w:val="24"/>
              </w:rPr>
              <w:t>12</w:t>
            </w:r>
          </w:p>
        </w:tc>
        <w:tc>
          <w:tcPr>
            <w:tcW w:w="1276" w:type="dxa"/>
            <w:shd w:val="clear" w:color="auto" w:fill="D9D9D9"/>
            <w:vAlign w:val="center"/>
          </w:tcPr>
          <w:p w14:paraId="2CA8B429" w14:textId="77777777" w:rsidR="00527259" w:rsidRPr="00E1158E" w:rsidRDefault="00527259" w:rsidP="00E81157">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E1158E">
              <w:rPr>
                <w:rFonts w:ascii="Arial" w:hAnsi="Arial" w:cs="Arial"/>
                <w:bCs/>
                <w:sz w:val="24"/>
                <w:szCs w:val="24"/>
              </w:rPr>
              <w:t>1</w:t>
            </w:r>
            <w:r w:rsidR="00E81157">
              <w:rPr>
                <w:rFonts w:ascii="Arial" w:hAnsi="Arial" w:cs="Arial"/>
                <w:bCs/>
                <w:sz w:val="24"/>
                <w:szCs w:val="24"/>
              </w:rPr>
              <w:t>3</w:t>
            </w:r>
          </w:p>
        </w:tc>
        <w:tc>
          <w:tcPr>
            <w:tcW w:w="1276" w:type="dxa"/>
            <w:vAlign w:val="center"/>
          </w:tcPr>
          <w:p w14:paraId="5F14523F" w14:textId="77777777" w:rsidR="00527259" w:rsidRDefault="00527259" w:rsidP="00E81157">
            <w:pPr>
              <w:tabs>
                <w:tab w:val="left" w:pos="374"/>
                <w:tab w:val="left" w:pos="720"/>
                <w:tab w:val="left" w:pos="748"/>
                <w:tab w:val="left" w:pos="1260"/>
                <w:tab w:val="left" w:pos="1980"/>
                <w:tab w:val="left" w:pos="2520"/>
              </w:tabs>
              <w:spacing w:after="0"/>
              <w:jc w:val="center"/>
              <w:rPr>
                <w:rFonts w:ascii="Arial" w:hAnsi="Arial" w:cs="Arial"/>
                <w:bCs/>
                <w:sz w:val="24"/>
                <w:szCs w:val="24"/>
              </w:rPr>
            </w:pPr>
            <w:r>
              <w:rPr>
                <w:rFonts w:ascii="Arial" w:hAnsi="Arial" w:cs="Arial"/>
                <w:bCs/>
                <w:sz w:val="24"/>
                <w:szCs w:val="24"/>
              </w:rPr>
              <w:t>13</w:t>
            </w:r>
          </w:p>
        </w:tc>
        <w:tc>
          <w:tcPr>
            <w:tcW w:w="1276" w:type="dxa"/>
            <w:vAlign w:val="center"/>
          </w:tcPr>
          <w:p w14:paraId="29A4346C" w14:textId="77777777" w:rsidR="00527259" w:rsidRPr="00E1158E" w:rsidRDefault="00527259" w:rsidP="00E81157">
            <w:pPr>
              <w:tabs>
                <w:tab w:val="left" w:pos="374"/>
                <w:tab w:val="left" w:pos="720"/>
                <w:tab w:val="left" w:pos="748"/>
                <w:tab w:val="left" w:pos="1260"/>
                <w:tab w:val="left" w:pos="1980"/>
                <w:tab w:val="left" w:pos="2520"/>
              </w:tabs>
              <w:spacing w:after="0"/>
              <w:jc w:val="center"/>
              <w:rPr>
                <w:rFonts w:ascii="Arial" w:hAnsi="Arial" w:cs="Arial"/>
                <w:bCs/>
                <w:sz w:val="24"/>
                <w:szCs w:val="24"/>
              </w:rPr>
            </w:pPr>
            <w:r>
              <w:rPr>
                <w:rFonts w:ascii="Arial" w:hAnsi="Arial" w:cs="Arial"/>
                <w:bCs/>
                <w:sz w:val="24"/>
                <w:szCs w:val="24"/>
              </w:rPr>
              <w:t>13</w:t>
            </w:r>
          </w:p>
        </w:tc>
        <w:tc>
          <w:tcPr>
            <w:tcW w:w="1276" w:type="dxa"/>
            <w:vAlign w:val="center"/>
          </w:tcPr>
          <w:p w14:paraId="1B7BDE8A" w14:textId="77777777" w:rsidR="00527259" w:rsidRDefault="00527259" w:rsidP="00E81157">
            <w:pPr>
              <w:tabs>
                <w:tab w:val="left" w:pos="374"/>
                <w:tab w:val="left" w:pos="720"/>
                <w:tab w:val="left" w:pos="748"/>
                <w:tab w:val="left" w:pos="1260"/>
                <w:tab w:val="left" w:pos="1980"/>
                <w:tab w:val="left" w:pos="2520"/>
              </w:tabs>
              <w:spacing w:after="0"/>
              <w:jc w:val="center"/>
              <w:rPr>
                <w:rFonts w:ascii="Arial" w:hAnsi="Arial" w:cs="Arial"/>
                <w:bCs/>
                <w:sz w:val="24"/>
                <w:szCs w:val="24"/>
              </w:rPr>
            </w:pPr>
            <w:r>
              <w:rPr>
                <w:rFonts w:ascii="Arial" w:hAnsi="Arial" w:cs="Arial"/>
                <w:bCs/>
                <w:sz w:val="24"/>
                <w:szCs w:val="24"/>
              </w:rPr>
              <w:t>13</w:t>
            </w:r>
          </w:p>
        </w:tc>
      </w:tr>
    </w:tbl>
    <w:p w14:paraId="16F97902" w14:textId="77777777" w:rsidR="007F3B5B" w:rsidRPr="00E1158E" w:rsidRDefault="007F3B5B" w:rsidP="003C1688">
      <w:pPr>
        <w:tabs>
          <w:tab w:val="left" w:pos="374"/>
          <w:tab w:val="left" w:pos="720"/>
          <w:tab w:val="left" w:pos="748"/>
          <w:tab w:val="left" w:pos="1260"/>
          <w:tab w:val="left" w:pos="1980"/>
          <w:tab w:val="left" w:pos="2520"/>
        </w:tabs>
        <w:rPr>
          <w:rFonts w:ascii="Arial" w:hAnsi="Arial" w:cs="Arial"/>
          <w:sz w:val="24"/>
          <w:szCs w:val="24"/>
        </w:rPr>
      </w:pPr>
    </w:p>
    <w:p w14:paraId="7BA3EDB5" w14:textId="77777777" w:rsidR="007F3B5B" w:rsidRPr="003745C6" w:rsidRDefault="007F3B5B" w:rsidP="003745C6">
      <w:pPr>
        <w:pStyle w:val="Heading3"/>
        <w:rPr>
          <w:rFonts w:ascii="Arial" w:hAnsi="Arial" w:cs="Arial"/>
        </w:rPr>
      </w:pPr>
      <w:bookmarkStart w:id="36" w:name="_Toc115768671"/>
      <w:r w:rsidRPr="003745C6">
        <w:rPr>
          <w:rFonts w:ascii="Arial" w:hAnsi="Arial" w:cs="Arial"/>
        </w:rPr>
        <w:t>Authorised Limit for External Debt</w:t>
      </w:r>
      <w:bookmarkEnd w:id="36"/>
    </w:p>
    <w:p w14:paraId="5AE32A7E" w14:textId="77777777" w:rsidR="007F3B5B" w:rsidRPr="00E1158E" w:rsidRDefault="007F3B5B" w:rsidP="003C1688">
      <w:p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sidRPr="00E1158E">
        <w:rPr>
          <w:rFonts w:ascii="Arial" w:hAnsi="Arial" w:cs="Arial"/>
          <w:sz w:val="24"/>
          <w:szCs w:val="24"/>
        </w:rPr>
        <w:t xml:space="preserve">The authorised limit is the affordable borrowing limit determined in compliance with the </w:t>
      </w:r>
      <w:r w:rsidRPr="00E1158E">
        <w:rPr>
          <w:rFonts w:ascii="Arial" w:hAnsi="Arial" w:cs="Arial"/>
          <w:bCs/>
          <w:sz w:val="24"/>
          <w:szCs w:val="24"/>
        </w:rPr>
        <w:t>Local Government Act 2003.</w:t>
      </w:r>
      <w:r w:rsidRPr="00E1158E">
        <w:rPr>
          <w:rFonts w:ascii="Arial" w:hAnsi="Arial" w:cs="Arial"/>
          <w:sz w:val="24"/>
          <w:szCs w:val="24"/>
        </w:rPr>
        <w:t xml:space="preserve"> It is the maximum amount of debt that the Authority can legally owe.  </w:t>
      </w:r>
    </w:p>
    <w:p w14:paraId="57E219C9" w14:textId="77777777" w:rsidR="007F3B5B" w:rsidRPr="00E1158E" w:rsidRDefault="007F3B5B" w:rsidP="003C1688">
      <w:pPr>
        <w:rPr>
          <w:rFonts w:ascii="Arial" w:hAnsi="Arial" w:cs="Arial"/>
          <w:sz w:val="24"/>
          <w:szCs w:val="24"/>
        </w:rPr>
      </w:pPr>
      <w:r w:rsidRPr="00E1158E">
        <w:rPr>
          <w:rFonts w:ascii="Arial" w:hAnsi="Arial" w:cs="Arial"/>
          <w:sz w:val="24"/>
          <w:szCs w:val="24"/>
        </w:rPr>
        <w:t>The authorised limit provides headroom over and above the operational boundary for unusual cash movements.</w:t>
      </w:r>
    </w:p>
    <w:p w14:paraId="18041115" w14:textId="77777777" w:rsidR="007F3B5B" w:rsidRPr="00E1158E" w:rsidRDefault="007F3B5B" w:rsidP="003C1688">
      <w:pPr>
        <w:ind w:left="360" w:firstLine="360"/>
        <w:rPr>
          <w:rFonts w:ascii="Arial" w:hAnsi="Arial" w:cs="Arial"/>
          <w:i/>
          <w:sz w:val="24"/>
          <w:szCs w:val="24"/>
        </w:rPr>
      </w:pPr>
      <w:r w:rsidRPr="00E1158E">
        <w:rPr>
          <w:rFonts w:ascii="Arial" w:hAnsi="Arial" w:cs="Arial"/>
          <w:i/>
          <w:sz w:val="24"/>
          <w:szCs w:val="24"/>
        </w:rPr>
        <w:t xml:space="preserve">Table </w:t>
      </w:r>
      <w:r w:rsidR="009B2917">
        <w:rPr>
          <w:rFonts w:ascii="Arial" w:hAnsi="Arial" w:cs="Arial"/>
          <w:i/>
          <w:sz w:val="24"/>
          <w:szCs w:val="24"/>
        </w:rPr>
        <w:t>6</w:t>
      </w:r>
      <w:r w:rsidRPr="00E1158E">
        <w:rPr>
          <w:rFonts w:ascii="Arial" w:hAnsi="Arial" w:cs="Arial"/>
          <w:i/>
          <w:sz w:val="24"/>
          <w:szCs w:val="24"/>
        </w:rPr>
        <w:t xml:space="preserve">: </w:t>
      </w:r>
      <w:r w:rsidRPr="00E1158E">
        <w:rPr>
          <w:rFonts w:ascii="Arial" w:hAnsi="Arial" w:cs="Arial"/>
          <w:i/>
          <w:color w:val="000000"/>
          <w:sz w:val="24"/>
          <w:szCs w:val="24"/>
        </w:rPr>
        <w:t>Authorised</w:t>
      </w:r>
      <w:r w:rsidRPr="00E1158E">
        <w:rPr>
          <w:rFonts w:ascii="Arial" w:hAnsi="Arial" w:cs="Arial"/>
          <w:i/>
          <w:sz w:val="24"/>
          <w:szCs w:val="24"/>
        </w:rPr>
        <w:t xml:space="preserve"> limit for external debt</w:t>
      </w:r>
    </w:p>
    <w:tbl>
      <w:tblPr>
        <w:tblW w:w="8274"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34"/>
        <w:gridCol w:w="1134"/>
        <w:gridCol w:w="1276"/>
        <w:gridCol w:w="1276"/>
        <w:gridCol w:w="1276"/>
      </w:tblGrid>
      <w:tr w:rsidR="00E75A46" w:rsidRPr="00940812" w14:paraId="4FB5F169" w14:textId="77777777" w:rsidTr="00EA768C">
        <w:trPr>
          <w:trHeight w:val="397"/>
        </w:trPr>
        <w:tc>
          <w:tcPr>
            <w:tcW w:w="2178" w:type="dxa"/>
            <w:shd w:val="clear" w:color="auto" w:fill="D9D9D9"/>
            <w:vAlign w:val="center"/>
          </w:tcPr>
          <w:p w14:paraId="6F101D08" w14:textId="77777777" w:rsidR="00E75A46" w:rsidRPr="00940812" w:rsidRDefault="00E75A46" w:rsidP="00E75A46">
            <w:pPr>
              <w:tabs>
                <w:tab w:val="left" w:pos="374"/>
                <w:tab w:val="left" w:pos="720"/>
                <w:tab w:val="left" w:pos="748"/>
                <w:tab w:val="left" w:pos="1260"/>
                <w:tab w:val="left" w:pos="1980"/>
                <w:tab w:val="left" w:pos="2520"/>
              </w:tabs>
              <w:spacing w:after="0"/>
              <w:rPr>
                <w:rFonts w:ascii="Arial" w:hAnsi="Arial" w:cs="Arial"/>
                <w:bCs/>
                <w:sz w:val="24"/>
                <w:szCs w:val="24"/>
              </w:rPr>
            </w:pPr>
            <w:r w:rsidRPr="00940812">
              <w:rPr>
                <w:rFonts w:ascii="Arial" w:hAnsi="Arial" w:cs="Arial"/>
                <w:sz w:val="24"/>
                <w:szCs w:val="24"/>
              </w:rPr>
              <w:t>Authorised Limit</w:t>
            </w:r>
          </w:p>
        </w:tc>
        <w:tc>
          <w:tcPr>
            <w:tcW w:w="1134" w:type="dxa"/>
            <w:shd w:val="clear" w:color="auto" w:fill="D9D9D9"/>
            <w:vAlign w:val="center"/>
          </w:tcPr>
          <w:p w14:paraId="5836A3E8" w14:textId="77777777" w:rsidR="00E75A46" w:rsidRPr="00940812" w:rsidRDefault="00E75A46" w:rsidP="001E7296">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940812">
              <w:rPr>
                <w:rFonts w:ascii="Arial" w:hAnsi="Arial" w:cs="Arial"/>
                <w:bCs/>
                <w:sz w:val="24"/>
                <w:szCs w:val="24"/>
              </w:rPr>
              <w:t>20</w:t>
            </w:r>
            <w:r>
              <w:rPr>
                <w:rFonts w:ascii="Arial" w:hAnsi="Arial" w:cs="Arial"/>
                <w:bCs/>
                <w:sz w:val="24"/>
                <w:szCs w:val="24"/>
              </w:rPr>
              <w:t>2</w:t>
            </w:r>
            <w:r w:rsidR="001E7296">
              <w:rPr>
                <w:rFonts w:ascii="Arial" w:hAnsi="Arial" w:cs="Arial"/>
                <w:bCs/>
                <w:sz w:val="24"/>
                <w:szCs w:val="24"/>
              </w:rPr>
              <w:t>3-24</w:t>
            </w:r>
            <w:r w:rsidRPr="00940812">
              <w:rPr>
                <w:rFonts w:ascii="Arial" w:hAnsi="Arial" w:cs="Arial"/>
                <w:sz w:val="24"/>
                <w:szCs w:val="24"/>
              </w:rPr>
              <w:t xml:space="preserve"> £m</w:t>
            </w:r>
          </w:p>
        </w:tc>
        <w:tc>
          <w:tcPr>
            <w:tcW w:w="1134" w:type="dxa"/>
            <w:shd w:val="clear" w:color="auto" w:fill="D9D9D9"/>
            <w:vAlign w:val="center"/>
          </w:tcPr>
          <w:p w14:paraId="433AD99E" w14:textId="77777777" w:rsidR="001E7296" w:rsidRDefault="00E75A46" w:rsidP="001E7296">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940812">
              <w:rPr>
                <w:rFonts w:ascii="Arial" w:hAnsi="Arial" w:cs="Arial"/>
                <w:bCs/>
                <w:sz w:val="24"/>
                <w:szCs w:val="24"/>
              </w:rPr>
              <w:t>202</w:t>
            </w:r>
            <w:r w:rsidR="001E7296">
              <w:rPr>
                <w:rFonts w:ascii="Arial" w:hAnsi="Arial" w:cs="Arial"/>
                <w:bCs/>
                <w:sz w:val="24"/>
                <w:szCs w:val="24"/>
              </w:rPr>
              <w:t>4-25</w:t>
            </w:r>
          </w:p>
          <w:p w14:paraId="43BB502D" w14:textId="77777777" w:rsidR="00E75A46" w:rsidRPr="00940812" w:rsidRDefault="00E75A46" w:rsidP="001E7296">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940812">
              <w:rPr>
                <w:rFonts w:ascii="Arial" w:hAnsi="Arial" w:cs="Arial"/>
                <w:sz w:val="24"/>
                <w:szCs w:val="24"/>
              </w:rPr>
              <w:t>£m</w:t>
            </w:r>
          </w:p>
        </w:tc>
        <w:tc>
          <w:tcPr>
            <w:tcW w:w="1276" w:type="dxa"/>
            <w:shd w:val="clear" w:color="auto" w:fill="D9D9D9"/>
            <w:vAlign w:val="center"/>
          </w:tcPr>
          <w:p w14:paraId="03FF96A8" w14:textId="77777777" w:rsidR="00E75A46" w:rsidRPr="00940812" w:rsidRDefault="00E75A46" w:rsidP="001E7296">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940812">
              <w:rPr>
                <w:rFonts w:ascii="Arial" w:hAnsi="Arial" w:cs="Arial"/>
                <w:bCs/>
                <w:sz w:val="24"/>
                <w:szCs w:val="24"/>
              </w:rPr>
              <w:t>202</w:t>
            </w:r>
            <w:r w:rsidR="001E7296">
              <w:rPr>
                <w:rFonts w:ascii="Arial" w:hAnsi="Arial" w:cs="Arial"/>
                <w:bCs/>
                <w:sz w:val="24"/>
                <w:szCs w:val="24"/>
              </w:rPr>
              <w:t>5-26</w:t>
            </w:r>
            <w:r w:rsidRPr="00940812">
              <w:rPr>
                <w:rFonts w:ascii="Arial" w:hAnsi="Arial" w:cs="Arial"/>
                <w:sz w:val="24"/>
                <w:szCs w:val="24"/>
              </w:rPr>
              <w:t xml:space="preserve"> £m</w:t>
            </w:r>
          </w:p>
        </w:tc>
        <w:tc>
          <w:tcPr>
            <w:tcW w:w="1276" w:type="dxa"/>
            <w:shd w:val="clear" w:color="auto" w:fill="D9D9D9"/>
            <w:vAlign w:val="center"/>
          </w:tcPr>
          <w:p w14:paraId="7F43695E" w14:textId="77777777" w:rsidR="00E75A46" w:rsidRPr="00940812" w:rsidRDefault="00E75A46" w:rsidP="001E7296">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940812">
              <w:rPr>
                <w:rFonts w:ascii="Arial" w:hAnsi="Arial" w:cs="Arial"/>
                <w:bCs/>
                <w:sz w:val="24"/>
                <w:szCs w:val="24"/>
              </w:rPr>
              <w:t>202</w:t>
            </w:r>
            <w:r w:rsidR="001E7296">
              <w:rPr>
                <w:rFonts w:ascii="Arial" w:hAnsi="Arial" w:cs="Arial"/>
                <w:bCs/>
                <w:sz w:val="24"/>
                <w:szCs w:val="24"/>
              </w:rPr>
              <w:t>6-27</w:t>
            </w:r>
            <w:r w:rsidRPr="00940812">
              <w:rPr>
                <w:rFonts w:ascii="Arial" w:hAnsi="Arial" w:cs="Arial"/>
                <w:sz w:val="24"/>
                <w:szCs w:val="24"/>
              </w:rPr>
              <w:t xml:space="preserve"> £m</w:t>
            </w:r>
          </w:p>
        </w:tc>
        <w:tc>
          <w:tcPr>
            <w:tcW w:w="1276" w:type="dxa"/>
            <w:shd w:val="clear" w:color="auto" w:fill="D9D9D9"/>
          </w:tcPr>
          <w:p w14:paraId="582E4025" w14:textId="77777777" w:rsidR="00E75A46" w:rsidRDefault="00E75A46" w:rsidP="001E7296">
            <w:pPr>
              <w:tabs>
                <w:tab w:val="left" w:pos="374"/>
                <w:tab w:val="left" w:pos="720"/>
                <w:tab w:val="left" w:pos="748"/>
                <w:tab w:val="left" w:pos="1260"/>
                <w:tab w:val="left" w:pos="1980"/>
                <w:tab w:val="left" w:pos="2520"/>
              </w:tabs>
              <w:spacing w:after="0"/>
              <w:jc w:val="center"/>
              <w:rPr>
                <w:rFonts w:ascii="Arial" w:hAnsi="Arial" w:cs="Arial"/>
                <w:bCs/>
                <w:sz w:val="24"/>
                <w:szCs w:val="24"/>
              </w:rPr>
            </w:pPr>
            <w:r>
              <w:rPr>
                <w:rFonts w:ascii="Arial" w:hAnsi="Arial" w:cs="Arial"/>
                <w:bCs/>
                <w:sz w:val="24"/>
                <w:szCs w:val="24"/>
              </w:rPr>
              <w:t>202</w:t>
            </w:r>
            <w:r w:rsidR="001E7296">
              <w:rPr>
                <w:rFonts w:ascii="Arial" w:hAnsi="Arial" w:cs="Arial"/>
                <w:bCs/>
                <w:sz w:val="24"/>
                <w:szCs w:val="24"/>
              </w:rPr>
              <w:t>7-28</w:t>
            </w:r>
          </w:p>
          <w:p w14:paraId="015FB52B" w14:textId="77777777" w:rsidR="00E75A46" w:rsidRPr="00940812" w:rsidRDefault="00E75A46" w:rsidP="001E7296">
            <w:pPr>
              <w:tabs>
                <w:tab w:val="left" w:pos="374"/>
                <w:tab w:val="left" w:pos="720"/>
                <w:tab w:val="left" w:pos="748"/>
                <w:tab w:val="left" w:pos="1260"/>
                <w:tab w:val="left" w:pos="1980"/>
                <w:tab w:val="left" w:pos="2520"/>
              </w:tabs>
              <w:spacing w:after="0"/>
              <w:jc w:val="center"/>
              <w:rPr>
                <w:rFonts w:ascii="Arial" w:hAnsi="Arial" w:cs="Arial"/>
                <w:bCs/>
                <w:sz w:val="24"/>
                <w:szCs w:val="24"/>
              </w:rPr>
            </w:pPr>
            <w:r>
              <w:rPr>
                <w:rFonts w:ascii="Arial" w:hAnsi="Arial" w:cs="Arial"/>
                <w:bCs/>
                <w:sz w:val="24"/>
                <w:szCs w:val="24"/>
              </w:rPr>
              <w:t>£m</w:t>
            </w:r>
          </w:p>
        </w:tc>
      </w:tr>
      <w:tr w:rsidR="00027119" w:rsidRPr="00E1158E" w14:paraId="1EBAC088" w14:textId="77777777" w:rsidTr="00EA768C">
        <w:trPr>
          <w:trHeight w:val="397"/>
        </w:trPr>
        <w:tc>
          <w:tcPr>
            <w:tcW w:w="2178" w:type="dxa"/>
            <w:shd w:val="clear" w:color="auto" w:fill="auto"/>
            <w:noWrap/>
            <w:vAlign w:val="center"/>
          </w:tcPr>
          <w:p w14:paraId="11FB2B3B" w14:textId="77777777" w:rsidR="00027119" w:rsidRPr="00E1158E" w:rsidRDefault="00027119" w:rsidP="003C1688">
            <w:pPr>
              <w:tabs>
                <w:tab w:val="left" w:pos="374"/>
                <w:tab w:val="left" w:pos="720"/>
                <w:tab w:val="left" w:pos="748"/>
                <w:tab w:val="left" w:pos="1260"/>
                <w:tab w:val="left" w:pos="1980"/>
                <w:tab w:val="left" w:pos="2520"/>
              </w:tabs>
              <w:spacing w:after="0"/>
              <w:rPr>
                <w:rFonts w:ascii="Arial" w:hAnsi="Arial" w:cs="Arial"/>
                <w:sz w:val="24"/>
                <w:szCs w:val="24"/>
              </w:rPr>
            </w:pPr>
            <w:r w:rsidRPr="00E1158E">
              <w:rPr>
                <w:rFonts w:ascii="Arial" w:hAnsi="Arial" w:cs="Arial"/>
                <w:sz w:val="24"/>
                <w:szCs w:val="24"/>
              </w:rPr>
              <w:t>Borrowing</w:t>
            </w:r>
          </w:p>
        </w:tc>
        <w:tc>
          <w:tcPr>
            <w:tcW w:w="1134" w:type="dxa"/>
            <w:shd w:val="clear" w:color="auto" w:fill="auto"/>
            <w:vAlign w:val="center"/>
          </w:tcPr>
          <w:p w14:paraId="6BB62C74" w14:textId="77777777" w:rsidR="00027119" w:rsidRPr="00027119" w:rsidRDefault="00027119" w:rsidP="001E7296">
            <w:pPr>
              <w:tabs>
                <w:tab w:val="left" w:pos="374"/>
                <w:tab w:val="left" w:pos="720"/>
                <w:tab w:val="left" w:pos="748"/>
                <w:tab w:val="left" w:pos="1260"/>
                <w:tab w:val="left" w:pos="1980"/>
                <w:tab w:val="left" w:pos="2520"/>
              </w:tabs>
              <w:spacing w:after="0"/>
              <w:jc w:val="center"/>
              <w:rPr>
                <w:rFonts w:ascii="Arial" w:hAnsi="Arial" w:cs="Arial"/>
                <w:sz w:val="24"/>
                <w:szCs w:val="24"/>
              </w:rPr>
            </w:pPr>
            <w:r w:rsidRPr="00027119">
              <w:rPr>
                <w:rFonts w:ascii="Arial" w:hAnsi="Arial" w:cs="Arial"/>
                <w:sz w:val="24"/>
                <w:szCs w:val="24"/>
              </w:rPr>
              <w:t>20</w:t>
            </w:r>
          </w:p>
        </w:tc>
        <w:tc>
          <w:tcPr>
            <w:tcW w:w="1134" w:type="dxa"/>
            <w:shd w:val="clear" w:color="auto" w:fill="D9D9D9"/>
            <w:vAlign w:val="center"/>
          </w:tcPr>
          <w:p w14:paraId="46D45CEB" w14:textId="77777777" w:rsidR="00027119" w:rsidRPr="00E1158E" w:rsidRDefault="00027119" w:rsidP="001E7296">
            <w:pPr>
              <w:tabs>
                <w:tab w:val="left" w:pos="374"/>
                <w:tab w:val="left" w:pos="720"/>
                <w:tab w:val="left" w:pos="748"/>
                <w:tab w:val="left" w:pos="1260"/>
                <w:tab w:val="left" w:pos="1980"/>
                <w:tab w:val="left" w:pos="2520"/>
              </w:tabs>
              <w:spacing w:after="0"/>
              <w:jc w:val="center"/>
              <w:rPr>
                <w:rFonts w:ascii="Arial" w:hAnsi="Arial" w:cs="Arial"/>
                <w:sz w:val="24"/>
                <w:szCs w:val="24"/>
              </w:rPr>
            </w:pPr>
            <w:r w:rsidRPr="00E1158E">
              <w:rPr>
                <w:rFonts w:ascii="Arial" w:hAnsi="Arial" w:cs="Arial"/>
                <w:sz w:val="24"/>
                <w:szCs w:val="24"/>
              </w:rPr>
              <w:t>20</w:t>
            </w:r>
          </w:p>
        </w:tc>
        <w:tc>
          <w:tcPr>
            <w:tcW w:w="1276" w:type="dxa"/>
            <w:vAlign w:val="center"/>
          </w:tcPr>
          <w:p w14:paraId="5BFD8A19" w14:textId="77777777" w:rsidR="00027119" w:rsidRPr="00E1158E" w:rsidRDefault="00027119" w:rsidP="001E7296">
            <w:pPr>
              <w:tabs>
                <w:tab w:val="left" w:pos="374"/>
                <w:tab w:val="left" w:pos="720"/>
                <w:tab w:val="left" w:pos="748"/>
                <w:tab w:val="left" w:pos="1260"/>
                <w:tab w:val="left" w:pos="1980"/>
                <w:tab w:val="left" w:pos="2520"/>
              </w:tabs>
              <w:spacing w:after="0"/>
              <w:jc w:val="center"/>
              <w:rPr>
                <w:rFonts w:ascii="Arial" w:hAnsi="Arial" w:cs="Arial"/>
                <w:sz w:val="24"/>
                <w:szCs w:val="24"/>
              </w:rPr>
            </w:pPr>
            <w:r w:rsidRPr="00E1158E">
              <w:rPr>
                <w:rFonts w:ascii="Arial" w:hAnsi="Arial" w:cs="Arial"/>
                <w:sz w:val="24"/>
                <w:szCs w:val="24"/>
              </w:rPr>
              <w:t>20</w:t>
            </w:r>
          </w:p>
        </w:tc>
        <w:tc>
          <w:tcPr>
            <w:tcW w:w="1276" w:type="dxa"/>
            <w:vAlign w:val="center"/>
          </w:tcPr>
          <w:p w14:paraId="28A7BC0C" w14:textId="77777777" w:rsidR="00027119" w:rsidRPr="00E1158E" w:rsidRDefault="00027119" w:rsidP="001E7296">
            <w:pPr>
              <w:tabs>
                <w:tab w:val="left" w:pos="374"/>
                <w:tab w:val="left" w:pos="720"/>
                <w:tab w:val="left" w:pos="748"/>
                <w:tab w:val="left" w:pos="1260"/>
                <w:tab w:val="left" w:pos="1980"/>
                <w:tab w:val="left" w:pos="2520"/>
              </w:tabs>
              <w:spacing w:after="0"/>
              <w:jc w:val="center"/>
              <w:rPr>
                <w:rFonts w:ascii="Arial" w:hAnsi="Arial" w:cs="Arial"/>
                <w:sz w:val="24"/>
                <w:szCs w:val="24"/>
              </w:rPr>
            </w:pPr>
            <w:r>
              <w:rPr>
                <w:rFonts w:ascii="Arial" w:hAnsi="Arial" w:cs="Arial"/>
                <w:sz w:val="24"/>
                <w:szCs w:val="24"/>
              </w:rPr>
              <w:t>20</w:t>
            </w:r>
          </w:p>
        </w:tc>
        <w:tc>
          <w:tcPr>
            <w:tcW w:w="1276" w:type="dxa"/>
            <w:vAlign w:val="center"/>
          </w:tcPr>
          <w:p w14:paraId="45E5DF77" w14:textId="77777777" w:rsidR="00027119" w:rsidRPr="00E1158E" w:rsidRDefault="00027119" w:rsidP="001E7296">
            <w:pPr>
              <w:tabs>
                <w:tab w:val="left" w:pos="374"/>
                <w:tab w:val="left" w:pos="720"/>
                <w:tab w:val="left" w:pos="748"/>
                <w:tab w:val="left" w:pos="1260"/>
                <w:tab w:val="left" w:pos="1980"/>
                <w:tab w:val="left" w:pos="2520"/>
              </w:tabs>
              <w:spacing w:after="0"/>
              <w:jc w:val="center"/>
              <w:rPr>
                <w:rFonts w:ascii="Arial" w:hAnsi="Arial" w:cs="Arial"/>
                <w:sz w:val="24"/>
                <w:szCs w:val="24"/>
              </w:rPr>
            </w:pPr>
            <w:r w:rsidRPr="00E1158E">
              <w:rPr>
                <w:rFonts w:ascii="Arial" w:hAnsi="Arial" w:cs="Arial"/>
                <w:sz w:val="24"/>
                <w:szCs w:val="24"/>
              </w:rPr>
              <w:t>20</w:t>
            </w:r>
          </w:p>
        </w:tc>
      </w:tr>
      <w:tr w:rsidR="00027119" w:rsidRPr="00E1158E" w14:paraId="0B4763C8" w14:textId="77777777" w:rsidTr="00EA768C">
        <w:trPr>
          <w:trHeight w:val="397"/>
        </w:trPr>
        <w:tc>
          <w:tcPr>
            <w:tcW w:w="2178" w:type="dxa"/>
            <w:shd w:val="clear" w:color="auto" w:fill="auto"/>
            <w:noWrap/>
            <w:vAlign w:val="center"/>
          </w:tcPr>
          <w:p w14:paraId="7D78F53F" w14:textId="77777777" w:rsidR="00027119" w:rsidRPr="00E1158E" w:rsidRDefault="00027119" w:rsidP="003C1688">
            <w:pPr>
              <w:tabs>
                <w:tab w:val="left" w:pos="374"/>
                <w:tab w:val="left" w:pos="720"/>
                <w:tab w:val="left" w:pos="748"/>
                <w:tab w:val="left" w:pos="1260"/>
                <w:tab w:val="left" w:pos="1980"/>
                <w:tab w:val="left" w:pos="2520"/>
              </w:tabs>
              <w:spacing w:after="0"/>
              <w:rPr>
                <w:rFonts w:ascii="Arial" w:hAnsi="Arial" w:cs="Arial"/>
                <w:sz w:val="24"/>
                <w:szCs w:val="24"/>
              </w:rPr>
            </w:pPr>
            <w:r w:rsidRPr="00E1158E">
              <w:rPr>
                <w:rFonts w:ascii="Arial" w:hAnsi="Arial" w:cs="Arial"/>
                <w:sz w:val="24"/>
                <w:szCs w:val="24"/>
              </w:rPr>
              <w:t>Other long-term liabilities</w:t>
            </w:r>
          </w:p>
        </w:tc>
        <w:tc>
          <w:tcPr>
            <w:tcW w:w="1134" w:type="dxa"/>
            <w:shd w:val="clear" w:color="auto" w:fill="auto"/>
            <w:vAlign w:val="center"/>
          </w:tcPr>
          <w:p w14:paraId="24657BE8" w14:textId="77777777" w:rsidR="00027119" w:rsidRPr="00027119" w:rsidRDefault="00027119" w:rsidP="001E7296">
            <w:pPr>
              <w:tabs>
                <w:tab w:val="left" w:pos="374"/>
                <w:tab w:val="left" w:pos="720"/>
                <w:tab w:val="left" w:pos="748"/>
                <w:tab w:val="left" w:pos="1260"/>
                <w:tab w:val="left" w:pos="1980"/>
                <w:tab w:val="left" w:pos="2520"/>
              </w:tabs>
              <w:spacing w:after="0"/>
              <w:jc w:val="center"/>
              <w:rPr>
                <w:rFonts w:ascii="Arial" w:hAnsi="Arial" w:cs="Arial"/>
                <w:sz w:val="24"/>
                <w:szCs w:val="24"/>
              </w:rPr>
            </w:pPr>
            <w:r w:rsidRPr="00027119">
              <w:rPr>
                <w:rFonts w:ascii="Arial" w:hAnsi="Arial" w:cs="Arial"/>
                <w:sz w:val="24"/>
                <w:szCs w:val="24"/>
              </w:rPr>
              <w:t>5</w:t>
            </w:r>
          </w:p>
        </w:tc>
        <w:tc>
          <w:tcPr>
            <w:tcW w:w="1134" w:type="dxa"/>
            <w:shd w:val="clear" w:color="auto" w:fill="D9D9D9"/>
            <w:vAlign w:val="center"/>
          </w:tcPr>
          <w:p w14:paraId="644F3D3C" w14:textId="77777777" w:rsidR="00027119" w:rsidRPr="00E1158E" w:rsidRDefault="00027119" w:rsidP="001E7296">
            <w:pPr>
              <w:tabs>
                <w:tab w:val="left" w:pos="374"/>
                <w:tab w:val="left" w:pos="720"/>
                <w:tab w:val="left" w:pos="748"/>
                <w:tab w:val="left" w:pos="1260"/>
                <w:tab w:val="left" w:pos="1980"/>
                <w:tab w:val="left" w:pos="2520"/>
              </w:tabs>
              <w:spacing w:after="0"/>
              <w:jc w:val="center"/>
              <w:rPr>
                <w:rFonts w:ascii="Arial" w:hAnsi="Arial" w:cs="Arial"/>
                <w:sz w:val="24"/>
                <w:szCs w:val="24"/>
              </w:rPr>
            </w:pPr>
            <w:r w:rsidRPr="00E1158E">
              <w:rPr>
                <w:rFonts w:ascii="Arial" w:hAnsi="Arial" w:cs="Arial"/>
                <w:sz w:val="24"/>
                <w:szCs w:val="24"/>
              </w:rPr>
              <w:t>5</w:t>
            </w:r>
          </w:p>
        </w:tc>
        <w:tc>
          <w:tcPr>
            <w:tcW w:w="1276" w:type="dxa"/>
            <w:vAlign w:val="center"/>
          </w:tcPr>
          <w:p w14:paraId="4EED0B5A" w14:textId="77777777" w:rsidR="00027119" w:rsidRPr="00E1158E" w:rsidRDefault="00027119" w:rsidP="001E7296">
            <w:pPr>
              <w:tabs>
                <w:tab w:val="left" w:pos="374"/>
                <w:tab w:val="left" w:pos="720"/>
                <w:tab w:val="left" w:pos="748"/>
                <w:tab w:val="left" w:pos="1260"/>
                <w:tab w:val="left" w:pos="1980"/>
                <w:tab w:val="left" w:pos="2520"/>
              </w:tabs>
              <w:spacing w:after="0"/>
              <w:jc w:val="center"/>
              <w:rPr>
                <w:rFonts w:ascii="Arial" w:hAnsi="Arial" w:cs="Arial"/>
                <w:sz w:val="24"/>
                <w:szCs w:val="24"/>
              </w:rPr>
            </w:pPr>
            <w:r w:rsidRPr="00E1158E">
              <w:rPr>
                <w:rFonts w:ascii="Arial" w:hAnsi="Arial" w:cs="Arial"/>
                <w:sz w:val="24"/>
                <w:szCs w:val="24"/>
              </w:rPr>
              <w:t>5</w:t>
            </w:r>
          </w:p>
        </w:tc>
        <w:tc>
          <w:tcPr>
            <w:tcW w:w="1276" w:type="dxa"/>
            <w:vAlign w:val="center"/>
          </w:tcPr>
          <w:p w14:paraId="76D94C64" w14:textId="77777777" w:rsidR="00027119" w:rsidRPr="00E1158E" w:rsidRDefault="00027119" w:rsidP="001E7296">
            <w:pPr>
              <w:tabs>
                <w:tab w:val="left" w:pos="374"/>
                <w:tab w:val="left" w:pos="720"/>
                <w:tab w:val="left" w:pos="748"/>
                <w:tab w:val="left" w:pos="1260"/>
                <w:tab w:val="left" w:pos="1980"/>
                <w:tab w:val="left" w:pos="2520"/>
              </w:tabs>
              <w:spacing w:after="0"/>
              <w:jc w:val="center"/>
              <w:rPr>
                <w:rFonts w:ascii="Arial" w:hAnsi="Arial" w:cs="Arial"/>
                <w:sz w:val="24"/>
                <w:szCs w:val="24"/>
              </w:rPr>
            </w:pPr>
            <w:r>
              <w:rPr>
                <w:rFonts w:ascii="Arial" w:hAnsi="Arial" w:cs="Arial"/>
                <w:sz w:val="24"/>
                <w:szCs w:val="24"/>
              </w:rPr>
              <w:t>5</w:t>
            </w:r>
          </w:p>
        </w:tc>
        <w:tc>
          <w:tcPr>
            <w:tcW w:w="1276" w:type="dxa"/>
            <w:vAlign w:val="center"/>
          </w:tcPr>
          <w:p w14:paraId="09548A39" w14:textId="77777777" w:rsidR="00027119" w:rsidRPr="00E1158E" w:rsidRDefault="00027119" w:rsidP="001E7296">
            <w:pPr>
              <w:tabs>
                <w:tab w:val="left" w:pos="374"/>
                <w:tab w:val="left" w:pos="720"/>
                <w:tab w:val="left" w:pos="748"/>
                <w:tab w:val="left" w:pos="1260"/>
                <w:tab w:val="left" w:pos="1980"/>
                <w:tab w:val="left" w:pos="2520"/>
              </w:tabs>
              <w:spacing w:after="0"/>
              <w:jc w:val="center"/>
              <w:rPr>
                <w:rFonts w:ascii="Arial" w:hAnsi="Arial" w:cs="Arial"/>
                <w:sz w:val="24"/>
                <w:szCs w:val="24"/>
              </w:rPr>
            </w:pPr>
            <w:r w:rsidRPr="00E1158E">
              <w:rPr>
                <w:rFonts w:ascii="Arial" w:hAnsi="Arial" w:cs="Arial"/>
                <w:sz w:val="24"/>
                <w:szCs w:val="24"/>
              </w:rPr>
              <w:t>5</w:t>
            </w:r>
          </w:p>
        </w:tc>
      </w:tr>
      <w:tr w:rsidR="00027119" w:rsidRPr="00E1158E" w14:paraId="7EE9FE91" w14:textId="77777777" w:rsidTr="00EA768C">
        <w:trPr>
          <w:trHeight w:val="397"/>
        </w:trPr>
        <w:tc>
          <w:tcPr>
            <w:tcW w:w="2178" w:type="dxa"/>
            <w:shd w:val="clear" w:color="auto" w:fill="auto"/>
            <w:noWrap/>
            <w:vAlign w:val="center"/>
          </w:tcPr>
          <w:p w14:paraId="4CCBB68A" w14:textId="77777777" w:rsidR="00027119" w:rsidRPr="00E1158E" w:rsidRDefault="00027119" w:rsidP="003C1688">
            <w:pPr>
              <w:tabs>
                <w:tab w:val="left" w:pos="374"/>
                <w:tab w:val="left" w:pos="720"/>
                <w:tab w:val="left" w:pos="748"/>
                <w:tab w:val="left" w:pos="1260"/>
                <w:tab w:val="left" w:pos="1980"/>
                <w:tab w:val="left" w:pos="2520"/>
              </w:tabs>
              <w:spacing w:after="0"/>
              <w:rPr>
                <w:rFonts w:ascii="Arial" w:hAnsi="Arial" w:cs="Arial"/>
                <w:bCs/>
                <w:sz w:val="24"/>
                <w:szCs w:val="24"/>
              </w:rPr>
            </w:pPr>
            <w:r w:rsidRPr="00E1158E">
              <w:rPr>
                <w:rFonts w:ascii="Arial" w:hAnsi="Arial" w:cs="Arial"/>
                <w:bCs/>
                <w:sz w:val="24"/>
                <w:szCs w:val="24"/>
              </w:rPr>
              <w:t>Total Debt</w:t>
            </w:r>
          </w:p>
        </w:tc>
        <w:tc>
          <w:tcPr>
            <w:tcW w:w="1134" w:type="dxa"/>
            <w:shd w:val="clear" w:color="auto" w:fill="auto"/>
            <w:vAlign w:val="center"/>
          </w:tcPr>
          <w:p w14:paraId="3E269F87" w14:textId="77777777" w:rsidR="00027119" w:rsidRPr="00027119" w:rsidRDefault="00027119" w:rsidP="001E7296">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027119">
              <w:rPr>
                <w:rFonts w:ascii="Arial" w:hAnsi="Arial" w:cs="Arial"/>
                <w:bCs/>
                <w:sz w:val="24"/>
                <w:szCs w:val="24"/>
              </w:rPr>
              <w:t>25</w:t>
            </w:r>
          </w:p>
        </w:tc>
        <w:tc>
          <w:tcPr>
            <w:tcW w:w="1134" w:type="dxa"/>
            <w:shd w:val="clear" w:color="auto" w:fill="D9D9D9"/>
            <w:vAlign w:val="center"/>
          </w:tcPr>
          <w:p w14:paraId="6AC2DE40" w14:textId="77777777" w:rsidR="00027119" w:rsidRPr="00E1158E" w:rsidRDefault="00027119" w:rsidP="001E7296">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E1158E">
              <w:rPr>
                <w:rFonts w:ascii="Arial" w:hAnsi="Arial" w:cs="Arial"/>
                <w:bCs/>
                <w:sz w:val="24"/>
                <w:szCs w:val="24"/>
              </w:rPr>
              <w:t>25</w:t>
            </w:r>
          </w:p>
        </w:tc>
        <w:tc>
          <w:tcPr>
            <w:tcW w:w="1276" w:type="dxa"/>
            <w:vAlign w:val="center"/>
          </w:tcPr>
          <w:p w14:paraId="50D51FC8" w14:textId="77777777" w:rsidR="00027119" w:rsidRPr="00E1158E" w:rsidRDefault="00027119" w:rsidP="001E7296">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E1158E">
              <w:rPr>
                <w:rFonts w:ascii="Arial" w:hAnsi="Arial" w:cs="Arial"/>
                <w:bCs/>
                <w:sz w:val="24"/>
                <w:szCs w:val="24"/>
              </w:rPr>
              <w:t>25</w:t>
            </w:r>
          </w:p>
        </w:tc>
        <w:tc>
          <w:tcPr>
            <w:tcW w:w="1276" w:type="dxa"/>
            <w:vAlign w:val="center"/>
          </w:tcPr>
          <w:p w14:paraId="1B311007" w14:textId="77777777" w:rsidR="00027119" w:rsidRPr="00E1158E" w:rsidRDefault="00527259" w:rsidP="001E7296">
            <w:pPr>
              <w:tabs>
                <w:tab w:val="left" w:pos="374"/>
                <w:tab w:val="left" w:pos="720"/>
                <w:tab w:val="left" w:pos="748"/>
                <w:tab w:val="left" w:pos="1260"/>
                <w:tab w:val="left" w:pos="1980"/>
                <w:tab w:val="left" w:pos="2520"/>
              </w:tabs>
              <w:spacing w:after="0"/>
              <w:jc w:val="center"/>
              <w:rPr>
                <w:rFonts w:ascii="Arial" w:hAnsi="Arial" w:cs="Arial"/>
                <w:bCs/>
                <w:sz w:val="24"/>
                <w:szCs w:val="24"/>
              </w:rPr>
            </w:pPr>
            <w:r>
              <w:rPr>
                <w:rFonts w:ascii="Arial" w:hAnsi="Arial" w:cs="Arial"/>
                <w:bCs/>
                <w:sz w:val="24"/>
                <w:szCs w:val="24"/>
              </w:rPr>
              <w:t>25</w:t>
            </w:r>
          </w:p>
        </w:tc>
        <w:tc>
          <w:tcPr>
            <w:tcW w:w="1276" w:type="dxa"/>
            <w:vAlign w:val="center"/>
          </w:tcPr>
          <w:p w14:paraId="4440A440" w14:textId="77777777" w:rsidR="00027119" w:rsidRPr="00E1158E" w:rsidRDefault="00027119" w:rsidP="001E7296">
            <w:pPr>
              <w:tabs>
                <w:tab w:val="left" w:pos="374"/>
                <w:tab w:val="left" w:pos="720"/>
                <w:tab w:val="left" w:pos="748"/>
                <w:tab w:val="left" w:pos="1260"/>
                <w:tab w:val="left" w:pos="1980"/>
                <w:tab w:val="left" w:pos="2520"/>
              </w:tabs>
              <w:spacing w:after="0"/>
              <w:jc w:val="center"/>
              <w:rPr>
                <w:rFonts w:ascii="Arial" w:hAnsi="Arial" w:cs="Arial"/>
                <w:bCs/>
                <w:sz w:val="24"/>
                <w:szCs w:val="24"/>
              </w:rPr>
            </w:pPr>
            <w:r w:rsidRPr="00E1158E">
              <w:rPr>
                <w:rFonts w:ascii="Arial" w:hAnsi="Arial" w:cs="Arial"/>
                <w:bCs/>
                <w:sz w:val="24"/>
                <w:szCs w:val="24"/>
              </w:rPr>
              <w:t>25</w:t>
            </w:r>
          </w:p>
        </w:tc>
      </w:tr>
    </w:tbl>
    <w:p w14:paraId="71D80047" w14:textId="77777777" w:rsidR="0062686D" w:rsidRDefault="0062686D" w:rsidP="009C0A79">
      <w:pPr>
        <w:pStyle w:val="Heading1"/>
        <w:rPr>
          <w:rFonts w:ascii="Arial" w:hAnsi="Arial" w:cs="Arial"/>
          <w:color w:val="auto"/>
        </w:rPr>
      </w:pPr>
    </w:p>
    <w:p w14:paraId="068F8A86" w14:textId="77777777" w:rsidR="008E6BE6" w:rsidRPr="003745C6" w:rsidRDefault="0062686D" w:rsidP="005B4A0B">
      <w:pPr>
        <w:pStyle w:val="Heading1"/>
        <w:rPr>
          <w:rFonts w:ascii="Arial" w:hAnsi="Arial" w:cs="Arial"/>
          <w:color w:val="auto"/>
        </w:rPr>
      </w:pPr>
      <w:r>
        <w:br w:type="page"/>
      </w:r>
      <w:bookmarkStart w:id="37" w:name="_Commercial_Investments"/>
      <w:bookmarkStart w:id="38" w:name="_Loan_Commitments_and"/>
      <w:bookmarkStart w:id="39" w:name="_Toc115768672"/>
      <w:bookmarkEnd w:id="37"/>
      <w:bookmarkEnd w:id="38"/>
      <w:r w:rsidR="008E6BE6" w:rsidRPr="005B4A0B">
        <w:rPr>
          <w:rFonts w:ascii="Arial" w:hAnsi="Arial" w:cs="Arial"/>
          <w:color w:val="auto"/>
        </w:rPr>
        <w:lastRenderedPageBreak/>
        <w:t>Treasury Management</w:t>
      </w:r>
      <w:r w:rsidR="00900367" w:rsidRPr="005B4A0B">
        <w:rPr>
          <w:rFonts w:ascii="Arial" w:hAnsi="Arial" w:cs="Arial"/>
          <w:color w:val="auto"/>
        </w:rPr>
        <w:t xml:space="preserve"> Indicators</w:t>
      </w:r>
      <w:bookmarkEnd w:id="39"/>
      <w:r>
        <w:rPr>
          <w:rFonts w:ascii="Arial" w:hAnsi="Arial" w:cs="Arial"/>
          <w:color w:val="auto"/>
        </w:rPr>
        <w:br/>
      </w:r>
    </w:p>
    <w:p w14:paraId="4BC1EB5B" w14:textId="77777777" w:rsidR="00852915" w:rsidRDefault="00D90660" w:rsidP="003C1688">
      <w:pPr>
        <w:pStyle w:val="Heading3"/>
        <w:rPr>
          <w:rFonts w:ascii="Arial" w:hAnsi="Arial" w:cs="Arial"/>
        </w:rPr>
      </w:pPr>
      <w:bookmarkStart w:id="40" w:name="_Toc115768673"/>
      <w:r>
        <w:rPr>
          <w:rFonts w:ascii="Arial" w:hAnsi="Arial" w:cs="Arial"/>
        </w:rPr>
        <w:t>Prudential</w:t>
      </w:r>
      <w:r w:rsidR="00852915">
        <w:rPr>
          <w:rFonts w:ascii="Arial" w:hAnsi="Arial" w:cs="Arial"/>
        </w:rPr>
        <w:t xml:space="preserve"> indicator for the Liability Benchmark</w:t>
      </w:r>
      <w:bookmarkEnd w:id="40"/>
    </w:p>
    <w:p w14:paraId="696ED022" w14:textId="77777777" w:rsidR="00852915" w:rsidRDefault="00852915" w:rsidP="00852915">
      <w:pPr>
        <w:rPr>
          <w:rFonts w:ascii="Arial" w:hAnsi="Arial" w:cs="Arial"/>
          <w:sz w:val="24"/>
          <w:szCs w:val="24"/>
        </w:rPr>
      </w:pPr>
      <w:r w:rsidRPr="002E1C30">
        <w:rPr>
          <w:rFonts w:ascii="Arial" w:hAnsi="Arial" w:cs="Arial"/>
          <w:sz w:val="24"/>
          <w:szCs w:val="24"/>
        </w:rPr>
        <w:t xml:space="preserve">This strategy incorporates the Liability benchmark – shown </w:t>
      </w:r>
      <w:r w:rsidR="00E75A46">
        <w:rPr>
          <w:rFonts w:ascii="Arial" w:hAnsi="Arial" w:cs="Arial"/>
          <w:sz w:val="24"/>
          <w:szCs w:val="24"/>
        </w:rPr>
        <w:t>at table 2</w:t>
      </w:r>
      <w:r w:rsidRPr="002E1C30">
        <w:rPr>
          <w:rFonts w:ascii="Arial" w:hAnsi="Arial" w:cs="Arial"/>
          <w:sz w:val="24"/>
          <w:szCs w:val="24"/>
        </w:rPr>
        <w:t xml:space="preserve"> as a Performance indicator relevant to the Council.</w:t>
      </w:r>
    </w:p>
    <w:p w14:paraId="5B338C88" w14:textId="77777777" w:rsidR="00D90660" w:rsidRDefault="00852915" w:rsidP="00852915">
      <w:pPr>
        <w:rPr>
          <w:rFonts w:ascii="Arial" w:hAnsi="Arial" w:cs="Arial"/>
          <w:sz w:val="24"/>
          <w:szCs w:val="24"/>
        </w:rPr>
      </w:pPr>
      <w:r>
        <w:rPr>
          <w:rFonts w:ascii="Arial" w:hAnsi="Arial" w:cs="Arial"/>
          <w:sz w:val="24"/>
          <w:szCs w:val="24"/>
        </w:rPr>
        <w:t xml:space="preserve">Whilst the Council is debt-free, this indicator is of relatively lesser value.  However, if the Council does take out borrowing, </w:t>
      </w:r>
      <w:r w:rsidR="00D90660">
        <w:rPr>
          <w:rFonts w:ascii="Arial" w:hAnsi="Arial" w:cs="Arial"/>
          <w:sz w:val="24"/>
          <w:szCs w:val="24"/>
        </w:rPr>
        <w:t xml:space="preserve">any </w:t>
      </w:r>
      <w:r w:rsidRPr="00852915">
        <w:rPr>
          <w:rFonts w:ascii="Arial" w:hAnsi="Arial" w:cs="Arial"/>
          <w:sz w:val="24"/>
          <w:szCs w:val="24"/>
        </w:rPr>
        <w:t xml:space="preserve">substantial mismatches between actual loan debt outstanding and the liability benchmark </w:t>
      </w:r>
      <w:r w:rsidR="00D90660">
        <w:rPr>
          <w:rFonts w:ascii="Arial" w:hAnsi="Arial" w:cs="Arial"/>
          <w:sz w:val="24"/>
          <w:szCs w:val="24"/>
        </w:rPr>
        <w:t>will</w:t>
      </w:r>
      <w:r w:rsidRPr="00852915">
        <w:rPr>
          <w:rFonts w:ascii="Arial" w:hAnsi="Arial" w:cs="Arial"/>
          <w:sz w:val="24"/>
          <w:szCs w:val="24"/>
        </w:rPr>
        <w:t xml:space="preserve"> be explained. </w:t>
      </w:r>
    </w:p>
    <w:p w14:paraId="63A311A0" w14:textId="77777777" w:rsidR="00D90660" w:rsidRDefault="00852915" w:rsidP="00852915">
      <w:pPr>
        <w:rPr>
          <w:rFonts w:ascii="Arial" w:hAnsi="Arial" w:cs="Arial"/>
          <w:sz w:val="24"/>
          <w:szCs w:val="24"/>
        </w:rPr>
      </w:pPr>
      <w:r w:rsidRPr="00852915">
        <w:rPr>
          <w:rFonts w:ascii="Arial" w:hAnsi="Arial" w:cs="Arial"/>
          <w:sz w:val="24"/>
          <w:szCs w:val="24"/>
        </w:rPr>
        <w:t xml:space="preserve">Any years where actual loans are less than the benchmark indicate a future borrowing requirement; any years where actual loans outstanding exceed the benchmark represent an overborrowed position, which will result in excess cash requiring investment (unless </w:t>
      </w:r>
      <w:r w:rsidR="00D90660">
        <w:rPr>
          <w:rFonts w:ascii="Arial" w:hAnsi="Arial" w:cs="Arial"/>
          <w:sz w:val="24"/>
          <w:szCs w:val="24"/>
        </w:rPr>
        <w:t>a</w:t>
      </w:r>
      <w:r w:rsidRPr="00852915">
        <w:rPr>
          <w:rFonts w:ascii="Arial" w:hAnsi="Arial" w:cs="Arial"/>
          <w:sz w:val="24"/>
          <w:szCs w:val="24"/>
        </w:rPr>
        <w:t xml:space="preserve">ny currently unknown future borrowing plans increase the benchmark loan debt requirement). </w:t>
      </w:r>
    </w:p>
    <w:p w14:paraId="01E80743" w14:textId="77777777" w:rsidR="000022C5" w:rsidRPr="00E1158E" w:rsidRDefault="009921F5" w:rsidP="003C1688">
      <w:pPr>
        <w:pStyle w:val="Heading3"/>
        <w:rPr>
          <w:rFonts w:ascii="Arial" w:hAnsi="Arial" w:cs="Arial"/>
        </w:rPr>
      </w:pPr>
      <w:bookmarkStart w:id="41" w:name="_Toc115768674"/>
      <w:r w:rsidRPr="00E1158E">
        <w:rPr>
          <w:rFonts w:ascii="Arial" w:hAnsi="Arial" w:cs="Arial"/>
        </w:rPr>
        <w:t>Security</w:t>
      </w:r>
      <w:r w:rsidR="003C0154" w:rsidRPr="00E1158E">
        <w:rPr>
          <w:rFonts w:ascii="Arial" w:hAnsi="Arial" w:cs="Arial"/>
        </w:rPr>
        <w:t xml:space="preserve"> and credit risk</w:t>
      </w:r>
      <w:bookmarkEnd w:id="41"/>
    </w:p>
    <w:p w14:paraId="3D6B4A8A" w14:textId="77777777" w:rsidR="004C7804" w:rsidRPr="00E1158E" w:rsidRDefault="004C7804" w:rsidP="003C1688">
      <w:pPr>
        <w:ind w:firstLine="360"/>
        <w:rPr>
          <w:rFonts w:ascii="Arial" w:hAnsi="Arial" w:cs="Arial"/>
          <w:i/>
          <w:sz w:val="24"/>
          <w:szCs w:val="24"/>
        </w:rPr>
      </w:pPr>
      <w:r w:rsidRPr="00E1158E">
        <w:rPr>
          <w:rFonts w:ascii="Arial" w:hAnsi="Arial" w:cs="Arial"/>
          <w:i/>
          <w:sz w:val="24"/>
          <w:szCs w:val="24"/>
        </w:rPr>
        <w:t xml:space="preserve">Table </w:t>
      </w:r>
      <w:r w:rsidR="009B2917">
        <w:rPr>
          <w:rFonts w:ascii="Arial" w:hAnsi="Arial" w:cs="Arial"/>
          <w:i/>
          <w:sz w:val="24"/>
          <w:szCs w:val="24"/>
        </w:rPr>
        <w:t>7</w:t>
      </w:r>
      <w:r w:rsidRPr="00E1158E">
        <w:rPr>
          <w:rFonts w:ascii="Arial" w:hAnsi="Arial" w:cs="Arial"/>
          <w:i/>
          <w:sz w:val="24"/>
          <w:szCs w:val="24"/>
        </w:rPr>
        <w:t xml:space="preserve">: Security </w:t>
      </w:r>
      <w:r w:rsidR="00693BE6" w:rsidRPr="00E1158E">
        <w:rPr>
          <w:rFonts w:ascii="Arial" w:hAnsi="Arial" w:cs="Arial"/>
          <w:i/>
          <w:sz w:val="24"/>
          <w:szCs w:val="24"/>
        </w:rPr>
        <w:t>risk</w:t>
      </w:r>
      <w:r w:rsidRPr="00E1158E">
        <w:rPr>
          <w:rFonts w:ascii="Arial" w:hAnsi="Arial" w:cs="Arial"/>
          <w:i/>
          <w:sz w:val="24"/>
          <w:szCs w:val="24"/>
        </w:rPr>
        <w:t xml:space="preserve"> indicators</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528"/>
      </w:tblGrid>
      <w:tr w:rsidR="00A25728" w:rsidRPr="00940812" w14:paraId="79B99CA4" w14:textId="77777777" w:rsidTr="002436CB">
        <w:trPr>
          <w:trHeight w:val="340"/>
          <w:tblHeader/>
        </w:trPr>
        <w:tc>
          <w:tcPr>
            <w:tcW w:w="2425" w:type="dxa"/>
            <w:shd w:val="clear" w:color="auto" w:fill="D9D9D9"/>
            <w:vAlign w:val="center"/>
          </w:tcPr>
          <w:p w14:paraId="581768A0" w14:textId="77777777" w:rsidR="00A25728" w:rsidRPr="00940812" w:rsidRDefault="000022C5" w:rsidP="003C1688">
            <w:pPr>
              <w:spacing w:after="0"/>
              <w:rPr>
                <w:rFonts w:ascii="Arial" w:eastAsia="Times New Roman" w:hAnsi="Arial" w:cs="Arial"/>
                <w:bCs/>
                <w:sz w:val="24"/>
                <w:szCs w:val="24"/>
              </w:rPr>
            </w:pPr>
            <w:r w:rsidRPr="00940812">
              <w:rPr>
                <w:rFonts w:ascii="Arial" w:eastAsia="Times New Roman" w:hAnsi="Arial" w:cs="Arial"/>
                <w:bCs/>
                <w:sz w:val="24"/>
                <w:szCs w:val="24"/>
              </w:rPr>
              <w:t>Measure</w:t>
            </w:r>
          </w:p>
        </w:tc>
        <w:tc>
          <w:tcPr>
            <w:tcW w:w="5528" w:type="dxa"/>
            <w:shd w:val="clear" w:color="auto" w:fill="D9D9D9"/>
            <w:vAlign w:val="center"/>
          </w:tcPr>
          <w:p w14:paraId="1515A076" w14:textId="77777777" w:rsidR="00A25728" w:rsidRPr="00940812" w:rsidRDefault="00A25728" w:rsidP="003C1688">
            <w:pPr>
              <w:spacing w:after="0"/>
              <w:rPr>
                <w:rFonts w:ascii="Arial" w:eastAsia="Times New Roman" w:hAnsi="Arial" w:cs="Arial"/>
                <w:bCs/>
                <w:sz w:val="24"/>
                <w:szCs w:val="24"/>
              </w:rPr>
            </w:pPr>
            <w:r w:rsidRPr="00940812">
              <w:rPr>
                <w:rFonts w:ascii="Arial" w:eastAsia="Times New Roman" w:hAnsi="Arial" w:cs="Arial"/>
                <w:bCs/>
                <w:sz w:val="24"/>
                <w:szCs w:val="24"/>
              </w:rPr>
              <w:t>Target</w:t>
            </w:r>
          </w:p>
        </w:tc>
      </w:tr>
      <w:tr w:rsidR="000022C5" w:rsidRPr="00E1158E" w14:paraId="6006D4F3" w14:textId="77777777" w:rsidTr="002436CB">
        <w:trPr>
          <w:trHeight w:val="340"/>
        </w:trPr>
        <w:tc>
          <w:tcPr>
            <w:tcW w:w="2425" w:type="dxa"/>
            <w:shd w:val="clear" w:color="auto" w:fill="auto"/>
            <w:vAlign w:val="center"/>
          </w:tcPr>
          <w:p w14:paraId="60BB2E3F" w14:textId="77777777" w:rsidR="000022C5" w:rsidRPr="00E1158E" w:rsidRDefault="00486A60" w:rsidP="003C1688">
            <w:pPr>
              <w:spacing w:after="0"/>
              <w:rPr>
                <w:rFonts w:ascii="Arial" w:eastAsia="Times New Roman" w:hAnsi="Arial" w:cs="Arial"/>
                <w:bCs/>
                <w:sz w:val="24"/>
                <w:szCs w:val="24"/>
              </w:rPr>
            </w:pPr>
            <w:r>
              <w:rPr>
                <w:rFonts w:ascii="Arial" w:eastAsia="Times New Roman" w:hAnsi="Arial" w:cs="Arial"/>
                <w:bCs/>
                <w:sz w:val="24"/>
                <w:szCs w:val="24"/>
              </w:rPr>
              <w:t xml:space="preserve">Portfolio </w:t>
            </w:r>
            <w:r w:rsidR="000022C5" w:rsidRPr="00E1158E">
              <w:rPr>
                <w:rFonts w:ascii="Arial" w:eastAsia="Times New Roman" w:hAnsi="Arial" w:cs="Arial"/>
                <w:bCs/>
                <w:sz w:val="24"/>
                <w:szCs w:val="24"/>
              </w:rPr>
              <w:t>Average Credit Rating (time weighted)</w:t>
            </w:r>
          </w:p>
          <w:p w14:paraId="07EA0BAB" w14:textId="77777777" w:rsidR="000022C5" w:rsidRPr="00E1158E" w:rsidRDefault="000022C5" w:rsidP="003C1688">
            <w:pPr>
              <w:spacing w:after="0"/>
              <w:rPr>
                <w:rFonts w:ascii="Arial" w:eastAsia="Times New Roman" w:hAnsi="Arial" w:cs="Arial"/>
                <w:bCs/>
                <w:sz w:val="24"/>
                <w:szCs w:val="24"/>
              </w:rPr>
            </w:pPr>
          </w:p>
        </w:tc>
        <w:tc>
          <w:tcPr>
            <w:tcW w:w="5528" w:type="dxa"/>
            <w:shd w:val="clear" w:color="auto" w:fill="auto"/>
            <w:vAlign w:val="center"/>
          </w:tcPr>
          <w:p w14:paraId="38CE5E5D" w14:textId="77777777" w:rsidR="000022C5" w:rsidRPr="00E1158E" w:rsidRDefault="000E6916" w:rsidP="003C1688">
            <w:pPr>
              <w:spacing w:after="0"/>
              <w:rPr>
                <w:rFonts w:ascii="Arial" w:eastAsia="Times New Roman" w:hAnsi="Arial" w:cs="Arial"/>
                <w:bCs/>
                <w:sz w:val="24"/>
                <w:szCs w:val="24"/>
              </w:rPr>
            </w:pPr>
            <w:r>
              <w:rPr>
                <w:rFonts w:ascii="Arial" w:eastAsia="Times New Roman" w:hAnsi="Arial" w:cs="Arial"/>
                <w:bCs/>
                <w:sz w:val="24"/>
                <w:szCs w:val="24"/>
              </w:rPr>
              <w:t xml:space="preserve">Minimum </w:t>
            </w:r>
            <w:r w:rsidR="00486A60">
              <w:rPr>
                <w:rFonts w:ascii="Arial" w:eastAsia="Times New Roman" w:hAnsi="Arial" w:cs="Arial"/>
                <w:bCs/>
                <w:sz w:val="24"/>
                <w:szCs w:val="24"/>
              </w:rPr>
              <w:t>“A” rating</w:t>
            </w:r>
          </w:p>
        </w:tc>
      </w:tr>
      <w:tr w:rsidR="000022C5" w:rsidRPr="00E1158E" w14:paraId="0C45618C" w14:textId="77777777" w:rsidTr="002436CB">
        <w:trPr>
          <w:trHeight w:val="340"/>
        </w:trPr>
        <w:tc>
          <w:tcPr>
            <w:tcW w:w="2425" w:type="dxa"/>
            <w:shd w:val="clear" w:color="auto" w:fill="auto"/>
            <w:vAlign w:val="center"/>
          </w:tcPr>
          <w:p w14:paraId="01244CD7" w14:textId="77777777" w:rsidR="000022C5" w:rsidRPr="00E1158E" w:rsidRDefault="000022C5" w:rsidP="003C1688">
            <w:pPr>
              <w:spacing w:after="0"/>
              <w:rPr>
                <w:rFonts w:ascii="Arial" w:eastAsia="Times New Roman" w:hAnsi="Arial" w:cs="Arial"/>
                <w:bCs/>
                <w:sz w:val="24"/>
                <w:szCs w:val="24"/>
              </w:rPr>
            </w:pPr>
            <w:r w:rsidRPr="00E1158E">
              <w:rPr>
                <w:rFonts w:ascii="Arial" w:eastAsia="Times New Roman" w:hAnsi="Arial" w:cs="Arial"/>
                <w:bCs/>
                <w:sz w:val="24"/>
                <w:szCs w:val="24"/>
              </w:rPr>
              <w:t>Proportion Exposed to Bail-in (%)</w:t>
            </w:r>
          </w:p>
        </w:tc>
        <w:tc>
          <w:tcPr>
            <w:tcW w:w="5528" w:type="dxa"/>
            <w:shd w:val="clear" w:color="auto" w:fill="auto"/>
            <w:vAlign w:val="center"/>
          </w:tcPr>
          <w:p w14:paraId="68A4906C" w14:textId="77777777" w:rsidR="000022C5" w:rsidRPr="00E1158E" w:rsidRDefault="004C1ACB" w:rsidP="003C1688">
            <w:pPr>
              <w:spacing w:after="0"/>
              <w:rPr>
                <w:rFonts w:ascii="Arial" w:eastAsia="Times New Roman" w:hAnsi="Arial" w:cs="Arial"/>
                <w:bCs/>
                <w:sz w:val="24"/>
                <w:szCs w:val="24"/>
              </w:rPr>
            </w:pPr>
            <w:r w:rsidRPr="00E1158E">
              <w:rPr>
                <w:rFonts w:ascii="Arial" w:eastAsia="Times New Roman" w:hAnsi="Arial" w:cs="Arial"/>
                <w:bCs/>
                <w:sz w:val="24"/>
                <w:szCs w:val="24"/>
              </w:rPr>
              <w:t>Less</w:t>
            </w:r>
            <w:r w:rsidR="009921F5" w:rsidRPr="00E1158E">
              <w:rPr>
                <w:rFonts w:ascii="Arial" w:eastAsia="Times New Roman" w:hAnsi="Arial" w:cs="Arial"/>
                <w:bCs/>
                <w:sz w:val="24"/>
                <w:szCs w:val="24"/>
              </w:rPr>
              <w:t xml:space="preserve"> than the average of other District Councils</w:t>
            </w:r>
          </w:p>
        </w:tc>
      </w:tr>
      <w:tr w:rsidR="00066A35" w:rsidRPr="00E1158E" w14:paraId="355D5DB6" w14:textId="77777777" w:rsidTr="002436CB">
        <w:trPr>
          <w:trHeight w:val="340"/>
        </w:trPr>
        <w:tc>
          <w:tcPr>
            <w:tcW w:w="2425" w:type="dxa"/>
            <w:shd w:val="clear" w:color="auto" w:fill="auto"/>
            <w:vAlign w:val="center"/>
          </w:tcPr>
          <w:p w14:paraId="5CBBDC6C" w14:textId="77777777" w:rsidR="00066A35" w:rsidRPr="00E1158E" w:rsidRDefault="00066A35" w:rsidP="003C1688">
            <w:pPr>
              <w:spacing w:after="0"/>
              <w:rPr>
                <w:rFonts w:ascii="Arial" w:eastAsia="Times New Roman" w:hAnsi="Arial" w:cs="Arial"/>
                <w:bCs/>
                <w:sz w:val="24"/>
                <w:szCs w:val="24"/>
              </w:rPr>
            </w:pPr>
            <w:r w:rsidRPr="00E1158E">
              <w:rPr>
                <w:rFonts w:ascii="Arial" w:eastAsia="Times New Roman" w:hAnsi="Arial" w:cs="Arial"/>
                <w:bCs/>
                <w:sz w:val="24"/>
                <w:szCs w:val="24"/>
              </w:rPr>
              <w:t>Fair Value of external funds</w:t>
            </w:r>
          </w:p>
        </w:tc>
        <w:tc>
          <w:tcPr>
            <w:tcW w:w="5528" w:type="dxa"/>
            <w:shd w:val="clear" w:color="auto" w:fill="auto"/>
            <w:vAlign w:val="center"/>
          </w:tcPr>
          <w:p w14:paraId="2E040DA7" w14:textId="77777777" w:rsidR="00B52E5E" w:rsidRDefault="00B52E5E" w:rsidP="003C1688">
            <w:pPr>
              <w:spacing w:after="0"/>
              <w:rPr>
                <w:rFonts w:ascii="Arial" w:eastAsia="Times New Roman" w:hAnsi="Arial" w:cs="Arial"/>
                <w:bCs/>
                <w:sz w:val="24"/>
                <w:szCs w:val="24"/>
              </w:rPr>
            </w:pPr>
          </w:p>
          <w:p w14:paraId="6C8C8127" w14:textId="77777777" w:rsidR="00762302" w:rsidRDefault="00486A60" w:rsidP="00EA768C">
            <w:pPr>
              <w:numPr>
                <w:ilvl w:val="0"/>
                <w:numId w:val="21"/>
              </w:numPr>
              <w:spacing w:after="0"/>
              <w:rPr>
                <w:rFonts w:ascii="Arial" w:eastAsia="Times New Roman" w:hAnsi="Arial" w:cs="Arial"/>
                <w:bCs/>
                <w:sz w:val="24"/>
                <w:szCs w:val="24"/>
              </w:rPr>
            </w:pPr>
            <w:r>
              <w:rPr>
                <w:rFonts w:ascii="Arial" w:eastAsia="Times New Roman" w:hAnsi="Arial" w:cs="Arial"/>
                <w:bCs/>
                <w:sz w:val="24"/>
                <w:szCs w:val="24"/>
              </w:rPr>
              <w:t>Overall F</w:t>
            </w:r>
            <w:r w:rsidR="00066A35" w:rsidRPr="00E1158E">
              <w:rPr>
                <w:rFonts w:ascii="Arial" w:eastAsia="Times New Roman" w:hAnsi="Arial" w:cs="Arial"/>
                <w:bCs/>
                <w:sz w:val="24"/>
                <w:szCs w:val="24"/>
              </w:rPr>
              <w:t xml:space="preserve">air value </w:t>
            </w:r>
            <w:r>
              <w:rPr>
                <w:rFonts w:ascii="Arial" w:eastAsia="Times New Roman" w:hAnsi="Arial" w:cs="Arial"/>
                <w:bCs/>
                <w:sz w:val="24"/>
                <w:szCs w:val="24"/>
              </w:rPr>
              <w:t>of external funds</w:t>
            </w:r>
          </w:p>
          <w:p w14:paraId="6543ABED" w14:textId="77777777" w:rsidR="00762302" w:rsidRDefault="00762302" w:rsidP="00762302">
            <w:pPr>
              <w:spacing w:after="0"/>
              <w:rPr>
                <w:rFonts w:ascii="Arial" w:eastAsia="Times New Roman" w:hAnsi="Arial" w:cs="Arial"/>
                <w:bCs/>
                <w:sz w:val="24"/>
                <w:szCs w:val="24"/>
              </w:rPr>
            </w:pPr>
            <w:r>
              <w:rPr>
                <w:rFonts w:ascii="Arial" w:eastAsia="Times New Roman" w:hAnsi="Arial" w:cs="Arial"/>
                <w:bCs/>
                <w:sz w:val="24"/>
                <w:szCs w:val="24"/>
              </w:rPr>
              <w:t>Less</w:t>
            </w:r>
          </w:p>
          <w:p w14:paraId="70279F8D" w14:textId="77777777" w:rsidR="00486A60" w:rsidRDefault="00762302" w:rsidP="00EA768C">
            <w:pPr>
              <w:numPr>
                <w:ilvl w:val="0"/>
                <w:numId w:val="25"/>
              </w:numPr>
              <w:spacing w:after="0"/>
              <w:rPr>
                <w:rFonts w:ascii="Arial" w:eastAsia="Times New Roman" w:hAnsi="Arial" w:cs="Arial"/>
                <w:bCs/>
                <w:sz w:val="24"/>
                <w:szCs w:val="24"/>
              </w:rPr>
            </w:pPr>
            <w:r>
              <w:rPr>
                <w:rFonts w:ascii="Arial" w:eastAsia="Times New Roman" w:hAnsi="Arial" w:cs="Arial"/>
                <w:bCs/>
                <w:sz w:val="24"/>
                <w:szCs w:val="24"/>
              </w:rPr>
              <w:t xml:space="preserve">Nominal value of funds </w:t>
            </w:r>
            <w:proofErr w:type="gramStart"/>
            <w:r>
              <w:rPr>
                <w:rFonts w:ascii="Arial" w:eastAsia="Times New Roman" w:hAnsi="Arial" w:cs="Arial"/>
                <w:bCs/>
                <w:sz w:val="24"/>
                <w:szCs w:val="24"/>
              </w:rPr>
              <w:t>invested</w:t>
            </w:r>
            <w:proofErr w:type="gramEnd"/>
          </w:p>
          <w:p w14:paraId="3B20D91D" w14:textId="77777777" w:rsidR="00486A60" w:rsidRDefault="00762302" w:rsidP="00FB33B3">
            <w:pPr>
              <w:spacing w:after="0"/>
              <w:rPr>
                <w:rFonts w:ascii="Arial" w:eastAsia="Times New Roman" w:hAnsi="Arial" w:cs="Arial"/>
                <w:bCs/>
                <w:sz w:val="24"/>
                <w:szCs w:val="24"/>
              </w:rPr>
            </w:pPr>
            <w:r>
              <w:rPr>
                <w:rFonts w:ascii="Arial" w:eastAsia="Times New Roman" w:hAnsi="Arial" w:cs="Arial"/>
                <w:bCs/>
                <w:sz w:val="24"/>
                <w:szCs w:val="24"/>
              </w:rPr>
              <w:t>P</w:t>
            </w:r>
            <w:r w:rsidR="00486A60">
              <w:rPr>
                <w:rFonts w:ascii="Arial" w:eastAsia="Times New Roman" w:hAnsi="Arial" w:cs="Arial"/>
                <w:bCs/>
                <w:sz w:val="24"/>
                <w:szCs w:val="24"/>
              </w:rPr>
              <w:t>lus</w:t>
            </w:r>
          </w:p>
          <w:p w14:paraId="7635EECB" w14:textId="77777777" w:rsidR="00486A60" w:rsidRDefault="00486A60" w:rsidP="00EA768C">
            <w:pPr>
              <w:numPr>
                <w:ilvl w:val="0"/>
                <w:numId w:val="21"/>
              </w:numPr>
              <w:spacing w:after="0"/>
              <w:rPr>
                <w:rFonts w:ascii="Arial" w:eastAsia="Times New Roman" w:hAnsi="Arial" w:cs="Arial"/>
                <w:bCs/>
                <w:sz w:val="24"/>
                <w:szCs w:val="24"/>
              </w:rPr>
            </w:pPr>
            <w:r>
              <w:rPr>
                <w:rFonts w:ascii="Arial" w:eastAsia="Times New Roman" w:hAnsi="Arial" w:cs="Arial"/>
                <w:bCs/>
                <w:sz w:val="24"/>
                <w:szCs w:val="24"/>
              </w:rPr>
              <w:t xml:space="preserve">reserves set aside to reduce </w:t>
            </w:r>
            <w:proofErr w:type="gramStart"/>
            <w:r>
              <w:rPr>
                <w:rFonts w:ascii="Arial" w:eastAsia="Times New Roman" w:hAnsi="Arial" w:cs="Arial"/>
                <w:bCs/>
                <w:sz w:val="24"/>
                <w:szCs w:val="24"/>
              </w:rPr>
              <w:t>risk</w:t>
            </w:r>
            <w:proofErr w:type="gramEnd"/>
          </w:p>
          <w:p w14:paraId="0E16E9F8" w14:textId="77777777" w:rsidR="00486A60" w:rsidRDefault="00486A60" w:rsidP="00FB33B3">
            <w:pPr>
              <w:spacing w:after="0"/>
              <w:rPr>
                <w:rFonts w:ascii="Arial" w:eastAsia="Times New Roman" w:hAnsi="Arial" w:cs="Arial"/>
                <w:bCs/>
                <w:sz w:val="24"/>
                <w:szCs w:val="24"/>
              </w:rPr>
            </w:pPr>
          </w:p>
          <w:p w14:paraId="201A8B43" w14:textId="77777777" w:rsidR="00066A35" w:rsidRPr="005B4A0B" w:rsidRDefault="00762302" w:rsidP="005B4A0B">
            <w:pPr>
              <w:spacing w:after="0"/>
              <w:rPr>
                <w:rFonts w:ascii="Arial" w:eastAsia="Times New Roman" w:hAnsi="Arial" w:cs="Arial"/>
                <w:bCs/>
                <w:sz w:val="24"/>
                <w:szCs w:val="24"/>
              </w:rPr>
            </w:pPr>
            <w:r>
              <w:rPr>
                <w:rFonts w:ascii="Arial" w:eastAsia="Times New Roman" w:hAnsi="Arial" w:cs="Arial"/>
                <w:bCs/>
                <w:sz w:val="24"/>
                <w:szCs w:val="24"/>
              </w:rPr>
              <w:t>I</w:t>
            </w:r>
            <w:r w:rsidR="00486A60" w:rsidRPr="00FB33B3">
              <w:rPr>
                <w:rFonts w:ascii="Arial" w:eastAsia="Times New Roman" w:hAnsi="Arial" w:cs="Arial"/>
                <w:bCs/>
                <w:sz w:val="24"/>
                <w:szCs w:val="24"/>
              </w:rPr>
              <w:t>s greater than zero.</w:t>
            </w:r>
          </w:p>
        </w:tc>
      </w:tr>
    </w:tbl>
    <w:p w14:paraId="59E0D6D3" w14:textId="77777777" w:rsidR="009921F5" w:rsidRPr="00E1158E" w:rsidRDefault="00DB7B8A" w:rsidP="003C1688">
      <w:pPr>
        <w:rPr>
          <w:rFonts w:ascii="Arial" w:hAnsi="Arial" w:cs="Arial"/>
          <w:b/>
          <w:bCs/>
          <w:sz w:val="24"/>
          <w:szCs w:val="26"/>
        </w:rPr>
      </w:pPr>
      <w:r w:rsidRPr="00E1158E">
        <w:rPr>
          <w:rFonts w:ascii="Arial" w:hAnsi="Arial" w:cs="Arial"/>
          <w:bCs/>
          <w:sz w:val="24"/>
          <w:szCs w:val="24"/>
        </w:rPr>
        <w:br/>
      </w:r>
      <w:r w:rsidR="00A25728" w:rsidRPr="00E1158E">
        <w:rPr>
          <w:rFonts w:ascii="Arial" w:hAnsi="Arial" w:cs="Arial"/>
          <w:b/>
          <w:bCs/>
          <w:sz w:val="24"/>
          <w:szCs w:val="26"/>
        </w:rPr>
        <w:t>Liquid</w:t>
      </w:r>
      <w:r w:rsidR="00520C6E">
        <w:rPr>
          <w:rFonts w:ascii="Arial" w:hAnsi="Arial" w:cs="Arial"/>
          <w:b/>
          <w:bCs/>
          <w:sz w:val="24"/>
          <w:szCs w:val="26"/>
        </w:rPr>
        <w:t>i</w:t>
      </w:r>
      <w:r w:rsidR="00A25728" w:rsidRPr="00E1158E">
        <w:rPr>
          <w:rFonts w:ascii="Arial" w:hAnsi="Arial" w:cs="Arial"/>
          <w:b/>
          <w:bCs/>
          <w:sz w:val="24"/>
          <w:szCs w:val="26"/>
        </w:rPr>
        <w:t>ty</w:t>
      </w:r>
    </w:p>
    <w:p w14:paraId="219E2FFA" w14:textId="77777777" w:rsidR="00A25728" w:rsidRPr="00E1158E" w:rsidRDefault="00105EB6" w:rsidP="003C1688">
      <w:pPr>
        <w:rPr>
          <w:rFonts w:ascii="Arial" w:hAnsi="Arial" w:cs="Arial"/>
          <w:b/>
          <w:bCs/>
          <w:sz w:val="24"/>
          <w:szCs w:val="24"/>
          <w:u w:val="single"/>
        </w:rPr>
      </w:pPr>
      <w:r w:rsidRPr="00E1158E">
        <w:rPr>
          <w:rFonts w:ascii="Arial" w:hAnsi="Arial" w:cs="Arial"/>
          <w:bCs/>
          <w:sz w:val="24"/>
          <w:szCs w:val="24"/>
        </w:rPr>
        <w:t xml:space="preserve">Officers will continue to manage the Council’s treasury management investments ensuring that sufficient cash is available to accommodate known payments.  In the unlikely circumstance that a </w:t>
      </w:r>
      <w:r w:rsidR="001E7296" w:rsidRPr="00E1158E">
        <w:rPr>
          <w:rFonts w:ascii="Arial" w:hAnsi="Arial" w:cs="Arial"/>
          <w:bCs/>
          <w:sz w:val="24"/>
          <w:szCs w:val="24"/>
        </w:rPr>
        <w:t>large, unexpected</w:t>
      </w:r>
      <w:r w:rsidRPr="00E1158E">
        <w:rPr>
          <w:rFonts w:ascii="Arial" w:hAnsi="Arial" w:cs="Arial"/>
          <w:bCs/>
          <w:sz w:val="24"/>
          <w:szCs w:val="24"/>
        </w:rPr>
        <w:t xml:space="preserve"> cash payment is </w:t>
      </w:r>
      <w:proofErr w:type="gramStart"/>
      <w:r w:rsidRPr="00E1158E">
        <w:rPr>
          <w:rFonts w:ascii="Arial" w:hAnsi="Arial" w:cs="Arial"/>
          <w:bCs/>
          <w:sz w:val="24"/>
          <w:szCs w:val="24"/>
        </w:rPr>
        <w:t>required</w:t>
      </w:r>
      <w:proofErr w:type="gramEnd"/>
      <w:r w:rsidRPr="00E1158E">
        <w:rPr>
          <w:rFonts w:ascii="Arial" w:hAnsi="Arial" w:cs="Arial"/>
          <w:bCs/>
          <w:sz w:val="24"/>
          <w:szCs w:val="24"/>
        </w:rPr>
        <w:t xml:space="preserve"> and the Council does not have sufficient liquidity immediately available, the Council will use its facility to borrow temporarily for cash management purposes</w:t>
      </w:r>
      <w:r w:rsidR="00125F3C" w:rsidRPr="00E1158E">
        <w:rPr>
          <w:rFonts w:ascii="Arial" w:hAnsi="Arial" w:cs="Arial"/>
          <w:bCs/>
          <w:sz w:val="24"/>
          <w:szCs w:val="24"/>
        </w:rPr>
        <w:t>.</w:t>
      </w:r>
    </w:p>
    <w:p w14:paraId="0DA18306" w14:textId="77777777" w:rsidR="000C34C9" w:rsidRDefault="000C34C9" w:rsidP="00693BE6">
      <w:pPr>
        <w:ind w:firstLine="360"/>
        <w:rPr>
          <w:rFonts w:ascii="Arial" w:hAnsi="Arial" w:cs="Arial"/>
          <w:i/>
          <w:sz w:val="24"/>
          <w:szCs w:val="24"/>
        </w:rPr>
      </w:pPr>
    </w:p>
    <w:p w14:paraId="4CA33CB2" w14:textId="3E2E3484" w:rsidR="00693BE6" w:rsidRDefault="00693BE6" w:rsidP="00693BE6">
      <w:pPr>
        <w:ind w:firstLine="360"/>
        <w:rPr>
          <w:rFonts w:ascii="Arial" w:hAnsi="Arial" w:cs="Arial"/>
          <w:i/>
          <w:sz w:val="24"/>
          <w:szCs w:val="24"/>
        </w:rPr>
      </w:pPr>
      <w:r w:rsidRPr="00E1158E">
        <w:rPr>
          <w:rFonts w:ascii="Arial" w:hAnsi="Arial" w:cs="Arial"/>
          <w:i/>
          <w:sz w:val="24"/>
          <w:szCs w:val="24"/>
        </w:rPr>
        <w:lastRenderedPageBreak/>
        <w:t xml:space="preserve">Table </w:t>
      </w:r>
      <w:r w:rsidR="009B2917">
        <w:rPr>
          <w:rFonts w:ascii="Arial" w:hAnsi="Arial" w:cs="Arial"/>
          <w:i/>
          <w:sz w:val="24"/>
          <w:szCs w:val="24"/>
        </w:rPr>
        <w:t>8</w:t>
      </w:r>
      <w:r w:rsidRPr="00E1158E">
        <w:rPr>
          <w:rFonts w:ascii="Arial" w:hAnsi="Arial" w:cs="Arial"/>
          <w:i/>
          <w:sz w:val="24"/>
          <w:szCs w:val="24"/>
        </w:rPr>
        <w:t>: Liquidity risk indicators</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528"/>
      </w:tblGrid>
      <w:tr w:rsidR="00520C6E" w:rsidRPr="00940812" w14:paraId="58824C76" w14:textId="77777777" w:rsidTr="00FC5D9E">
        <w:trPr>
          <w:trHeight w:val="340"/>
        </w:trPr>
        <w:tc>
          <w:tcPr>
            <w:tcW w:w="2425" w:type="dxa"/>
            <w:shd w:val="clear" w:color="auto" w:fill="D9D9D9"/>
            <w:vAlign w:val="center"/>
          </w:tcPr>
          <w:p w14:paraId="2D5C5F51" w14:textId="77777777" w:rsidR="00520C6E" w:rsidRPr="00940812" w:rsidRDefault="00520C6E" w:rsidP="00FC5D9E">
            <w:pPr>
              <w:spacing w:after="0"/>
              <w:rPr>
                <w:rFonts w:ascii="Arial" w:eastAsia="Times New Roman" w:hAnsi="Arial" w:cs="Arial"/>
                <w:bCs/>
                <w:sz w:val="24"/>
                <w:szCs w:val="24"/>
              </w:rPr>
            </w:pPr>
            <w:r w:rsidRPr="00940812">
              <w:rPr>
                <w:rFonts w:ascii="Arial" w:eastAsia="Times New Roman" w:hAnsi="Arial" w:cs="Arial"/>
                <w:bCs/>
                <w:sz w:val="24"/>
                <w:szCs w:val="24"/>
              </w:rPr>
              <w:t>Measure</w:t>
            </w:r>
          </w:p>
        </w:tc>
        <w:tc>
          <w:tcPr>
            <w:tcW w:w="5528" w:type="dxa"/>
            <w:shd w:val="clear" w:color="auto" w:fill="D9D9D9"/>
            <w:vAlign w:val="center"/>
          </w:tcPr>
          <w:p w14:paraId="4BC17A6C" w14:textId="77777777" w:rsidR="00520C6E" w:rsidRPr="00940812" w:rsidRDefault="00520C6E" w:rsidP="00FC5D9E">
            <w:pPr>
              <w:spacing w:after="0"/>
              <w:rPr>
                <w:rFonts w:ascii="Arial" w:eastAsia="Times New Roman" w:hAnsi="Arial" w:cs="Arial"/>
                <w:bCs/>
                <w:sz w:val="24"/>
                <w:szCs w:val="24"/>
              </w:rPr>
            </w:pPr>
            <w:r w:rsidRPr="00940812">
              <w:rPr>
                <w:rFonts w:ascii="Arial" w:eastAsia="Times New Roman" w:hAnsi="Arial" w:cs="Arial"/>
                <w:bCs/>
                <w:sz w:val="24"/>
                <w:szCs w:val="24"/>
              </w:rPr>
              <w:t>Target</w:t>
            </w:r>
          </w:p>
        </w:tc>
      </w:tr>
      <w:tr w:rsidR="00520C6E" w:rsidRPr="00E1158E" w14:paraId="7CC14141" w14:textId="77777777" w:rsidTr="00FC5D9E">
        <w:trPr>
          <w:trHeight w:val="340"/>
        </w:trPr>
        <w:tc>
          <w:tcPr>
            <w:tcW w:w="2425" w:type="dxa"/>
            <w:shd w:val="clear" w:color="auto" w:fill="auto"/>
            <w:vAlign w:val="center"/>
          </w:tcPr>
          <w:p w14:paraId="19BC32CC" w14:textId="77777777" w:rsidR="00520C6E" w:rsidRPr="00E1158E" w:rsidRDefault="00520C6E" w:rsidP="00FC5D9E">
            <w:pPr>
              <w:spacing w:after="0"/>
              <w:rPr>
                <w:rFonts w:ascii="Arial" w:eastAsia="Times New Roman" w:hAnsi="Arial" w:cs="Arial"/>
                <w:bCs/>
                <w:sz w:val="24"/>
                <w:szCs w:val="24"/>
              </w:rPr>
            </w:pPr>
            <w:r w:rsidRPr="00E1158E">
              <w:rPr>
                <w:rFonts w:ascii="Arial" w:eastAsia="Times New Roman" w:hAnsi="Arial" w:cs="Arial"/>
                <w:bCs/>
                <w:sz w:val="24"/>
                <w:szCs w:val="24"/>
              </w:rPr>
              <w:t>Proportion of investments available within 7 days (%)</w:t>
            </w:r>
          </w:p>
          <w:p w14:paraId="63F56D1C" w14:textId="77777777" w:rsidR="00520C6E" w:rsidRPr="00E1158E" w:rsidRDefault="00520C6E" w:rsidP="00FC5D9E">
            <w:pPr>
              <w:spacing w:after="0"/>
              <w:rPr>
                <w:rFonts w:ascii="Arial" w:eastAsia="Times New Roman" w:hAnsi="Arial" w:cs="Arial"/>
                <w:bCs/>
                <w:sz w:val="24"/>
                <w:szCs w:val="24"/>
              </w:rPr>
            </w:pPr>
          </w:p>
        </w:tc>
        <w:tc>
          <w:tcPr>
            <w:tcW w:w="5528" w:type="dxa"/>
            <w:shd w:val="clear" w:color="auto" w:fill="auto"/>
            <w:vAlign w:val="center"/>
          </w:tcPr>
          <w:p w14:paraId="5967C36E" w14:textId="77777777" w:rsidR="00520C6E" w:rsidRPr="00E1158E" w:rsidRDefault="00520C6E" w:rsidP="00FC5D9E">
            <w:pPr>
              <w:spacing w:after="0"/>
              <w:rPr>
                <w:rFonts w:ascii="Arial" w:eastAsia="Times New Roman" w:hAnsi="Arial" w:cs="Arial"/>
                <w:bCs/>
                <w:sz w:val="24"/>
                <w:szCs w:val="24"/>
              </w:rPr>
            </w:pPr>
            <w:r w:rsidRPr="00E1158E">
              <w:rPr>
                <w:rFonts w:ascii="Arial" w:eastAsia="Times New Roman" w:hAnsi="Arial" w:cs="Arial"/>
                <w:bCs/>
                <w:sz w:val="24"/>
                <w:szCs w:val="24"/>
              </w:rPr>
              <w:t>Compare and explain against District Council average</w:t>
            </w:r>
          </w:p>
        </w:tc>
      </w:tr>
      <w:tr w:rsidR="00520C6E" w:rsidRPr="00E1158E" w14:paraId="6AFC72D6" w14:textId="77777777" w:rsidTr="00FC5D9E">
        <w:trPr>
          <w:trHeight w:val="340"/>
        </w:trPr>
        <w:tc>
          <w:tcPr>
            <w:tcW w:w="2425" w:type="dxa"/>
            <w:shd w:val="clear" w:color="auto" w:fill="auto"/>
            <w:vAlign w:val="center"/>
          </w:tcPr>
          <w:p w14:paraId="1CF142D7" w14:textId="77777777" w:rsidR="00520C6E" w:rsidRPr="00E1158E" w:rsidRDefault="00520C6E" w:rsidP="00FC5D9E">
            <w:pPr>
              <w:spacing w:after="0"/>
              <w:rPr>
                <w:rFonts w:ascii="Arial" w:eastAsia="Times New Roman" w:hAnsi="Arial" w:cs="Arial"/>
                <w:bCs/>
                <w:sz w:val="24"/>
                <w:szCs w:val="24"/>
              </w:rPr>
            </w:pPr>
            <w:r w:rsidRPr="00E1158E">
              <w:rPr>
                <w:rFonts w:ascii="Arial" w:eastAsia="Times New Roman" w:hAnsi="Arial" w:cs="Arial"/>
                <w:bCs/>
                <w:sz w:val="24"/>
                <w:szCs w:val="24"/>
              </w:rPr>
              <w:t>Proportion available within 100 days (%)</w:t>
            </w:r>
          </w:p>
          <w:p w14:paraId="6E9DFF0E" w14:textId="77777777" w:rsidR="00520C6E" w:rsidRPr="00E1158E" w:rsidRDefault="00520C6E" w:rsidP="00FC5D9E">
            <w:pPr>
              <w:spacing w:after="0"/>
              <w:rPr>
                <w:rFonts w:ascii="Arial" w:eastAsia="Times New Roman" w:hAnsi="Arial" w:cs="Arial"/>
                <w:bCs/>
                <w:sz w:val="24"/>
                <w:szCs w:val="24"/>
              </w:rPr>
            </w:pPr>
          </w:p>
        </w:tc>
        <w:tc>
          <w:tcPr>
            <w:tcW w:w="5528" w:type="dxa"/>
            <w:shd w:val="clear" w:color="auto" w:fill="auto"/>
            <w:vAlign w:val="center"/>
          </w:tcPr>
          <w:p w14:paraId="3E4EAAD5" w14:textId="77777777" w:rsidR="00520C6E" w:rsidRPr="00E1158E" w:rsidRDefault="00520C6E" w:rsidP="00FC5D9E">
            <w:pPr>
              <w:spacing w:after="0"/>
              <w:rPr>
                <w:rFonts w:ascii="Arial" w:eastAsia="Times New Roman" w:hAnsi="Arial" w:cs="Arial"/>
                <w:bCs/>
                <w:sz w:val="24"/>
                <w:szCs w:val="24"/>
              </w:rPr>
            </w:pPr>
            <w:r w:rsidRPr="00E1158E">
              <w:rPr>
                <w:rFonts w:ascii="Arial" w:eastAsia="Times New Roman" w:hAnsi="Arial" w:cs="Arial"/>
                <w:bCs/>
                <w:sz w:val="24"/>
                <w:szCs w:val="24"/>
              </w:rPr>
              <w:t>Compare and explain against District Council average</w:t>
            </w:r>
          </w:p>
        </w:tc>
      </w:tr>
    </w:tbl>
    <w:p w14:paraId="71CE6431" w14:textId="77777777" w:rsidR="00520C6E" w:rsidRPr="00E1158E" w:rsidRDefault="00520C6E" w:rsidP="00693BE6">
      <w:pPr>
        <w:ind w:firstLine="360"/>
        <w:rPr>
          <w:rFonts w:ascii="Arial" w:hAnsi="Arial" w:cs="Arial"/>
          <w:i/>
          <w:sz w:val="24"/>
          <w:szCs w:val="24"/>
        </w:rPr>
      </w:pPr>
    </w:p>
    <w:p w14:paraId="15E68DBC" w14:textId="77777777" w:rsidR="004C7804" w:rsidRPr="00E1158E" w:rsidRDefault="0041119E" w:rsidP="003C1688">
      <w:pPr>
        <w:pStyle w:val="Heading3"/>
        <w:rPr>
          <w:rFonts w:ascii="Arial" w:hAnsi="Arial" w:cs="Arial"/>
        </w:rPr>
      </w:pPr>
      <w:bookmarkStart w:id="42" w:name="_Toc115768675"/>
      <w:r w:rsidRPr="00E1158E">
        <w:rPr>
          <w:rFonts w:ascii="Arial" w:hAnsi="Arial" w:cs="Arial"/>
        </w:rPr>
        <w:t>Maturity Structure of Borrowing</w:t>
      </w:r>
      <w:bookmarkEnd w:id="42"/>
      <w:r w:rsidRPr="00E1158E">
        <w:rPr>
          <w:rFonts w:ascii="Arial" w:hAnsi="Arial" w:cs="Arial"/>
        </w:rPr>
        <w:t xml:space="preserve"> </w:t>
      </w:r>
    </w:p>
    <w:p w14:paraId="48D8285C" w14:textId="77777777" w:rsidR="0041119E" w:rsidRPr="00E1158E" w:rsidRDefault="004C7804" w:rsidP="003C1688">
      <w:pPr>
        <w:rPr>
          <w:rFonts w:ascii="Arial" w:hAnsi="Arial" w:cs="Arial"/>
          <w:bCs/>
          <w:sz w:val="24"/>
          <w:szCs w:val="24"/>
        </w:rPr>
      </w:pPr>
      <w:r w:rsidRPr="00E1158E">
        <w:rPr>
          <w:rFonts w:ascii="Arial" w:hAnsi="Arial" w:cs="Arial"/>
          <w:bCs/>
          <w:sz w:val="24"/>
          <w:szCs w:val="24"/>
        </w:rPr>
        <w:t>As the Council is debt free it currently holds no fixed long term borrowing for which a maturity profile exists</w:t>
      </w:r>
      <w:r w:rsidR="00DA56C3">
        <w:rPr>
          <w:rFonts w:ascii="Arial" w:hAnsi="Arial" w:cs="Arial"/>
          <w:bCs/>
          <w:sz w:val="24"/>
          <w:szCs w:val="24"/>
        </w:rPr>
        <w:t>.</w:t>
      </w:r>
    </w:p>
    <w:p w14:paraId="27911AB4" w14:textId="77777777" w:rsidR="004C7804" w:rsidRPr="00E1158E" w:rsidRDefault="00D90660" w:rsidP="003C1688">
      <w:pPr>
        <w:pStyle w:val="Heading3"/>
        <w:rPr>
          <w:rFonts w:ascii="Arial" w:hAnsi="Arial" w:cs="Arial"/>
        </w:rPr>
      </w:pPr>
      <w:bookmarkStart w:id="43" w:name="_Toc115768676"/>
      <w:r>
        <w:rPr>
          <w:rFonts w:ascii="Arial" w:hAnsi="Arial" w:cs="Arial"/>
        </w:rPr>
        <w:t>Prudential limits for l</w:t>
      </w:r>
      <w:r w:rsidR="00BE74DC">
        <w:rPr>
          <w:rFonts w:ascii="Arial" w:hAnsi="Arial" w:cs="Arial"/>
        </w:rPr>
        <w:t>ong term treasury management investments</w:t>
      </w:r>
      <w:bookmarkEnd w:id="43"/>
      <w:r w:rsidR="00A63498" w:rsidRPr="00E1158E">
        <w:rPr>
          <w:rFonts w:ascii="Arial" w:hAnsi="Arial" w:cs="Arial"/>
        </w:rPr>
        <w:t xml:space="preserve"> </w:t>
      </w:r>
    </w:p>
    <w:p w14:paraId="04BA3799" w14:textId="77777777" w:rsidR="0041119E" w:rsidRDefault="0041119E" w:rsidP="003C1688">
      <w:pPr>
        <w:rPr>
          <w:rFonts w:ascii="Arial" w:hAnsi="Arial" w:cs="Arial"/>
          <w:bCs/>
          <w:sz w:val="24"/>
          <w:szCs w:val="24"/>
        </w:rPr>
      </w:pPr>
      <w:r w:rsidRPr="00E1158E">
        <w:rPr>
          <w:rFonts w:ascii="Arial" w:hAnsi="Arial" w:cs="Arial"/>
          <w:bCs/>
          <w:sz w:val="24"/>
          <w:szCs w:val="24"/>
        </w:rPr>
        <w:t xml:space="preserve">The purpose of this indicator is to control the </w:t>
      </w:r>
      <w:r w:rsidR="008E75BB" w:rsidRPr="00E1158E">
        <w:rPr>
          <w:rFonts w:ascii="Arial" w:hAnsi="Arial" w:cs="Arial"/>
          <w:bCs/>
          <w:sz w:val="24"/>
          <w:szCs w:val="24"/>
        </w:rPr>
        <w:t>Council</w:t>
      </w:r>
      <w:r w:rsidRPr="00E1158E">
        <w:rPr>
          <w:rFonts w:ascii="Arial" w:hAnsi="Arial" w:cs="Arial"/>
          <w:bCs/>
          <w:sz w:val="24"/>
          <w:szCs w:val="24"/>
        </w:rPr>
        <w:t>’s exposure to the risk of incurring losses by seeking early repayment of its investments</w:t>
      </w:r>
      <w:r w:rsidR="000179F2" w:rsidRPr="00E1158E">
        <w:rPr>
          <w:rFonts w:ascii="Arial" w:hAnsi="Arial" w:cs="Arial"/>
          <w:bCs/>
          <w:sz w:val="24"/>
          <w:szCs w:val="24"/>
        </w:rPr>
        <w:t xml:space="preserve"> in response to adverse economic or market conditions or credit rating downgrades</w:t>
      </w:r>
      <w:r w:rsidRPr="00E1158E">
        <w:rPr>
          <w:rFonts w:ascii="Arial" w:hAnsi="Arial" w:cs="Arial"/>
          <w:bCs/>
          <w:sz w:val="24"/>
          <w:szCs w:val="24"/>
        </w:rPr>
        <w:t xml:space="preserve">.  </w:t>
      </w:r>
    </w:p>
    <w:p w14:paraId="76F391A4" w14:textId="77777777" w:rsidR="005F5525" w:rsidRPr="00E1158E" w:rsidRDefault="005F5525" w:rsidP="003C1688">
      <w:pPr>
        <w:rPr>
          <w:rFonts w:ascii="Arial" w:hAnsi="Arial" w:cs="Arial"/>
          <w:bCs/>
          <w:sz w:val="24"/>
          <w:szCs w:val="24"/>
        </w:rPr>
      </w:pPr>
      <w:r w:rsidRPr="005F5525">
        <w:rPr>
          <w:rFonts w:ascii="Arial" w:hAnsi="Arial" w:cs="Arial"/>
          <w:bCs/>
          <w:sz w:val="24"/>
          <w:szCs w:val="24"/>
        </w:rPr>
        <w:t xml:space="preserve">Table </w:t>
      </w:r>
      <w:r w:rsidR="009B2917">
        <w:rPr>
          <w:rFonts w:ascii="Arial" w:hAnsi="Arial" w:cs="Arial"/>
          <w:bCs/>
          <w:sz w:val="24"/>
          <w:szCs w:val="24"/>
        </w:rPr>
        <w:t>9</w:t>
      </w:r>
      <w:r w:rsidRPr="005F5525">
        <w:rPr>
          <w:rFonts w:ascii="Arial" w:hAnsi="Arial" w:cs="Arial"/>
          <w:bCs/>
          <w:sz w:val="24"/>
          <w:szCs w:val="24"/>
        </w:rPr>
        <w:t xml:space="preserve"> sets out the upper limit for each forward financial year period for the maturing of investments for periods longer than 364 days up to their final maturities beyond the end of the financial period</w:t>
      </w:r>
      <w:r w:rsidR="00C17F16">
        <w:rPr>
          <w:rFonts w:ascii="Arial" w:hAnsi="Arial" w:cs="Arial"/>
          <w:bCs/>
          <w:sz w:val="24"/>
          <w:szCs w:val="24"/>
        </w:rPr>
        <w:t>.</w:t>
      </w:r>
    </w:p>
    <w:p w14:paraId="79272F18" w14:textId="77777777" w:rsidR="004C7804" w:rsidRPr="00E1158E" w:rsidRDefault="004C7804" w:rsidP="003C1688">
      <w:pPr>
        <w:ind w:firstLine="360"/>
        <w:rPr>
          <w:rFonts w:ascii="Arial" w:hAnsi="Arial" w:cs="Arial"/>
          <w:i/>
          <w:sz w:val="24"/>
          <w:szCs w:val="24"/>
        </w:rPr>
      </w:pPr>
      <w:r w:rsidRPr="00E1158E">
        <w:rPr>
          <w:rFonts w:ascii="Arial" w:hAnsi="Arial" w:cs="Arial"/>
          <w:i/>
          <w:sz w:val="24"/>
          <w:szCs w:val="24"/>
        </w:rPr>
        <w:t xml:space="preserve">Table </w:t>
      </w:r>
      <w:r w:rsidR="009B2917">
        <w:rPr>
          <w:rFonts w:ascii="Arial" w:hAnsi="Arial" w:cs="Arial"/>
          <w:i/>
          <w:sz w:val="24"/>
          <w:szCs w:val="24"/>
        </w:rPr>
        <w:t>9</w:t>
      </w:r>
      <w:r w:rsidRPr="00E1158E">
        <w:rPr>
          <w:rFonts w:ascii="Arial" w:hAnsi="Arial" w:cs="Arial"/>
          <w:i/>
          <w:sz w:val="24"/>
          <w:szCs w:val="24"/>
        </w:rPr>
        <w:t>:</w:t>
      </w:r>
      <w:r w:rsidR="00652A8F" w:rsidRPr="00E1158E">
        <w:rPr>
          <w:rFonts w:ascii="Arial" w:hAnsi="Arial" w:cs="Arial"/>
          <w:i/>
          <w:sz w:val="24"/>
          <w:szCs w:val="24"/>
        </w:rPr>
        <w:t xml:space="preserve"> </w:t>
      </w:r>
      <w:r w:rsidRPr="00E1158E">
        <w:rPr>
          <w:rFonts w:ascii="Arial" w:hAnsi="Arial" w:cs="Arial"/>
          <w:i/>
          <w:sz w:val="24"/>
          <w:szCs w:val="24"/>
        </w:rPr>
        <w:t>Limits on investment periods</w:t>
      </w:r>
      <w:r w:rsidR="00D75E0C" w:rsidRPr="00E1158E">
        <w:rPr>
          <w:rFonts w:ascii="Arial" w:hAnsi="Arial" w:cs="Arial"/>
          <w:i/>
          <w:sz w:val="24"/>
          <w:szCs w:val="24"/>
        </w:rPr>
        <w:t xml:space="preserve"> (£m)</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1351"/>
        <w:gridCol w:w="1351"/>
        <w:gridCol w:w="1351"/>
        <w:gridCol w:w="1418"/>
      </w:tblGrid>
      <w:tr w:rsidR="00D90660" w:rsidRPr="00940812" w14:paraId="66BFB8DC" w14:textId="77777777" w:rsidTr="004E134D">
        <w:trPr>
          <w:trHeight w:val="340"/>
        </w:trPr>
        <w:tc>
          <w:tcPr>
            <w:tcW w:w="3559" w:type="dxa"/>
            <w:shd w:val="clear" w:color="auto" w:fill="D9D9D9"/>
            <w:vAlign w:val="center"/>
          </w:tcPr>
          <w:p w14:paraId="6F46A8EC" w14:textId="77777777" w:rsidR="00D90660" w:rsidRPr="00940812" w:rsidRDefault="00D90660" w:rsidP="003C1688">
            <w:pPr>
              <w:spacing w:after="0"/>
              <w:rPr>
                <w:rFonts w:ascii="Arial" w:eastAsia="Times New Roman" w:hAnsi="Arial" w:cs="Arial"/>
                <w:bCs/>
                <w:sz w:val="24"/>
                <w:szCs w:val="24"/>
              </w:rPr>
            </w:pPr>
          </w:p>
        </w:tc>
        <w:tc>
          <w:tcPr>
            <w:tcW w:w="4053" w:type="dxa"/>
            <w:gridSpan w:val="3"/>
            <w:shd w:val="clear" w:color="auto" w:fill="D9D9D9"/>
            <w:vAlign w:val="center"/>
          </w:tcPr>
          <w:p w14:paraId="04CB53A8" w14:textId="77777777" w:rsidR="00D90660" w:rsidRPr="00940812" w:rsidRDefault="00D90660" w:rsidP="002E1C30">
            <w:pPr>
              <w:spacing w:after="0"/>
              <w:jc w:val="center"/>
              <w:rPr>
                <w:rFonts w:ascii="Arial" w:eastAsia="Times New Roman" w:hAnsi="Arial" w:cs="Arial"/>
                <w:bCs/>
                <w:sz w:val="24"/>
                <w:szCs w:val="24"/>
              </w:rPr>
            </w:pPr>
            <w:r>
              <w:rPr>
                <w:rFonts w:ascii="Arial" w:eastAsia="Times New Roman" w:hAnsi="Arial" w:cs="Arial"/>
                <w:bCs/>
                <w:sz w:val="24"/>
                <w:szCs w:val="24"/>
              </w:rPr>
              <w:t>Maturing during</w:t>
            </w:r>
          </w:p>
        </w:tc>
        <w:tc>
          <w:tcPr>
            <w:tcW w:w="1418" w:type="dxa"/>
            <w:shd w:val="clear" w:color="auto" w:fill="D9D9D9"/>
          </w:tcPr>
          <w:p w14:paraId="0755197E" w14:textId="77777777" w:rsidR="00D90660" w:rsidRDefault="00D90660" w:rsidP="003C1688">
            <w:pPr>
              <w:spacing w:after="0"/>
              <w:rPr>
                <w:rFonts w:ascii="Arial" w:eastAsia="Times New Roman" w:hAnsi="Arial" w:cs="Arial"/>
                <w:bCs/>
                <w:sz w:val="24"/>
                <w:szCs w:val="24"/>
              </w:rPr>
            </w:pPr>
          </w:p>
        </w:tc>
      </w:tr>
      <w:tr w:rsidR="00D90660" w:rsidRPr="00940812" w14:paraId="32C43119" w14:textId="77777777" w:rsidTr="002E1C30">
        <w:trPr>
          <w:trHeight w:val="340"/>
        </w:trPr>
        <w:tc>
          <w:tcPr>
            <w:tcW w:w="3559" w:type="dxa"/>
            <w:shd w:val="clear" w:color="auto" w:fill="D9D9D9"/>
            <w:vAlign w:val="center"/>
          </w:tcPr>
          <w:p w14:paraId="6423B1B4" w14:textId="77777777" w:rsidR="00D90660" w:rsidRPr="00940812" w:rsidRDefault="00D90660" w:rsidP="003C1688">
            <w:pPr>
              <w:spacing w:after="0"/>
              <w:rPr>
                <w:rFonts w:ascii="Arial" w:eastAsia="Times New Roman" w:hAnsi="Arial" w:cs="Arial"/>
                <w:bCs/>
                <w:sz w:val="24"/>
                <w:szCs w:val="24"/>
              </w:rPr>
            </w:pPr>
          </w:p>
        </w:tc>
        <w:tc>
          <w:tcPr>
            <w:tcW w:w="1351" w:type="dxa"/>
            <w:shd w:val="clear" w:color="auto" w:fill="D9D9D9"/>
            <w:vAlign w:val="center"/>
          </w:tcPr>
          <w:p w14:paraId="486521CE" w14:textId="77777777" w:rsidR="00D90660" w:rsidRDefault="00D90660" w:rsidP="00A41DBC">
            <w:pPr>
              <w:spacing w:after="0"/>
              <w:jc w:val="center"/>
              <w:rPr>
                <w:rFonts w:ascii="Arial" w:eastAsia="Times New Roman" w:hAnsi="Arial" w:cs="Arial"/>
                <w:bCs/>
                <w:sz w:val="24"/>
                <w:szCs w:val="24"/>
              </w:rPr>
            </w:pPr>
            <w:r w:rsidRPr="00940812">
              <w:rPr>
                <w:rFonts w:ascii="Arial" w:eastAsia="Times New Roman" w:hAnsi="Arial" w:cs="Arial"/>
                <w:bCs/>
                <w:sz w:val="24"/>
                <w:szCs w:val="24"/>
              </w:rPr>
              <w:t>202</w:t>
            </w:r>
            <w:r w:rsidR="00A41DBC">
              <w:rPr>
                <w:rFonts w:ascii="Arial" w:eastAsia="Times New Roman" w:hAnsi="Arial" w:cs="Arial"/>
                <w:bCs/>
                <w:sz w:val="24"/>
                <w:szCs w:val="24"/>
              </w:rPr>
              <w:t>4-25</w:t>
            </w:r>
          </w:p>
          <w:p w14:paraId="6ACEA663" w14:textId="77777777" w:rsidR="00A41DBC" w:rsidRPr="00940812" w:rsidRDefault="00A41DBC" w:rsidP="00A41DBC">
            <w:pPr>
              <w:spacing w:after="0"/>
              <w:jc w:val="center"/>
              <w:rPr>
                <w:rFonts w:ascii="Arial" w:eastAsia="Times New Roman" w:hAnsi="Arial" w:cs="Arial"/>
                <w:bCs/>
                <w:sz w:val="24"/>
                <w:szCs w:val="24"/>
              </w:rPr>
            </w:pPr>
            <w:r>
              <w:rPr>
                <w:rFonts w:ascii="Arial" w:eastAsia="Times New Roman" w:hAnsi="Arial" w:cs="Arial"/>
                <w:bCs/>
                <w:sz w:val="24"/>
                <w:szCs w:val="24"/>
              </w:rPr>
              <w:t>£m</w:t>
            </w:r>
          </w:p>
        </w:tc>
        <w:tc>
          <w:tcPr>
            <w:tcW w:w="1351" w:type="dxa"/>
            <w:shd w:val="clear" w:color="auto" w:fill="D9D9D9"/>
            <w:vAlign w:val="center"/>
          </w:tcPr>
          <w:p w14:paraId="14D219E8" w14:textId="77777777" w:rsidR="00D90660" w:rsidRDefault="00D90660" w:rsidP="00A41DBC">
            <w:pPr>
              <w:spacing w:after="0"/>
              <w:jc w:val="center"/>
              <w:rPr>
                <w:rFonts w:ascii="Arial" w:eastAsia="Times New Roman" w:hAnsi="Arial" w:cs="Arial"/>
                <w:bCs/>
                <w:sz w:val="24"/>
                <w:szCs w:val="24"/>
              </w:rPr>
            </w:pPr>
            <w:r w:rsidRPr="00940812">
              <w:rPr>
                <w:rFonts w:ascii="Arial" w:eastAsia="Times New Roman" w:hAnsi="Arial" w:cs="Arial"/>
                <w:bCs/>
                <w:sz w:val="24"/>
                <w:szCs w:val="24"/>
              </w:rPr>
              <w:t>202</w:t>
            </w:r>
            <w:r w:rsidR="00A41DBC">
              <w:rPr>
                <w:rFonts w:ascii="Arial" w:eastAsia="Times New Roman" w:hAnsi="Arial" w:cs="Arial"/>
                <w:bCs/>
                <w:sz w:val="24"/>
                <w:szCs w:val="24"/>
              </w:rPr>
              <w:t>5-26</w:t>
            </w:r>
          </w:p>
          <w:p w14:paraId="5B388929" w14:textId="77777777" w:rsidR="00A41DBC" w:rsidRPr="00940812" w:rsidRDefault="00A41DBC" w:rsidP="00A41DBC">
            <w:pPr>
              <w:spacing w:after="0"/>
              <w:jc w:val="center"/>
              <w:rPr>
                <w:rFonts w:ascii="Arial" w:eastAsia="Times New Roman" w:hAnsi="Arial" w:cs="Arial"/>
                <w:bCs/>
                <w:sz w:val="24"/>
                <w:szCs w:val="24"/>
              </w:rPr>
            </w:pPr>
            <w:r>
              <w:rPr>
                <w:rFonts w:ascii="Arial" w:eastAsia="Times New Roman" w:hAnsi="Arial" w:cs="Arial"/>
                <w:bCs/>
                <w:sz w:val="24"/>
                <w:szCs w:val="24"/>
              </w:rPr>
              <w:t>£m</w:t>
            </w:r>
          </w:p>
        </w:tc>
        <w:tc>
          <w:tcPr>
            <w:tcW w:w="1351" w:type="dxa"/>
            <w:shd w:val="clear" w:color="auto" w:fill="D9D9D9"/>
            <w:vAlign w:val="center"/>
          </w:tcPr>
          <w:p w14:paraId="22F2C65C" w14:textId="77777777" w:rsidR="00D90660" w:rsidRDefault="00D90660" w:rsidP="00A41DBC">
            <w:pPr>
              <w:spacing w:after="0"/>
              <w:jc w:val="center"/>
              <w:rPr>
                <w:rFonts w:ascii="Arial" w:eastAsia="Times New Roman" w:hAnsi="Arial" w:cs="Arial"/>
                <w:bCs/>
                <w:sz w:val="24"/>
                <w:szCs w:val="24"/>
              </w:rPr>
            </w:pPr>
            <w:r w:rsidRPr="00940812">
              <w:rPr>
                <w:rFonts w:ascii="Arial" w:eastAsia="Times New Roman" w:hAnsi="Arial" w:cs="Arial"/>
                <w:bCs/>
                <w:sz w:val="24"/>
                <w:szCs w:val="24"/>
              </w:rPr>
              <w:t>202</w:t>
            </w:r>
            <w:r w:rsidR="00A41DBC">
              <w:rPr>
                <w:rFonts w:ascii="Arial" w:eastAsia="Times New Roman" w:hAnsi="Arial" w:cs="Arial"/>
                <w:bCs/>
                <w:sz w:val="24"/>
                <w:szCs w:val="24"/>
              </w:rPr>
              <w:t>6-27</w:t>
            </w:r>
          </w:p>
          <w:p w14:paraId="56B07071" w14:textId="77777777" w:rsidR="00A41DBC" w:rsidRPr="00940812" w:rsidRDefault="00A41DBC" w:rsidP="00A41DBC">
            <w:pPr>
              <w:spacing w:after="0"/>
              <w:jc w:val="center"/>
              <w:rPr>
                <w:rFonts w:ascii="Arial" w:eastAsia="Times New Roman" w:hAnsi="Arial" w:cs="Arial"/>
                <w:bCs/>
                <w:sz w:val="24"/>
                <w:szCs w:val="24"/>
              </w:rPr>
            </w:pPr>
            <w:r>
              <w:rPr>
                <w:rFonts w:ascii="Arial" w:eastAsia="Times New Roman" w:hAnsi="Arial" w:cs="Arial"/>
                <w:bCs/>
                <w:sz w:val="24"/>
                <w:szCs w:val="24"/>
              </w:rPr>
              <w:t>£m</w:t>
            </w:r>
          </w:p>
        </w:tc>
        <w:tc>
          <w:tcPr>
            <w:tcW w:w="1418" w:type="dxa"/>
            <w:shd w:val="clear" w:color="auto" w:fill="D9D9D9"/>
          </w:tcPr>
          <w:p w14:paraId="49D681A8" w14:textId="77777777" w:rsidR="00D90660" w:rsidRDefault="00D90660" w:rsidP="00A41DBC">
            <w:pPr>
              <w:spacing w:after="0"/>
              <w:jc w:val="center"/>
              <w:rPr>
                <w:rFonts w:ascii="Arial" w:eastAsia="Times New Roman" w:hAnsi="Arial" w:cs="Arial"/>
                <w:bCs/>
                <w:sz w:val="24"/>
                <w:szCs w:val="24"/>
              </w:rPr>
            </w:pPr>
            <w:r>
              <w:rPr>
                <w:rFonts w:ascii="Arial" w:eastAsia="Times New Roman" w:hAnsi="Arial" w:cs="Arial"/>
                <w:bCs/>
                <w:sz w:val="24"/>
                <w:szCs w:val="24"/>
              </w:rPr>
              <w:t>No fixed maturity</w:t>
            </w:r>
          </w:p>
          <w:p w14:paraId="4538E55E" w14:textId="77777777" w:rsidR="00A41DBC" w:rsidRPr="00940812" w:rsidRDefault="00A41DBC" w:rsidP="00A41DBC">
            <w:pPr>
              <w:spacing w:after="0"/>
              <w:jc w:val="center"/>
              <w:rPr>
                <w:rFonts w:ascii="Arial" w:eastAsia="Times New Roman" w:hAnsi="Arial" w:cs="Arial"/>
                <w:bCs/>
                <w:sz w:val="24"/>
                <w:szCs w:val="24"/>
              </w:rPr>
            </w:pPr>
            <w:r>
              <w:rPr>
                <w:rFonts w:ascii="Arial" w:eastAsia="Times New Roman" w:hAnsi="Arial" w:cs="Arial"/>
                <w:bCs/>
                <w:sz w:val="24"/>
                <w:szCs w:val="24"/>
              </w:rPr>
              <w:t>£m</w:t>
            </w:r>
          </w:p>
        </w:tc>
      </w:tr>
      <w:tr w:rsidR="00D90660" w:rsidRPr="00E1158E" w14:paraId="19A6322A" w14:textId="77777777" w:rsidTr="002E1C30">
        <w:trPr>
          <w:trHeight w:val="340"/>
        </w:trPr>
        <w:tc>
          <w:tcPr>
            <w:tcW w:w="3559" w:type="dxa"/>
            <w:shd w:val="clear" w:color="auto" w:fill="auto"/>
            <w:vAlign w:val="center"/>
          </w:tcPr>
          <w:p w14:paraId="2B9C5FC7" w14:textId="77777777" w:rsidR="00D90660" w:rsidRPr="00E1158E" w:rsidRDefault="00D90660" w:rsidP="00D90660">
            <w:pPr>
              <w:spacing w:after="0"/>
              <w:rPr>
                <w:rFonts w:ascii="Arial" w:eastAsia="Times New Roman" w:hAnsi="Arial" w:cs="Arial"/>
                <w:bCs/>
                <w:sz w:val="24"/>
                <w:szCs w:val="24"/>
              </w:rPr>
            </w:pPr>
            <w:r w:rsidRPr="00E1158E">
              <w:rPr>
                <w:rFonts w:ascii="Arial" w:eastAsia="Times New Roman" w:hAnsi="Arial" w:cs="Arial"/>
                <w:bCs/>
                <w:sz w:val="24"/>
                <w:szCs w:val="24"/>
              </w:rPr>
              <w:t>Limit on principal invested beyond year end</w:t>
            </w:r>
          </w:p>
        </w:tc>
        <w:tc>
          <w:tcPr>
            <w:tcW w:w="1351" w:type="dxa"/>
            <w:shd w:val="clear" w:color="auto" w:fill="auto"/>
            <w:vAlign w:val="center"/>
          </w:tcPr>
          <w:p w14:paraId="29132B03" w14:textId="77777777" w:rsidR="00D90660" w:rsidRPr="00E1158E" w:rsidRDefault="006A1C0A" w:rsidP="00A41DBC">
            <w:pPr>
              <w:spacing w:after="0"/>
              <w:jc w:val="center"/>
              <w:rPr>
                <w:rFonts w:ascii="Arial" w:eastAsia="Times New Roman" w:hAnsi="Arial" w:cs="Arial"/>
                <w:bCs/>
                <w:sz w:val="24"/>
                <w:szCs w:val="24"/>
              </w:rPr>
            </w:pPr>
            <w:r>
              <w:rPr>
                <w:rFonts w:ascii="Arial" w:eastAsia="Times New Roman" w:hAnsi="Arial" w:cs="Arial"/>
                <w:bCs/>
                <w:sz w:val="24"/>
                <w:szCs w:val="24"/>
              </w:rPr>
              <w:t>20</w:t>
            </w:r>
          </w:p>
        </w:tc>
        <w:tc>
          <w:tcPr>
            <w:tcW w:w="1351" w:type="dxa"/>
            <w:shd w:val="clear" w:color="auto" w:fill="auto"/>
            <w:vAlign w:val="center"/>
          </w:tcPr>
          <w:p w14:paraId="5F65E422" w14:textId="77777777" w:rsidR="00D90660" w:rsidRPr="00E1158E" w:rsidRDefault="006A1C0A" w:rsidP="00A41DBC">
            <w:pPr>
              <w:spacing w:after="0"/>
              <w:jc w:val="center"/>
              <w:rPr>
                <w:rFonts w:ascii="Arial" w:eastAsia="Times New Roman" w:hAnsi="Arial" w:cs="Arial"/>
                <w:bCs/>
                <w:sz w:val="24"/>
                <w:szCs w:val="24"/>
              </w:rPr>
            </w:pPr>
            <w:r>
              <w:rPr>
                <w:rFonts w:ascii="Arial" w:eastAsia="Times New Roman" w:hAnsi="Arial" w:cs="Arial"/>
                <w:bCs/>
                <w:sz w:val="24"/>
                <w:szCs w:val="24"/>
              </w:rPr>
              <w:t>20</w:t>
            </w:r>
          </w:p>
        </w:tc>
        <w:tc>
          <w:tcPr>
            <w:tcW w:w="1351" w:type="dxa"/>
            <w:shd w:val="clear" w:color="auto" w:fill="auto"/>
            <w:vAlign w:val="center"/>
          </w:tcPr>
          <w:p w14:paraId="62EDE895" w14:textId="77777777" w:rsidR="00D90660" w:rsidRPr="00E1158E" w:rsidRDefault="006A1C0A" w:rsidP="00A41DBC">
            <w:pPr>
              <w:spacing w:after="0"/>
              <w:jc w:val="center"/>
              <w:rPr>
                <w:rFonts w:ascii="Arial" w:eastAsia="Times New Roman" w:hAnsi="Arial" w:cs="Arial"/>
                <w:bCs/>
                <w:sz w:val="24"/>
                <w:szCs w:val="24"/>
              </w:rPr>
            </w:pPr>
            <w:r>
              <w:rPr>
                <w:rFonts w:ascii="Arial" w:eastAsia="Times New Roman" w:hAnsi="Arial" w:cs="Arial"/>
                <w:bCs/>
                <w:sz w:val="24"/>
                <w:szCs w:val="24"/>
              </w:rPr>
              <w:t>20</w:t>
            </w:r>
          </w:p>
        </w:tc>
        <w:tc>
          <w:tcPr>
            <w:tcW w:w="1418" w:type="dxa"/>
            <w:vAlign w:val="center"/>
          </w:tcPr>
          <w:p w14:paraId="5C007C1C" w14:textId="77777777" w:rsidR="00D90660" w:rsidRDefault="00D90660" w:rsidP="00A41DBC">
            <w:pPr>
              <w:spacing w:after="0"/>
              <w:jc w:val="center"/>
              <w:rPr>
                <w:rFonts w:ascii="Arial" w:eastAsia="Times New Roman" w:hAnsi="Arial" w:cs="Arial"/>
                <w:bCs/>
                <w:sz w:val="24"/>
                <w:szCs w:val="24"/>
              </w:rPr>
            </w:pPr>
            <w:r>
              <w:rPr>
                <w:rFonts w:ascii="Arial" w:eastAsia="Times New Roman" w:hAnsi="Arial" w:cs="Arial"/>
                <w:bCs/>
                <w:sz w:val="24"/>
                <w:szCs w:val="24"/>
              </w:rPr>
              <w:t>80</w:t>
            </w:r>
          </w:p>
        </w:tc>
      </w:tr>
    </w:tbl>
    <w:p w14:paraId="17DF2FA1" w14:textId="77777777" w:rsidR="007B074D" w:rsidRDefault="007B074D" w:rsidP="00D70EEF">
      <w:pPr>
        <w:pStyle w:val="Heading3"/>
        <w:rPr>
          <w:rFonts w:ascii="Arial" w:hAnsi="Arial" w:cs="Arial"/>
        </w:rPr>
      </w:pPr>
      <w:bookmarkStart w:id="44" w:name="_Toc115768677"/>
    </w:p>
    <w:p w14:paraId="6832FA12" w14:textId="77777777" w:rsidR="00D70EEF" w:rsidRPr="00E1158E" w:rsidRDefault="00A77C49" w:rsidP="00D70EEF">
      <w:pPr>
        <w:pStyle w:val="Heading3"/>
        <w:rPr>
          <w:rFonts w:ascii="Arial" w:hAnsi="Arial" w:cs="Arial"/>
        </w:rPr>
      </w:pPr>
      <w:r>
        <w:rPr>
          <w:rFonts w:ascii="Arial" w:hAnsi="Arial" w:cs="Arial"/>
        </w:rPr>
        <w:t>M</w:t>
      </w:r>
      <w:r w:rsidR="00C8543F" w:rsidRPr="00E1158E">
        <w:rPr>
          <w:rFonts w:ascii="Arial" w:hAnsi="Arial" w:cs="Arial"/>
        </w:rPr>
        <w:t>arket and economic risk</w:t>
      </w:r>
      <w:bookmarkEnd w:id="44"/>
    </w:p>
    <w:p w14:paraId="06B0626E" w14:textId="77777777" w:rsidR="00520990" w:rsidRPr="00E1158E" w:rsidRDefault="00520990" w:rsidP="00520990">
      <w:pPr>
        <w:pStyle w:val="NumberedAnnexParaCharChar"/>
        <w:numPr>
          <w:ilvl w:val="0"/>
          <w:numId w:val="0"/>
        </w:numPr>
        <w:spacing w:line="276" w:lineRule="auto"/>
        <w:ind w:right="28"/>
        <w:rPr>
          <w:rFonts w:cs="Arial"/>
          <w:color w:val="000000"/>
          <w:lang w:val="en-GB"/>
        </w:rPr>
      </w:pPr>
      <w:r w:rsidRPr="00E1158E">
        <w:rPr>
          <w:rFonts w:cs="Arial"/>
          <w:color w:val="000000"/>
          <w:lang w:val="en-GB"/>
        </w:rPr>
        <w:t xml:space="preserve">The Council is exposed to risk in terms of its exposure to interest rate movements on its investments, although the effects on the Council of such movements are not considered to be material as </w:t>
      </w:r>
      <w:r w:rsidR="000411FB" w:rsidRPr="00E1158E">
        <w:rPr>
          <w:rFonts w:cs="Arial"/>
          <w:color w:val="000000"/>
          <w:lang w:val="en-GB"/>
        </w:rPr>
        <w:t>most</w:t>
      </w:r>
      <w:r w:rsidRPr="00E1158E">
        <w:rPr>
          <w:rFonts w:cs="Arial"/>
          <w:color w:val="000000"/>
          <w:lang w:val="en-GB"/>
        </w:rPr>
        <w:t xml:space="preserve"> sums invested are at fixed interest rates for short periods.  </w:t>
      </w:r>
    </w:p>
    <w:p w14:paraId="37BCB9ED" w14:textId="77777777" w:rsidR="009B182E" w:rsidRPr="00E1158E" w:rsidRDefault="00520990" w:rsidP="00BC65A6">
      <w:pPr>
        <w:pStyle w:val="NumberedAnnexParaCharChar"/>
        <w:numPr>
          <w:ilvl w:val="0"/>
          <w:numId w:val="0"/>
        </w:numPr>
        <w:spacing w:line="276" w:lineRule="auto"/>
        <w:ind w:right="28"/>
        <w:rPr>
          <w:rFonts w:cs="Arial"/>
          <w:lang w:val="en-GB"/>
        </w:rPr>
      </w:pPr>
      <w:r w:rsidRPr="00E1158E">
        <w:rPr>
          <w:rFonts w:cs="Arial"/>
          <w:color w:val="000000"/>
          <w:lang w:val="en-GB"/>
        </w:rPr>
        <w:t xml:space="preserve">Of much more significance is the risk </w:t>
      </w:r>
      <w:r w:rsidRPr="00E1158E">
        <w:rPr>
          <w:rFonts w:cs="Arial"/>
          <w:lang w:val="en-GB"/>
        </w:rPr>
        <w:t xml:space="preserve">of property price movements and interest rate risk relating to the Council’s investment in external pooled funds.  </w:t>
      </w:r>
    </w:p>
    <w:p w14:paraId="5E359A21" w14:textId="77777777" w:rsidR="009B182E" w:rsidRPr="00E1158E" w:rsidRDefault="009B182E" w:rsidP="00BC65A6">
      <w:pPr>
        <w:pStyle w:val="NumberedAnnexParaCharChar"/>
        <w:numPr>
          <w:ilvl w:val="0"/>
          <w:numId w:val="0"/>
        </w:numPr>
        <w:spacing w:line="276" w:lineRule="auto"/>
        <w:ind w:right="28"/>
        <w:rPr>
          <w:rFonts w:cs="Arial"/>
          <w:lang w:val="en-GB"/>
        </w:rPr>
      </w:pPr>
    </w:p>
    <w:p w14:paraId="4966C672" w14:textId="77777777" w:rsidR="009B182E" w:rsidRPr="00E1158E" w:rsidRDefault="00D70EEF" w:rsidP="00BC65A6">
      <w:pPr>
        <w:pStyle w:val="NumberedAnnexParaCharChar"/>
        <w:numPr>
          <w:ilvl w:val="0"/>
          <w:numId w:val="0"/>
        </w:numPr>
        <w:spacing w:line="276" w:lineRule="auto"/>
        <w:ind w:right="28"/>
        <w:rPr>
          <w:rFonts w:cs="Arial"/>
        </w:rPr>
      </w:pPr>
      <w:r w:rsidRPr="00E1158E">
        <w:rPr>
          <w:rFonts w:cs="Arial"/>
        </w:rPr>
        <w:lastRenderedPageBreak/>
        <w:t>To measure the significance of</w:t>
      </w:r>
      <w:r w:rsidR="00520990" w:rsidRPr="00E1158E">
        <w:rPr>
          <w:rFonts w:cs="Arial"/>
        </w:rPr>
        <w:t xml:space="preserve"> these risks</w:t>
      </w:r>
      <w:r w:rsidRPr="00E1158E">
        <w:rPr>
          <w:rFonts w:cs="Arial"/>
        </w:rPr>
        <w:t xml:space="preserve">, </w:t>
      </w:r>
      <w:r w:rsidR="0060217F" w:rsidRPr="00E1158E">
        <w:rPr>
          <w:rFonts w:cs="Arial"/>
        </w:rPr>
        <w:t xml:space="preserve">the Council </w:t>
      </w:r>
      <w:r w:rsidR="00520990" w:rsidRPr="00E1158E">
        <w:rPr>
          <w:rFonts w:cs="Arial"/>
        </w:rPr>
        <w:t>calculates the effect of a 1% change in interest rates and a 5% change in property prices on the Fair Value of the external fund</w:t>
      </w:r>
      <w:r w:rsidR="00BC65A6" w:rsidRPr="00E1158E">
        <w:rPr>
          <w:rFonts w:cs="Arial"/>
        </w:rPr>
        <w:t xml:space="preserve">s when preparing its Statement of Accounts.   </w:t>
      </w:r>
    </w:p>
    <w:p w14:paraId="06D7D0D2" w14:textId="77777777" w:rsidR="009B182E" w:rsidRPr="00E1158E" w:rsidRDefault="009B182E" w:rsidP="00BC65A6">
      <w:pPr>
        <w:pStyle w:val="NumberedAnnexParaCharChar"/>
        <w:numPr>
          <w:ilvl w:val="0"/>
          <w:numId w:val="0"/>
        </w:numPr>
        <w:spacing w:line="276" w:lineRule="auto"/>
        <w:ind w:right="28"/>
        <w:rPr>
          <w:rFonts w:cs="Arial"/>
        </w:rPr>
      </w:pPr>
    </w:p>
    <w:p w14:paraId="2072ADC1" w14:textId="77777777" w:rsidR="009B182E" w:rsidRPr="00E1158E" w:rsidRDefault="00BC65A6" w:rsidP="00BC65A6">
      <w:pPr>
        <w:pStyle w:val="NumberedAnnexParaCharChar"/>
        <w:numPr>
          <w:ilvl w:val="0"/>
          <w:numId w:val="0"/>
        </w:numPr>
        <w:spacing w:line="276" w:lineRule="auto"/>
        <w:ind w:right="28"/>
        <w:rPr>
          <w:rFonts w:cs="Arial"/>
        </w:rPr>
      </w:pPr>
      <w:r w:rsidRPr="00E1158E">
        <w:rPr>
          <w:rFonts w:cs="Arial"/>
        </w:rPr>
        <w:t xml:space="preserve">It will compare these figures </w:t>
      </w:r>
      <w:r w:rsidR="00D70EEF" w:rsidRPr="00E1158E">
        <w:rPr>
          <w:rFonts w:cs="Arial"/>
        </w:rPr>
        <w:t>against the individual counterparty limits set out above in table 4, which are seen as representative of a measure of the maximum amount that the council is willing to risk.</w:t>
      </w:r>
    </w:p>
    <w:p w14:paraId="6A80980E" w14:textId="77777777" w:rsidR="0060217F" w:rsidRPr="00E1158E" w:rsidRDefault="00D70EEF" w:rsidP="00BC65A6">
      <w:pPr>
        <w:pStyle w:val="NumberedAnnexParaCharChar"/>
        <w:numPr>
          <w:ilvl w:val="0"/>
          <w:numId w:val="0"/>
        </w:numPr>
        <w:spacing w:line="276" w:lineRule="auto"/>
        <w:ind w:right="28"/>
        <w:rPr>
          <w:rFonts w:cs="Arial"/>
        </w:rPr>
      </w:pPr>
      <w:r w:rsidRPr="00E1158E">
        <w:rPr>
          <w:rFonts w:cs="Arial"/>
        </w:rPr>
        <w:t xml:space="preserve"> </w:t>
      </w:r>
    </w:p>
    <w:p w14:paraId="62565435" w14:textId="77777777" w:rsidR="00D70EEF" w:rsidRDefault="00D70EEF" w:rsidP="00D70EEF">
      <w:pPr>
        <w:rPr>
          <w:rFonts w:ascii="Arial" w:hAnsi="Arial" w:cs="Arial"/>
          <w:sz w:val="24"/>
          <w:szCs w:val="24"/>
        </w:rPr>
      </w:pPr>
      <w:r w:rsidRPr="00E1158E">
        <w:rPr>
          <w:rFonts w:ascii="Arial" w:hAnsi="Arial" w:cs="Arial"/>
          <w:sz w:val="24"/>
          <w:szCs w:val="24"/>
        </w:rPr>
        <w:t xml:space="preserve">A Treasury exception will be reported to </w:t>
      </w:r>
      <w:r w:rsidR="00AA2347" w:rsidRPr="00E1158E">
        <w:rPr>
          <w:rFonts w:ascii="Arial" w:hAnsi="Arial" w:cs="Arial"/>
          <w:sz w:val="24"/>
          <w:szCs w:val="24"/>
        </w:rPr>
        <w:t>Cabinet</w:t>
      </w:r>
      <w:r w:rsidRPr="00E1158E">
        <w:rPr>
          <w:rFonts w:ascii="Arial" w:hAnsi="Arial" w:cs="Arial"/>
          <w:sz w:val="24"/>
          <w:szCs w:val="24"/>
        </w:rPr>
        <w:t xml:space="preserve"> where the </w:t>
      </w:r>
      <w:r w:rsidR="00FB0466">
        <w:rPr>
          <w:rFonts w:ascii="Arial" w:hAnsi="Arial" w:cs="Arial"/>
          <w:sz w:val="24"/>
          <w:szCs w:val="24"/>
        </w:rPr>
        <w:t>economic</w:t>
      </w:r>
      <w:r w:rsidRPr="00E1158E">
        <w:rPr>
          <w:rFonts w:ascii="Arial" w:hAnsi="Arial" w:cs="Arial"/>
          <w:sz w:val="24"/>
          <w:szCs w:val="24"/>
        </w:rPr>
        <w:t xml:space="preserve"> risk exceeds</w:t>
      </w:r>
      <w:r w:rsidR="00AA2347" w:rsidRPr="00E1158E">
        <w:rPr>
          <w:rFonts w:ascii="Arial" w:hAnsi="Arial" w:cs="Arial"/>
          <w:sz w:val="24"/>
          <w:szCs w:val="24"/>
        </w:rPr>
        <w:t xml:space="preserve"> 50%</w:t>
      </w:r>
      <w:r w:rsidRPr="00E1158E">
        <w:rPr>
          <w:rFonts w:ascii="Arial" w:hAnsi="Arial" w:cs="Arial"/>
          <w:sz w:val="24"/>
          <w:szCs w:val="24"/>
        </w:rPr>
        <w:t xml:space="preserve"> the</w:t>
      </w:r>
      <w:r w:rsidR="0060217F" w:rsidRPr="00E1158E">
        <w:rPr>
          <w:rFonts w:ascii="Arial" w:hAnsi="Arial" w:cs="Arial"/>
          <w:sz w:val="24"/>
          <w:szCs w:val="24"/>
        </w:rPr>
        <w:t xml:space="preserve"> Council’s individual</w:t>
      </w:r>
      <w:r w:rsidRPr="00E1158E">
        <w:rPr>
          <w:rFonts w:ascii="Arial" w:hAnsi="Arial" w:cs="Arial"/>
          <w:sz w:val="24"/>
          <w:szCs w:val="24"/>
        </w:rPr>
        <w:t xml:space="preserve"> Counterpart</w:t>
      </w:r>
      <w:r w:rsidR="0060217F" w:rsidRPr="00E1158E">
        <w:rPr>
          <w:rFonts w:ascii="Arial" w:hAnsi="Arial" w:cs="Arial"/>
          <w:sz w:val="24"/>
          <w:szCs w:val="24"/>
        </w:rPr>
        <w:t>y limit</w:t>
      </w:r>
      <w:r w:rsidR="00AA2347" w:rsidRPr="00E1158E">
        <w:rPr>
          <w:rFonts w:ascii="Arial" w:hAnsi="Arial" w:cs="Arial"/>
          <w:sz w:val="24"/>
          <w:szCs w:val="24"/>
        </w:rPr>
        <w:t xml:space="preserve"> (</w:t>
      </w:r>
      <w:r w:rsidR="00C17F16">
        <w:rPr>
          <w:rFonts w:ascii="Arial" w:hAnsi="Arial" w:cs="Arial"/>
          <w:sz w:val="24"/>
          <w:szCs w:val="24"/>
        </w:rPr>
        <w:t xml:space="preserve">equivalent </w:t>
      </w:r>
      <w:r w:rsidR="00C17F16" w:rsidRPr="00762302">
        <w:rPr>
          <w:rFonts w:ascii="Arial" w:hAnsi="Arial" w:cs="Arial"/>
          <w:sz w:val="24"/>
          <w:szCs w:val="24"/>
        </w:rPr>
        <w:t xml:space="preserve">to </w:t>
      </w:r>
      <w:r w:rsidR="00AA2347" w:rsidRPr="00762302">
        <w:rPr>
          <w:rFonts w:ascii="Arial" w:hAnsi="Arial" w:cs="Arial"/>
          <w:sz w:val="24"/>
          <w:szCs w:val="24"/>
        </w:rPr>
        <w:t>£</w:t>
      </w:r>
      <w:r w:rsidR="006A1C0A">
        <w:rPr>
          <w:rFonts w:ascii="Arial" w:hAnsi="Arial" w:cs="Arial"/>
          <w:sz w:val="24"/>
          <w:szCs w:val="24"/>
        </w:rPr>
        <w:t>3.5</w:t>
      </w:r>
      <w:r w:rsidR="00AA2347" w:rsidRPr="00762302">
        <w:rPr>
          <w:rFonts w:ascii="Arial" w:hAnsi="Arial" w:cs="Arial"/>
          <w:sz w:val="24"/>
          <w:szCs w:val="24"/>
        </w:rPr>
        <w:t>m)</w:t>
      </w:r>
      <w:r w:rsidR="0060217F" w:rsidRPr="00762302">
        <w:rPr>
          <w:rFonts w:ascii="Arial" w:hAnsi="Arial" w:cs="Arial"/>
          <w:sz w:val="24"/>
          <w:szCs w:val="24"/>
        </w:rPr>
        <w:t>.</w:t>
      </w:r>
    </w:p>
    <w:p w14:paraId="24E97083" w14:textId="77777777" w:rsidR="009B182E" w:rsidRDefault="0050520D" w:rsidP="00FB33B3">
      <w:pPr>
        <w:rPr>
          <w:rFonts w:ascii="Arial" w:hAnsi="Arial" w:cs="Arial"/>
          <w:sz w:val="24"/>
          <w:szCs w:val="24"/>
        </w:rPr>
      </w:pPr>
      <w:r>
        <w:rPr>
          <w:rFonts w:ascii="Arial" w:hAnsi="Arial" w:cs="Arial"/>
          <w:sz w:val="24"/>
          <w:szCs w:val="24"/>
        </w:rPr>
        <w:t>T</w:t>
      </w:r>
      <w:r w:rsidR="00762302">
        <w:rPr>
          <w:rFonts w:ascii="Arial" w:hAnsi="Arial" w:cs="Arial"/>
          <w:sz w:val="24"/>
          <w:szCs w:val="24"/>
        </w:rPr>
        <w:t xml:space="preserve">his indicator is calculated and </w:t>
      </w:r>
      <w:r>
        <w:rPr>
          <w:rFonts w:ascii="Arial" w:hAnsi="Arial" w:cs="Arial"/>
          <w:sz w:val="24"/>
          <w:szCs w:val="24"/>
        </w:rPr>
        <w:t xml:space="preserve">reported annually as part of the Council’s statement of accounts.  </w:t>
      </w:r>
      <w:r w:rsidR="00762302">
        <w:rPr>
          <w:rFonts w:ascii="Arial" w:hAnsi="Arial" w:cs="Arial"/>
          <w:sz w:val="24"/>
          <w:szCs w:val="24"/>
        </w:rPr>
        <w:t xml:space="preserve">Outside of this, an exception will be reported where it is clear there are significant changes to the risk, mainly </w:t>
      </w:r>
      <w:r w:rsidR="00D90660">
        <w:rPr>
          <w:rFonts w:ascii="Arial" w:hAnsi="Arial" w:cs="Arial"/>
          <w:sz w:val="24"/>
          <w:szCs w:val="24"/>
        </w:rPr>
        <w:t>because of</w:t>
      </w:r>
      <w:r w:rsidR="00762302">
        <w:rPr>
          <w:rFonts w:ascii="Arial" w:hAnsi="Arial" w:cs="Arial"/>
          <w:sz w:val="24"/>
          <w:szCs w:val="24"/>
        </w:rPr>
        <w:t xml:space="preserve"> changes to the composition of the investment portfolio</w:t>
      </w:r>
      <w:r w:rsidR="003B4D68">
        <w:rPr>
          <w:rFonts w:ascii="Arial" w:hAnsi="Arial" w:cs="Arial"/>
          <w:sz w:val="24"/>
          <w:szCs w:val="24"/>
        </w:rPr>
        <w:t xml:space="preserve"> or to variation in the fair value of the portfolio</w:t>
      </w:r>
      <w:r w:rsidR="00762302">
        <w:rPr>
          <w:rFonts w:ascii="Arial" w:hAnsi="Arial" w:cs="Arial"/>
          <w:sz w:val="24"/>
          <w:szCs w:val="24"/>
        </w:rPr>
        <w:t>.</w:t>
      </w:r>
      <w:r w:rsidR="00840C82">
        <w:rPr>
          <w:rFonts w:ascii="Arial" w:hAnsi="Arial" w:cs="Arial"/>
          <w:sz w:val="24"/>
          <w:szCs w:val="24"/>
        </w:rPr>
        <w:t xml:space="preserve">  The </w:t>
      </w:r>
      <w:r w:rsidR="009B182E" w:rsidRPr="00E1158E">
        <w:rPr>
          <w:rFonts w:ascii="Arial" w:hAnsi="Arial" w:cs="Arial"/>
          <w:sz w:val="24"/>
          <w:szCs w:val="24"/>
        </w:rPr>
        <w:t xml:space="preserve">position </w:t>
      </w:r>
      <w:r w:rsidR="00840C82">
        <w:rPr>
          <w:rFonts w:ascii="Arial" w:hAnsi="Arial" w:cs="Arial"/>
          <w:sz w:val="24"/>
          <w:szCs w:val="24"/>
        </w:rPr>
        <w:t xml:space="preserve">as </w:t>
      </w:r>
      <w:proofErr w:type="gramStart"/>
      <w:r w:rsidR="00840C82">
        <w:rPr>
          <w:rFonts w:ascii="Arial" w:hAnsi="Arial" w:cs="Arial"/>
          <w:sz w:val="24"/>
          <w:szCs w:val="24"/>
        </w:rPr>
        <w:t>at</w:t>
      </w:r>
      <w:proofErr w:type="gramEnd"/>
      <w:r w:rsidR="00840C82">
        <w:rPr>
          <w:rFonts w:ascii="Arial" w:hAnsi="Arial" w:cs="Arial"/>
          <w:sz w:val="24"/>
          <w:szCs w:val="24"/>
        </w:rPr>
        <w:t xml:space="preserve"> 31 March 202</w:t>
      </w:r>
      <w:r w:rsidR="001E27FA">
        <w:rPr>
          <w:rFonts w:ascii="Arial" w:hAnsi="Arial" w:cs="Arial"/>
          <w:sz w:val="24"/>
          <w:szCs w:val="24"/>
        </w:rPr>
        <w:t>3</w:t>
      </w:r>
      <w:r w:rsidR="00840C82">
        <w:rPr>
          <w:rFonts w:ascii="Arial" w:hAnsi="Arial" w:cs="Arial"/>
          <w:sz w:val="24"/>
          <w:szCs w:val="24"/>
        </w:rPr>
        <w:t xml:space="preserve"> is set out in table 10.</w:t>
      </w:r>
    </w:p>
    <w:p w14:paraId="2A8E23B6" w14:textId="77777777" w:rsidR="009B182E" w:rsidRPr="00E1158E" w:rsidRDefault="009B182E" w:rsidP="009B182E">
      <w:pPr>
        <w:ind w:firstLine="360"/>
        <w:rPr>
          <w:rFonts w:ascii="Arial" w:hAnsi="Arial" w:cs="Arial"/>
          <w:i/>
          <w:sz w:val="24"/>
          <w:szCs w:val="24"/>
        </w:rPr>
      </w:pPr>
      <w:r w:rsidRPr="00E1158E">
        <w:rPr>
          <w:rFonts w:ascii="Arial" w:hAnsi="Arial" w:cs="Arial"/>
          <w:i/>
          <w:sz w:val="24"/>
          <w:szCs w:val="24"/>
        </w:rPr>
        <w:t>Table 1</w:t>
      </w:r>
      <w:r w:rsidR="009B2917">
        <w:rPr>
          <w:rFonts w:ascii="Arial" w:hAnsi="Arial" w:cs="Arial"/>
          <w:i/>
          <w:sz w:val="24"/>
          <w:szCs w:val="24"/>
        </w:rPr>
        <w:t>0</w:t>
      </w:r>
      <w:r w:rsidRPr="00E1158E">
        <w:rPr>
          <w:rFonts w:ascii="Arial" w:hAnsi="Arial" w:cs="Arial"/>
          <w:i/>
          <w:sz w:val="24"/>
          <w:szCs w:val="24"/>
        </w:rPr>
        <w:t>: Exposure to economic risk (£m)</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682"/>
        <w:gridCol w:w="1406"/>
        <w:gridCol w:w="1546"/>
        <w:gridCol w:w="1543"/>
      </w:tblGrid>
      <w:tr w:rsidR="0050520D" w:rsidRPr="00940812" w14:paraId="58B21C80" w14:textId="77777777" w:rsidTr="00EA768C">
        <w:trPr>
          <w:trHeight w:val="340"/>
        </w:trPr>
        <w:tc>
          <w:tcPr>
            <w:tcW w:w="3210" w:type="dxa"/>
            <w:shd w:val="clear" w:color="auto" w:fill="D9D9D9"/>
            <w:vAlign w:val="center"/>
          </w:tcPr>
          <w:p w14:paraId="29FCD9F4" w14:textId="77777777" w:rsidR="0050520D" w:rsidRPr="00940812" w:rsidRDefault="0050520D" w:rsidP="001E4240">
            <w:pPr>
              <w:spacing w:after="0"/>
              <w:rPr>
                <w:rFonts w:ascii="Arial" w:eastAsia="Times New Roman" w:hAnsi="Arial" w:cs="Arial"/>
                <w:bCs/>
                <w:sz w:val="24"/>
                <w:szCs w:val="24"/>
              </w:rPr>
            </w:pPr>
          </w:p>
        </w:tc>
        <w:tc>
          <w:tcPr>
            <w:tcW w:w="1701" w:type="dxa"/>
            <w:shd w:val="clear" w:color="auto" w:fill="D9D9D9"/>
            <w:vAlign w:val="center"/>
          </w:tcPr>
          <w:p w14:paraId="64424180" w14:textId="77777777" w:rsidR="0050520D" w:rsidRPr="00940812" w:rsidRDefault="0050520D" w:rsidP="001E7296">
            <w:pPr>
              <w:spacing w:after="0"/>
              <w:jc w:val="center"/>
              <w:rPr>
                <w:rFonts w:ascii="Arial" w:eastAsia="Times New Roman" w:hAnsi="Arial" w:cs="Arial"/>
                <w:bCs/>
                <w:sz w:val="24"/>
                <w:szCs w:val="24"/>
              </w:rPr>
            </w:pPr>
            <w:r w:rsidRPr="00940812">
              <w:rPr>
                <w:rFonts w:ascii="Arial" w:eastAsia="Times New Roman" w:hAnsi="Arial" w:cs="Arial"/>
                <w:bCs/>
                <w:sz w:val="24"/>
                <w:szCs w:val="24"/>
              </w:rPr>
              <w:t>1% change in Interest rates</w:t>
            </w:r>
          </w:p>
        </w:tc>
        <w:tc>
          <w:tcPr>
            <w:tcW w:w="1418" w:type="dxa"/>
            <w:shd w:val="clear" w:color="auto" w:fill="D9D9D9"/>
            <w:vAlign w:val="center"/>
          </w:tcPr>
          <w:p w14:paraId="5CD7BFDD" w14:textId="77777777" w:rsidR="0050520D" w:rsidRPr="00940812" w:rsidRDefault="0050520D" w:rsidP="001E7296">
            <w:pPr>
              <w:spacing w:after="0"/>
              <w:jc w:val="center"/>
              <w:rPr>
                <w:rFonts w:ascii="Arial" w:eastAsia="Times New Roman" w:hAnsi="Arial" w:cs="Arial"/>
                <w:bCs/>
                <w:sz w:val="24"/>
                <w:szCs w:val="24"/>
              </w:rPr>
            </w:pPr>
            <w:r w:rsidRPr="00940812">
              <w:rPr>
                <w:rFonts w:ascii="Arial" w:eastAsia="Times New Roman" w:hAnsi="Arial" w:cs="Arial"/>
                <w:bCs/>
                <w:sz w:val="24"/>
                <w:szCs w:val="24"/>
              </w:rPr>
              <w:t>5% change in equity prices</w:t>
            </w:r>
          </w:p>
        </w:tc>
        <w:tc>
          <w:tcPr>
            <w:tcW w:w="1559" w:type="dxa"/>
            <w:tcBorders>
              <w:bottom w:val="single" w:sz="4" w:space="0" w:color="auto"/>
            </w:tcBorders>
            <w:shd w:val="clear" w:color="auto" w:fill="D9D9D9"/>
            <w:vAlign w:val="center"/>
          </w:tcPr>
          <w:p w14:paraId="5BE85E7F" w14:textId="77777777" w:rsidR="0050520D" w:rsidRPr="00940812" w:rsidRDefault="0050520D" w:rsidP="001E7296">
            <w:pPr>
              <w:spacing w:after="0"/>
              <w:jc w:val="center"/>
              <w:rPr>
                <w:rFonts w:ascii="Arial" w:eastAsia="Times New Roman" w:hAnsi="Arial" w:cs="Arial"/>
                <w:bCs/>
                <w:sz w:val="24"/>
                <w:szCs w:val="24"/>
              </w:rPr>
            </w:pPr>
            <w:r w:rsidRPr="00940812">
              <w:rPr>
                <w:rFonts w:ascii="Arial" w:eastAsia="Times New Roman" w:hAnsi="Arial" w:cs="Arial"/>
                <w:bCs/>
                <w:sz w:val="24"/>
                <w:szCs w:val="24"/>
              </w:rPr>
              <w:t>5% change in property prices</w:t>
            </w:r>
          </w:p>
        </w:tc>
        <w:tc>
          <w:tcPr>
            <w:tcW w:w="1559" w:type="dxa"/>
            <w:tcBorders>
              <w:bottom w:val="single" w:sz="4" w:space="0" w:color="auto"/>
            </w:tcBorders>
            <w:shd w:val="clear" w:color="auto" w:fill="D9D9D9"/>
          </w:tcPr>
          <w:p w14:paraId="7C7E0679" w14:textId="77777777" w:rsidR="0050520D" w:rsidRDefault="0050520D" w:rsidP="001E7296">
            <w:pPr>
              <w:spacing w:after="0"/>
              <w:jc w:val="center"/>
              <w:rPr>
                <w:rFonts w:ascii="Arial" w:eastAsia="Times New Roman" w:hAnsi="Arial" w:cs="Arial"/>
                <w:bCs/>
                <w:sz w:val="24"/>
                <w:szCs w:val="24"/>
              </w:rPr>
            </w:pPr>
            <w:r>
              <w:rPr>
                <w:rFonts w:ascii="Arial" w:eastAsia="Times New Roman" w:hAnsi="Arial" w:cs="Arial"/>
                <w:bCs/>
                <w:sz w:val="24"/>
                <w:szCs w:val="24"/>
              </w:rPr>
              <w:t>TOTAL</w:t>
            </w:r>
          </w:p>
          <w:p w14:paraId="09CB5615" w14:textId="77777777" w:rsidR="001E7296" w:rsidRPr="00940812" w:rsidRDefault="001E7296" w:rsidP="001E7296">
            <w:pPr>
              <w:spacing w:after="0"/>
              <w:jc w:val="center"/>
              <w:rPr>
                <w:rFonts w:ascii="Arial" w:eastAsia="Times New Roman" w:hAnsi="Arial" w:cs="Arial"/>
                <w:bCs/>
                <w:sz w:val="24"/>
                <w:szCs w:val="24"/>
              </w:rPr>
            </w:pPr>
            <w:r>
              <w:rPr>
                <w:rFonts w:ascii="Arial" w:eastAsia="Times New Roman" w:hAnsi="Arial" w:cs="Arial"/>
                <w:bCs/>
                <w:sz w:val="24"/>
                <w:szCs w:val="24"/>
              </w:rPr>
              <w:t>£m</w:t>
            </w:r>
          </w:p>
        </w:tc>
      </w:tr>
      <w:tr w:rsidR="0050520D" w:rsidRPr="00E1158E" w14:paraId="2ADD24E0" w14:textId="77777777" w:rsidTr="00F12252">
        <w:trPr>
          <w:trHeight w:val="340"/>
        </w:trPr>
        <w:tc>
          <w:tcPr>
            <w:tcW w:w="3210" w:type="dxa"/>
            <w:shd w:val="clear" w:color="auto" w:fill="auto"/>
            <w:vAlign w:val="center"/>
          </w:tcPr>
          <w:p w14:paraId="43FC2F2B" w14:textId="77777777" w:rsidR="0050520D" w:rsidRPr="00E1158E" w:rsidRDefault="0050520D" w:rsidP="00FB33B3">
            <w:pPr>
              <w:spacing w:after="0"/>
              <w:rPr>
                <w:rFonts w:ascii="Arial" w:eastAsia="Times New Roman" w:hAnsi="Arial" w:cs="Arial"/>
                <w:bCs/>
                <w:sz w:val="24"/>
                <w:szCs w:val="24"/>
              </w:rPr>
            </w:pPr>
            <w:r>
              <w:rPr>
                <w:rFonts w:ascii="Arial" w:eastAsia="Times New Roman" w:hAnsi="Arial" w:cs="Arial"/>
                <w:bCs/>
                <w:sz w:val="24"/>
                <w:szCs w:val="24"/>
              </w:rPr>
              <w:t>CCLA Property Fund</w:t>
            </w:r>
            <w:r w:rsidRPr="00E1158E">
              <w:rPr>
                <w:rFonts w:ascii="Arial" w:eastAsia="Times New Roman" w:hAnsi="Arial" w:cs="Arial"/>
                <w:bCs/>
                <w:sz w:val="24"/>
                <w:szCs w:val="24"/>
              </w:rPr>
              <w:t xml:space="preserve"> </w:t>
            </w:r>
          </w:p>
        </w:tc>
        <w:tc>
          <w:tcPr>
            <w:tcW w:w="1701" w:type="dxa"/>
            <w:shd w:val="clear" w:color="auto" w:fill="auto"/>
            <w:vAlign w:val="center"/>
          </w:tcPr>
          <w:p w14:paraId="3CAA6834" w14:textId="77777777" w:rsidR="0050520D" w:rsidRPr="00E1158E" w:rsidRDefault="0050520D" w:rsidP="00AA2347">
            <w:pPr>
              <w:spacing w:after="0"/>
              <w:jc w:val="right"/>
              <w:rPr>
                <w:rFonts w:ascii="Arial" w:eastAsia="Times New Roman" w:hAnsi="Arial" w:cs="Arial"/>
                <w:bCs/>
                <w:sz w:val="24"/>
                <w:szCs w:val="24"/>
              </w:rPr>
            </w:pPr>
            <w:r>
              <w:rPr>
                <w:rFonts w:ascii="Arial" w:eastAsia="Times New Roman" w:hAnsi="Arial" w:cs="Arial"/>
                <w:bCs/>
                <w:sz w:val="24"/>
                <w:szCs w:val="24"/>
              </w:rPr>
              <w:t>-</w:t>
            </w:r>
          </w:p>
        </w:tc>
        <w:tc>
          <w:tcPr>
            <w:tcW w:w="1418" w:type="dxa"/>
            <w:shd w:val="clear" w:color="auto" w:fill="auto"/>
            <w:vAlign w:val="center"/>
          </w:tcPr>
          <w:p w14:paraId="706C55B9" w14:textId="77777777" w:rsidR="0050520D" w:rsidRPr="00E1158E" w:rsidRDefault="0050520D" w:rsidP="00AA2347">
            <w:pPr>
              <w:spacing w:after="0"/>
              <w:jc w:val="right"/>
              <w:rPr>
                <w:rFonts w:ascii="Arial" w:eastAsia="Times New Roman" w:hAnsi="Arial" w:cs="Arial"/>
                <w:bCs/>
                <w:sz w:val="24"/>
                <w:szCs w:val="24"/>
              </w:rPr>
            </w:pPr>
            <w:r>
              <w:rPr>
                <w:rFonts w:ascii="Arial" w:eastAsia="Times New Roman" w:hAnsi="Arial" w:cs="Arial"/>
                <w:bCs/>
                <w:sz w:val="24"/>
                <w:szCs w:val="24"/>
              </w:rPr>
              <w:t>-</w:t>
            </w:r>
          </w:p>
        </w:tc>
        <w:tc>
          <w:tcPr>
            <w:tcW w:w="1559" w:type="dxa"/>
            <w:tcBorders>
              <w:right w:val="single" w:sz="4" w:space="0" w:color="auto"/>
            </w:tcBorders>
            <w:shd w:val="clear" w:color="auto" w:fill="auto"/>
            <w:vAlign w:val="center"/>
          </w:tcPr>
          <w:p w14:paraId="07219B50" w14:textId="77777777" w:rsidR="0050520D" w:rsidRPr="00E1158E" w:rsidRDefault="0050520D" w:rsidP="00AA2347">
            <w:pPr>
              <w:spacing w:after="0"/>
              <w:jc w:val="right"/>
              <w:rPr>
                <w:rFonts w:ascii="Arial" w:eastAsia="Times New Roman" w:hAnsi="Arial" w:cs="Arial"/>
                <w:bCs/>
                <w:sz w:val="24"/>
                <w:szCs w:val="24"/>
              </w:rPr>
            </w:pPr>
            <w:r>
              <w:rPr>
                <w:rFonts w:ascii="Arial" w:eastAsia="Times New Roman" w:hAnsi="Arial" w:cs="Arial"/>
                <w:bCs/>
                <w:sz w:val="24"/>
                <w:szCs w:val="24"/>
              </w:rPr>
              <w:t>(</w:t>
            </w:r>
            <w:r w:rsidR="001E27FA">
              <w:rPr>
                <w:rFonts w:ascii="Arial" w:eastAsia="Times New Roman" w:hAnsi="Arial" w:cs="Arial"/>
                <w:bCs/>
                <w:sz w:val="24"/>
                <w:szCs w:val="24"/>
              </w:rPr>
              <w:t>1</w:t>
            </w:r>
            <w:r>
              <w:rPr>
                <w:rFonts w:ascii="Arial" w:eastAsia="Times New Roman" w:hAnsi="Arial" w:cs="Arial"/>
                <w:bCs/>
                <w:sz w:val="24"/>
                <w:szCs w:val="24"/>
              </w:rPr>
              <w:t>.</w:t>
            </w:r>
            <w:r w:rsidR="001E27FA">
              <w:rPr>
                <w:rFonts w:ascii="Arial" w:eastAsia="Times New Roman" w:hAnsi="Arial" w:cs="Arial"/>
                <w:bCs/>
                <w:sz w:val="24"/>
                <w:szCs w:val="24"/>
              </w:rPr>
              <w:t>3</w:t>
            </w:r>
            <w:r w:rsidR="003B4D68">
              <w:rPr>
                <w:rFonts w:ascii="Arial" w:eastAsia="Times New Roman" w:hAnsi="Arial" w:cs="Arial"/>
                <w:bCs/>
                <w:sz w:val="24"/>
                <w:szCs w:val="24"/>
              </w:rPr>
              <w:t>2</w:t>
            </w:r>
            <w:r>
              <w:rPr>
                <w:rFonts w:ascii="Arial" w:eastAsia="Times New Roman" w:hAnsi="Arial" w:cs="Arial"/>
                <w:bCs/>
                <w:sz w:val="24"/>
                <w:szCs w:val="24"/>
              </w:rPr>
              <w:t>)</w:t>
            </w:r>
          </w:p>
        </w:tc>
        <w:tc>
          <w:tcPr>
            <w:tcW w:w="1559" w:type="dxa"/>
            <w:tcBorders>
              <w:top w:val="single" w:sz="4" w:space="0" w:color="auto"/>
              <w:left w:val="single" w:sz="4" w:space="0" w:color="auto"/>
              <w:bottom w:val="nil"/>
              <w:right w:val="single" w:sz="4" w:space="0" w:color="auto"/>
            </w:tcBorders>
          </w:tcPr>
          <w:p w14:paraId="2F4FFE57" w14:textId="77777777" w:rsidR="0050520D" w:rsidDel="0050520D" w:rsidRDefault="0050520D" w:rsidP="00AA2347">
            <w:pPr>
              <w:spacing w:after="0"/>
              <w:jc w:val="right"/>
              <w:rPr>
                <w:rFonts w:ascii="Arial" w:eastAsia="Times New Roman" w:hAnsi="Arial" w:cs="Arial"/>
                <w:bCs/>
                <w:sz w:val="24"/>
                <w:szCs w:val="24"/>
              </w:rPr>
            </w:pPr>
          </w:p>
        </w:tc>
      </w:tr>
      <w:tr w:rsidR="0050520D" w:rsidRPr="00E1158E" w14:paraId="3899692D" w14:textId="77777777" w:rsidTr="00F12252">
        <w:trPr>
          <w:trHeight w:val="340"/>
        </w:trPr>
        <w:tc>
          <w:tcPr>
            <w:tcW w:w="3210" w:type="dxa"/>
            <w:shd w:val="clear" w:color="auto" w:fill="auto"/>
            <w:vAlign w:val="center"/>
          </w:tcPr>
          <w:p w14:paraId="00DC73FB" w14:textId="77777777" w:rsidR="0050520D" w:rsidRDefault="00D90660" w:rsidP="0050520D">
            <w:pPr>
              <w:spacing w:after="0"/>
              <w:rPr>
                <w:rFonts w:ascii="Arial" w:eastAsia="Times New Roman" w:hAnsi="Arial" w:cs="Arial"/>
                <w:bCs/>
                <w:sz w:val="24"/>
                <w:szCs w:val="24"/>
              </w:rPr>
            </w:pPr>
            <w:r>
              <w:rPr>
                <w:rFonts w:ascii="Arial" w:eastAsia="Times New Roman" w:hAnsi="Arial" w:cs="Arial"/>
                <w:bCs/>
                <w:sz w:val="24"/>
                <w:szCs w:val="24"/>
              </w:rPr>
              <w:t xml:space="preserve">External </w:t>
            </w:r>
            <w:r w:rsidR="0050520D">
              <w:rPr>
                <w:rFonts w:ascii="Arial" w:eastAsia="Times New Roman" w:hAnsi="Arial" w:cs="Arial"/>
                <w:bCs/>
                <w:sz w:val="24"/>
                <w:szCs w:val="24"/>
              </w:rPr>
              <w:t>Pooled Funds</w:t>
            </w:r>
            <w:r>
              <w:rPr>
                <w:rFonts w:ascii="Arial" w:eastAsia="Times New Roman" w:hAnsi="Arial" w:cs="Arial"/>
                <w:bCs/>
                <w:sz w:val="24"/>
                <w:szCs w:val="24"/>
              </w:rPr>
              <w:t xml:space="preserve"> and Money markets</w:t>
            </w:r>
          </w:p>
        </w:tc>
        <w:tc>
          <w:tcPr>
            <w:tcW w:w="1701" w:type="dxa"/>
            <w:shd w:val="clear" w:color="auto" w:fill="auto"/>
            <w:vAlign w:val="center"/>
          </w:tcPr>
          <w:p w14:paraId="245A060E" w14:textId="77777777" w:rsidR="0050520D" w:rsidDel="0050520D" w:rsidRDefault="0050520D" w:rsidP="00AA2347">
            <w:pPr>
              <w:spacing w:after="0"/>
              <w:jc w:val="right"/>
              <w:rPr>
                <w:rFonts w:ascii="Arial" w:eastAsia="Times New Roman" w:hAnsi="Arial" w:cs="Arial"/>
                <w:bCs/>
                <w:sz w:val="24"/>
                <w:szCs w:val="24"/>
              </w:rPr>
            </w:pPr>
            <w:r>
              <w:rPr>
                <w:rFonts w:ascii="Arial" w:eastAsia="Times New Roman" w:hAnsi="Arial" w:cs="Arial"/>
                <w:bCs/>
                <w:sz w:val="24"/>
                <w:szCs w:val="24"/>
              </w:rPr>
              <w:t>(</w:t>
            </w:r>
            <w:r w:rsidR="001E27FA">
              <w:rPr>
                <w:rFonts w:ascii="Arial" w:eastAsia="Times New Roman" w:hAnsi="Arial" w:cs="Arial"/>
                <w:bCs/>
                <w:sz w:val="24"/>
                <w:szCs w:val="24"/>
              </w:rPr>
              <w:t>1</w:t>
            </w:r>
            <w:r>
              <w:rPr>
                <w:rFonts w:ascii="Arial" w:eastAsia="Times New Roman" w:hAnsi="Arial" w:cs="Arial"/>
                <w:bCs/>
                <w:sz w:val="24"/>
                <w:szCs w:val="24"/>
              </w:rPr>
              <w:t>.</w:t>
            </w:r>
            <w:r w:rsidR="001E27FA">
              <w:rPr>
                <w:rFonts w:ascii="Arial" w:eastAsia="Times New Roman" w:hAnsi="Arial" w:cs="Arial"/>
                <w:bCs/>
                <w:sz w:val="24"/>
                <w:szCs w:val="24"/>
              </w:rPr>
              <w:t>99</w:t>
            </w:r>
            <w:r>
              <w:rPr>
                <w:rFonts w:ascii="Arial" w:eastAsia="Times New Roman" w:hAnsi="Arial" w:cs="Arial"/>
                <w:bCs/>
                <w:sz w:val="24"/>
                <w:szCs w:val="24"/>
              </w:rPr>
              <w:t>)</w:t>
            </w:r>
          </w:p>
        </w:tc>
        <w:tc>
          <w:tcPr>
            <w:tcW w:w="1418" w:type="dxa"/>
            <w:shd w:val="clear" w:color="auto" w:fill="auto"/>
            <w:vAlign w:val="center"/>
          </w:tcPr>
          <w:p w14:paraId="2CA6FE76" w14:textId="77777777" w:rsidR="0050520D" w:rsidRDefault="0050520D" w:rsidP="00AA2347">
            <w:pPr>
              <w:spacing w:after="0"/>
              <w:jc w:val="right"/>
              <w:rPr>
                <w:rFonts w:ascii="Arial" w:eastAsia="Times New Roman" w:hAnsi="Arial" w:cs="Arial"/>
                <w:bCs/>
                <w:sz w:val="24"/>
                <w:szCs w:val="24"/>
              </w:rPr>
            </w:pPr>
            <w:r>
              <w:rPr>
                <w:rFonts w:ascii="Arial" w:eastAsia="Times New Roman" w:hAnsi="Arial" w:cs="Arial"/>
                <w:bCs/>
                <w:sz w:val="24"/>
                <w:szCs w:val="24"/>
              </w:rPr>
              <w:t>(0.</w:t>
            </w:r>
            <w:r w:rsidR="001E27FA">
              <w:rPr>
                <w:rFonts w:ascii="Arial" w:eastAsia="Times New Roman" w:hAnsi="Arial" w:cs="Arial"/>
                <w:bCs/>
                <w:sz w:val="24"/>
                <w:szCs w:val="24"/>
              </w:rPr>
              <w:t>20</w:t>
            </w:r>
            <w:r>
              <w:rPr>
                <w:rFonts w:ascii="Arial" w:eastAsia="Times New Roman" w:hAnsi="Arial" w:cs="Arial"/>
                <w:bCs/>
                <w:sz w:val="24"/>
                <w:szCs w:val="24"/>
              </w:rPr>
              <w:t>)</w:t>
            </w:r>
          </w:p>
        </w:tc>
        <w:tc>
          <w:tcPr>
            <w:tcW w:w="1559" w:type="dxa"/>
            <w:tcBorders>
              <w:right w:val="single" w:sz="4" w:space="0" w:color="auto"/>
            </w:tcBorders>
            <w:shd w:val="clear" w:color="auto" w:fill="auto"/>
            <w:vAlign w:val="center"/>
          </w:tcPr>
          <w:p w14:paraId="1D7CBCC3" w14:textId="77777777" w:rsidR="0050520D" w:rsidRDefault="0050520D" w:rsidP="00AA2347">
            <w:pPr>
              <w:spacing w:after="0"/>
              <w:jc w:val="right"/>
              <w:rPr>
                <w:rFonts w:ascii="Arial" w:eastAsia="Times New Roman" w:hAnsi="Arial" w:cs="Arial"/>
                <w:bCs/>
                <w:sz w:val="24"/>
                <w:szCs w:val="24"/>
              </w:rPr>
            </w:pPr>
            <w:r>
              <w:rPr>
                <w:rFonts w:ascii="Arial" w:eastAsia="Times New Roman" w:hAnsi="Arial" w:cs="Arial"/>
                <w:bCs/>
                <w:sz w:val="24"/>
                <w:szCs w:val="24"/>
              </w:rPr>
              <w:t>(</w:t>
            </w:r>
            <w:r w:rsidR="00FB0466">
              <w:rPr>
                <w:rFonts w:ascii="Arial" w:eastAsia="Times New Roman" w:hAnsi="Arial" w:cs="Arial"/>
                <w:bCs/>
                <w:sz w:val="24"/>
                <w:szCs w:val="24"/>
              </w:rPr>
              <w:t>0.</w:t>
            </w:r>
            <w:r w:rsidR="001E27FA">
              <w:rPr>
                <w:rFonts w:ascii="Arial" w:eastAsia="Times New Roman" w:hAnsi="Arial" w:cs="Arial"/>
                <w:bCs/>
                <w:sz w:val="24"/>
                <w:szCs w:val="24"/>
              </w:rPr>
              <w:t>14)</w:t>
            </w:r>
          </w:p>
        </w:tc>
        <w:tc>
          <w:tcPr>
            <w:tcW w:w="1559" w:type="dxa"/>
            <w:tcBorders>
              <w:top w:val="nil"/>
              <w:left w:val="single" w:sz="4" w:space="0" w:color="auto"/>
              <w:bottom w:val="nil"/>
              <w:right w:val="single" w:sz="4" w:space="0" w:color="auto"/>
            </w:tcBorders>
          </w:tcPr>
          <w:p w14:paraId="55625666" w14:textId="77777777" w:rsidR="0050520D" w:rsidRDefault="0050520D" w:rsidP="00AA2347">
            <w:pPr>
              <w:spacing w:after="0"/>
              <w:jc w:val="right"/>
              <w:rPr>
                <w:rFonts w:ascii="Arial" w:eastAsia="Times New Roman" w:hAnsi="Arial" w:cs="Arial"/>
                <w:bCs/>
                <w:sz w:val="24"/>
                <w:szCs w:val="24"/>
              </w:rPr>
            </w:pPr>
          </w:p>
        </w:tc>
      </w:tr>
      <w:tr w:rsidR="0050520D" w:rsidRPr="00E1158E" w14:paraId="240EAE6E" w14:textId="77777777" w:rsidTr="00EA768C">
        <w:trPr>
          <w:trHeight w:val="340"/>
        </w:trPr>
        <w:tc>
          <w:tcPr>
            <w:tcW w:w="3210" w:type="dxa"/>
            <w:shd w:val="clear" w:color="auto" w:fill="D9D9D9"/>
            <w:vAlign w:val="center"/>
          </w:tcPr>
          <w:p w14:paraId="7064A488" w14:textId="77777777" w:rsidR="0050520D" w:rsidRDefault="0050520D" w:rsidP="0050520D">
            <w:pPr>
              <w:spacing w:after="0"/>
              <w:rPr>
                <w:rFonts w:ascii="Arial" w:eastAsia="Times New Roman" w:hAnsi="Arial" w:cs="Arial"/>
                <w:bCs/>
                <w:sz w:val="24"/>
                <w:szCs w:val="24"/>
              </w:rPr>
            </w:pPr>
            <w:r>
              <w:rPr>
                <w:rFonts w:ascii="Arial" w:eastAsia="Times New Roman" w:hAnsi="Arial" w:cs="Arial"/>
                <w:bCs/>
                <w:sz w:val="24"/>
                <w:szCs w:val="24"/>
              </w:rPr>
              <w:t>TOTAL</w:t>
            </w:r>
          </w:p>
        </w:tc>
        <w:tc>
          <w:tcPr>
            <w:tcW w:w="1701" w:type="dxa"/>
            <w:shd w:val="clear" w:color="auto" w:fill="D9D9D9"/>
            <w:vAlign w:val="center"/>
          </w:tcPr>
          <w:p w14:paraId="6008F6A8" w14:textId="77777777" w:rsidR="0050520D" w:rsidRDefault="0050520D" w:rsidP="00AA2347">
            <w:pPr>
              <w:spacing w:after="0"/>
              <w:jc w:val="right"/>
              <w:rPr>
                <w:rFonts w:ascii="Arial" w:eastAsia="Times New Roman" w:hAnsi="Arial" w:cs="Arial"/>
                <w:bCs/>
                <w:sz w:val="24"/>
                <w:szCs w:val="24"/>
              </w:rPr>
            </w:pPr>
            <w:r>
              <w:rPr>
                <w:rFonts w:ascii="Arial" w:eastAsia="Times New Roman" w:hAnsi="Arial" w:cs="Arial"/>
                <w:bCs/>
                <w:sz w:val="24"/>
                <w:szCs w:val="24"/>
              </w:rPr>
              <w:t>(</w:t>
            </w:r>
            <w:r w:rsidR="001E27FA">
              <w:rPr>
                <w:rFonts w:ascii="Arial" w:eastAsia="Times New Roman" w:hAnsi="Arial" w:cs="Arial"/>
                <w:bCs/>
                <w:sz w:val="24"/>
                <w:szCs w:val="24"/>
              </w:rPr>
              <w:t>1.99</w:t>
            </w:r>
            <w:r>
              <w:rPr>
                <w:rFonts w:ascii="Arial" w:eastAsia="Times New Roman" w:hAnsi="Arial" w:cs="Arial"/>
                <w:bCs/>
                <w:sz w:val="24"/>
                <w:szCs w:val="24"/>
              </w:rPr>
              <w:t>)</w:t>
            </w:r>
          </w:p>
        </w:tc>
        <w:tc>
          <w:tcPr>
            <w:tcW w:w="1418" w:type="dxa"/>
            <w:shd w:val="clear" w:color="auto" w:fill="D9D9D9"/>
            <w:vAlign w:val="center"/>
          </w:tcPr>
          <w:p w14:paraId="52EB719B" w14:textId="77777777" w:rsidR="0050520D" w:rsidRDefault="0050520D" w:rsidP="00AA2347">
            <w:pPr>
              <w:spacing w:after="0"/>
              <w:jc w:val="right"/>
              <w:rPr>
                <w:rFonts w:ascii="Arial" w:eastAsia="Times New Roman" w:hAnsi="Arial" w:cs="Arial"/>
                <w:bCs/>
                <w:sz w:val="24"/>
                <w:szCs w:val="24"/>
              </w:rPr>
            </w:pPr>
            <w:r>
              <w:rPr>
                <w:rFonts w:ascii="Arial" w:eastAsia="Times New Roman" w:hAnsi="Arial" w:cs="Arial"/>
                <w:bCs/>
                <w:sz w:val="24"/>
                <w:szCs w:val="24"/>
              </w:rPr>
              <w:t>(0.</w:t>
            </w:r>
            <w:r w:rsidR="001E27FA">
              <w:rPr>
                <w:rFonts w:ascii="Arial" w:eastAsia="Times New Roman" w:hAnsi="Arial" w:cs="Arial"/>
                <w:bCs/>
                <w:sz w:val="24"/>
                <w:szCs w:val="24"/>
              </w:rPr>
              <w:t>20</w:t>
            </w:r>
            <w:r>
              <w:rPr>
                <w:rFonts w:ascii="Arial" w:eastAsia="Times New Roman" w:hAnsi="Arial" w:cs="Arial"/>
                <w:bCs/>
                <w:sz w:val="24"/>
                <w:szCs w:val="24"/>
              </w:rPr>
              <w:t>)</w:t>
            </w:r>
          </w:p>
        </w:tc>
        <w:tc>
          <w:tcPr>
            <w:tcW w:w="1559" w:type="dxa"/>
            <w:shd w:val="clear" w:color="auto" w:fill="D9D9D9"/>
            <w:vAlign w:val="center"/>
          </w:tcPr>
          <w:p w14:paraId="2D723AB3" w14:textId="77777777" w:rsidR="0050520D" w:rsidRDefault="0050520D" w:rsidP="00AA2347">
            <w:pPr>
              <w:spacing w:after="0"/>
              <w:jc w:val="right"/>
              <w:rPr>
                <w:rFonts w:ascii="Arial" w:eastAsia="Times New Roman" w:hAnsi="Arial" w:cs="Arial"/>
                <w:bCs/>
                <w:sz w:val="24"/>
                <w:szCs w:val="24"/>
              </w:rPr>
            </w:pPr>
            <w:r>
              <w:rPr>
                <w:rFonts w:ascii="Arial" w:eastAsia="Times New Roman" w:hAnsi="Arial" w:cs="Arial"/>
                <w:bCs/>
                <w:sz w:val="24"/>
                <w:szCs w:val="24"/>
              </w:rPr>
              <w:t>(</w:t>
            </w:r>
            <w:r w:rsidR="001E27FA">
              <w:rPr>
                <w:rFonts w:ascii="Arial" w:eastAsia="Times New Roman" w:hAnsi="Arial" w:cs="Arial"/>
                <w:bCs/>
                <w:sz w:val="24"/>
                <w:szCs w:val="24"/>
              </w:rPr>
              <w:t>1</w:t>
            </w:r>
            <w:r w:rsidR="00FB0466">
              <w:rPr>
                <w:rFonts w:ascii="Arial" w:eastAsia="Times New Roman" w:hAnsi="Arial" w:cs="Arial"/>
                <w:bCs/>
                <w:sz w:val="24"/>
                <w:szCs w:val="24"/>
              </w:rPr>
              <w:t>.</w:t>
            </w:r>
            <w:r w:rsidR="001E27FA">
              <w:rPr>
                <w:rFonts w:ascii="Arial" w:eastAsia="Times New Roman" w:hAnsi="Arial" w:cs="Arial"/>
                <w:bCs/>
                <w:sz w:val="24"/>
                <w:szCs w:val="24"/>
              </w:rPr>
              <w:t>46</w:t>
            </w:r>
            <w:r>
              <w:rPr>
                <w:rFonts w:ascii="Arial" w:eastAsia="Times New Roman" w:hAnsi="Arial" w:cs="Arial"/>
                <w:bCs/>
                <w:sz w:val="24"/>
                <w:szCs w:val="24"/>
              </w:rPr>
              <w:t>)</w:t>
            </w:r>
          </w:p>
        </w:tc>
        <w:tc>
          <w:tcPr>
            <w:tcW w:w="1559" w:type="dxa"/>
            <w:tcBorders>
              <w:top w:val="single" w:sz="4" w:space="0" w:color="auto"/>
            </w:tcBorders>
            <w:shd w:val="clear" w:color="auto" w:fill="D9D9D9"/>
          </w:tcPr>
          <w:p w14:paraId="1242B461" w14:textId="77777777" w:rsidR="0050520D" w:rsidRDefault="001E27FA" w:rsidP="00AA2347">
            <w:pPr>
              <w:spacing w:after="0"/>
              <w:jc w:val="right"/>
              <w:rPr>
                <w:rFonts w:ascii="Arial" w:eastAsia="Times New Roman" w:hAnsi="Arial" w:cs="Arial"/>
                <w:bCs/>
                <w:sz w:val="24"/>
                <w:szCs w:val="24"/>
              </w:rPr>
            </w:pPr>
            <w:r>
              <w:rPr>
                <w:rFonts w:ascii="Arial" w:eastAsia="Times New Roman" w:hAnsi="Arial" w:cs="Arial"/>
                <w:bCs/>
                <w:sz w:val="24"/>
                <w:szCs w:val="24"/>
              </w:rPr>
              <w:t>(3.65)</w:t>
            </w:r>
          </w:p>
        </w:tc>
      </w:tr>
    </w:tbl>
    <w:p w14:paraId="6246667C" w14:textId="77777777" w:rsidR="008F749A" w:rsidRPr="003745C6" w:rsidRDefault="00291777" w:rsidP="005B4A0B">
      <w:pPr>
        <w:pStyle w:val="Heading1"/>
        <w:rPr>
          <w:rFonts w:ascii="Arial" w:hAnsi="Arial" w:cs="Arial"/>
          <w:color w:val="auto"/>
        </w:rPr>
      </w:pPr>
      <w:bookmarkStart w:id="45" w:name="_Toc115768678"/>
      <w:r w:rsidRPr="003745C6">
        <w:rPr>
          <w:rFonts w:ascii="Arial" w:hAnsi="Arial" w:cs="Arial"/>
          <w:color w:val="auto"/>
        </w:rPr>
        <w:t>Other Items</w:t>
      </w:r>
      <w:bookmarkEnd w:id="45"/>
      <w:r w:rsidR="00520C6E">
        <w:rPr>
          <w:rFonts w:ascii="Arial" w:hAnsi="Arial" w:cs="Arial"/>
          <w:color w:val="auto"/>
        </w:rPr>
        <w:br/>
      </w:r>
    </w:p>
    <w:p w14:paraId="41D6898D" w14:textId="77777777" w:rsidR="00291777" w:rsidRPr="00E1158E" w:rsidRDefault="00291777" w:rsidP="003C1688">
      <w:pPr>
        <w:rPr>
          <w:rFonts w:ascii="Arial" w:hAnsi="Arial" w:cs="Arial"/>
          <w:bCs/>
          <w:sz w:val="24"/>
          <w:szCs w:val="24"/>
        </w:rPr>
      </w:pPr>
      <w:r w:rsidRPr="00E1158E">
        <w:rPr>
          <w:rFonts w:ascii="Arial" w:hAnsi="Arial" w:cs="Arial"/>
          <w:bCs/>
          <w:sz w:val="24"/>
          <w:szCs w:val="24"/>
        </w:rPr>
        <w:t xml:space="preserve">There are </w:t>
      </w:r>
      <w:r w:rsidR="00E75A46" w:rsidRPr="00E1158E">
        <w:rPr>
          <w:rFonts w:ascii="Arial" w:hAnsi="Arial" w:cs="Arial"/>
          <w:bCs/>
          <w:sz w:val="24"/>
          <w:szCs w:val="24"/>
        </w:rPr>
        <w:t>several</w:t>
      </w:r>
      <w:r w:rsidRPr="00E1158E">
        <w:rPr>
          <w:rFonts w:ascii="Arial" w:hAnsi="Arial" w:cs="Arial"/>
          <w:bCs/>
          <w:sz w:val="24"/>
          <w:szCs w:val="24"/>
        </w:rPr>
        <w:t xml:space="preserve"> additional items that the </w:t>
      </w:r>
      <w:r w:rsidR="008E75BB" w:rsidRPr="00E1158E">
        <w:rPr>
          <w:rFonts w:ascii="Arial" w:hAnsi="Arial" w:cs="Arial"/>
          <w:bCs/>
          <w:sz w:val="24"/>
          <w:szCs w:val="24"/>
        </w:rPr>
        <w:t>Council</w:t>
      </w:r>
      <w:r w:rsidRPr="00E1158E">
        <w:rPr>
          <w:rFonts w:ascii="Arial" w:hAnsi="Arial" w:cs="Arial"/>
          <w:bCs/>
          <w:sz w:val="24"/>
          <w:szCs w:val="24"/>
        </w:rPr>
        <w:t xml:space="preserve"> is obliged by CIPFA or </w:t>
      </w:r>
      <w:r w:rsidR="002538DB">
        <w:rPr>
          <w:rFonts w:ascii="Arial" w:hAnsi="Arial" w:cs="Arial"/>
          <w:bCs/>
          <w:sz w:val="24"/>
          <w:szCs w:val="24"/>
        </w:rPr>
        <w:t>DLUHC</w:t>
      </w:r>
      <w:r w:rsidRPr="00E1158E">
        <w:rPr>
          <w:rFonts w:ascii="Arial" w:hAnsi="Arial" w:cs="Arial"/>
          <w:bCs/>
          <w:sz w:val="24"/>
          <w:szCs w:val="24"/>
        </w:rPr>
        <w:t xml:space="preserve"> to include in its Treasury Management Strategy.</w:t>
      </w:r>
    </w:p>
    <w:p w14:paraId="5E67AC47" w14:textId="77777777" w:rsidR="004C7804" w:rsidRPr="003745C6" w:rsidRDefault="00D10480" w:rsidP="00FE63B7">
      <w:pPr>
        <w:pStyle w:val="Heading2"/>
        <w:rPr>
          <w:rFonts w:ascii="Arial" w:hAnsi="Arial" w:cs="Arial"/>
          <w:color w:val="auto"/>
        </w:rPr>
      </w:pPr>
      <w:bookmarkStart w:id="46" w:name="_Toc115768679"/>
      <w:r w:rsidRPr="003745C6">
        <w:rPr>
          <w:rFonts w:ascii="Arial" w:hAnsi="Arial" w:cs="Arial"/>
          <w:color w:val="auto"/>
        </w:rPr>
        <w:t>Policy on Use of Financial Derivatives</w:t>
      </w:r>
      <w:bookmarkEnd w:id="46"/>
    </w:p>
    <w:p w14:paraId="4A4919A0" w14:textId="77777777" w:rsidR="0085488C" w:rsidRPr="00E1158E" w:rsidRDefault="0085488C" w:rsidP="003C1688">
      <w:pPr>
        <w:pBdr>
          <w:top w:val="single" w:sz="4" w:space="1" w:color="auto"/>
          <w:left w:val="single" w:sz="4" w:space="4" w:color="auto"/>
          <w:bottom w:val="single" w:sz="4" w:space="1" w:color="auto"/>
          <w:right w:val="single" w:sz="4" w:space="4" w:color="auto"/>
        </w:pBdr>
        <w:shd w:val="clear" w:color="auto" w:fill="D9D9D9"/>
        <w:rPr>
          <w:rFonts w:ascii="Arial" w:hAnsi="Arial" w:cs="Arial"/>
          <w:bCs/>
          <w:sz w:val="24"/>
          <w:szCs w:val="24"/>
        </w:rPr>
      </w:pPr>
      <w:r w:rsidRPr="00E1158E">
        <w:rPr>
          <w:rFonts w:ascii="Arial" w:hAnsi="Arial" w:cs="Arial"/>
          <w:bCs/>
          <w:sz w:val="24"/>
          <w:szCs w:val="24"/>
        </w:rPr>
        <w:t xml:space="preserve">The Council will only use standalone financial derivatives (such as swaps, forwards, </w:t>
      </w:r>
      <w:proofErr w:type="gramStart"/>
      <w:r w:rsidRPr="00E1158E">
        <w:rPr>
          <w:rFonts w:ascii="Arial" w:hAnsi="Arial" w:cs="Arial"/>
          <w:bCs/>
          <w:sz w:val="24"/>
          <w:szCs w:val="24"/>
        </w:rPr>
        <w:t>futures</w:t>
      </w:r>
      <w:proofErr w:type="gramEnd"/>
      <w:r w:rsidRPr="00E1158E">
        <w:rPr>
          <w:rFonts w:ascii="Arial" w:hAnsi="Arial" w:cs="Arial"/>
          <w:bCs/>
          <w:sz w:val="24"/>
          <w:szCs w:val="24"/>
        </w:rPr>
        <w:t xml:space="preserve"> and options) where they can be clearly demonstrated to reduce the overall level of the financial risks that the Council is exposed to. </w:t>
      </w:r>
    </w:p>
    <w:p w14:paraId="7168F64C" w14:textId="77777777" w:rsidR="003C166F" w:rsidRPr="00E1158E" w:rsidRDefault="003B5A1A" w:rsidP="003C1688">
      <w:pPr>
        <w:rPr>
          <w:rFonts w:ascii="Arial" w:hAnsi="Arial" w:cs="Arial"/>
          <w:sz w:val="24"/>
          <w:szCs w:val="24"/>
        </w:rPr>
      </w:pPr>
      <w:r w:rsidRPr="00E1158E">
        <w:rPr>
          <w:rFonts w:ascii="Arial" w:hAnsi="Arial" w:cs="Arial"/>
          <w:bCs/>
          <w:sz w:val="24"/>
          <w:szCs w:val="24"/>
        </w:rPr>
        <w:t>Local authorities have previously made use of financial derivatives embedded into loans and investments both to reduce interest rate risk (</w:t>
      </w:r>
      <w:proofErr w:type="gramStart"/>
      <w:r w:rsidRPr="00E1158E">
        <w:rPr>
          <w:rFonts w:ascii="Arial" w:hAnsi="Arial" w:cs="Arial"/>
          <w:bCs/>
          <w:sz w:val="24"/>
          <w:szCs w:val="24"/>
        </w:rPr>
        <w:t>e.g.</w:t>
      </w:r>
      <w:proofErr w:type="gramEnd"/>
      <w:r w:rsidRPr="00E1158E">
        <w:rPr>
          <w:rFonts w:ascii="Arial" w:hAnsi="Arial" w:cs="Arial"/>
          <w:bCs/>
          <w:sz w:val="24"/>
          <w:szCs w:val="24"/>
        </w:rPr>
        <w:t xml:space="preserve"> interest rate collars and forward deals) and to reduce costs or increase income at the expense of greater risk (e.g. LOBO loans and callable deposits).  The general power of competence in Section 1 of the </w:t>
      </w:r>
      <w:r w:rsidRPr="00E1158E">
        <w:rPr>
          <w:rFonts w:ascii="Arial" w:hAnsi="Arial" w:cs="Arial"/>
          <w:bCs/>
          <w:i/>
          <w:sz w:val="24"/>
          <w:szCs w:val="24"/>
        </w:rPr>
        <w:t>Localism Act 2011</w:t>
      </w:r>
      <w:r w:rsidRPr="00E1158E">
        <w:rPr>
          <w:rFonts w:ascii="Arial" w:hAnsi="Arial" w:cs="Arial"/>
          <w:bCs/>
          <w:sz w:val="24"/>
          <w:szCs w:val="24"/>
        </w:rPr>
        <w:t xml:space="preserve"> removes much of the uncertainty over local authorities’ use of </w:t>
      </w:r>
      <w:r w:rsidRPr="00E1158E">
        <w:rPr>
          <w:rFonts w:ascii="Arial" w:hAnsi="Arial" w:cs="Arial"/>
          <w:bCs/>
          <w:sz w:val="24"/>
          <w:szCs w:val="24"/>
        </w:rPr>
        <w:lastRenderedPageBreak/>
        <w:t>standalone financial derivatives (</w:t>
      </w:r>
      <w:proofErr w:type="gramStart"/>
      <w:r w:rsidRPr="00E1158E">
        <w:rPr>
          <w:rFonts w:ascii="Arial" w:hAnsi="Arial" w:cs="Arial"/>
          <w:bCs/>
          <w:sz w:val="24"/>
          <w:szCs w:val="24"/>
        </w:rPr>
        <w:t>i.e.</w:t>
      </w:r>
      <w:proofErr w:type="gramEnd"/>
      <w:r w:rsidRPr="00E1158E">
        <w:rPr>
          <w:rFonts w:ascii="Arial" w:hAnsi="Arial" w:cs="Arial"/>
          <w:bCs/>
          <w:sz w:val="24"/>
          <w:szCs w:val="24"/>
        </w:rPr>
        <w:t xml:space="preserve"> those that are not embedded into a loan or investment). </w:t>
      </w:r>
    </w:p>
    <w:p w14:paraId="62BDC661" w14:textId="77777777" w:rsidR="003B5A1A" w:rsidRPr="00E1158E" w:rsidRDefault="003B5A1A" w:rsidP="003C1688">
      <w:pPr>
        <w:rPr>
          <w:rFonts w:ascii="Arial" w:hAnsi="Arial" w:cs="Arial"/>
          <w:bCs/>
          <w:sz w:val="24"/>
          <w:szCs w:val="24"/>
        </w:rPr>
      </w:pPr>
      <w:r w:rsidRPr="00E1158E">
        <w:rPr>
          <w:rFonts w:ascii="Arial" w:hAnsi="Arial" w:cs="Arial"/>
          <w:bCs/>
          <w:sz w:val="24"/>
          <w:szCs w:val="24"/>
        </w:rPr>
        <w:t xml:space="preserve">Additional risks presented, such as credit exposure to derivative counterparties, will be </w:t>
      </w:r>
      <w:proofErr w:type="gramStart"/>
      <w:r w:rsidRPr="00E1158E">
        <w:rPr>
          <w:rFonts w:ascii="Arial" w:hAnsi="Arial" w:cs="Arial"/>
          <w:bCs/>
          <w:sz w:val="24"/>
          <w:szCs w:val="24"/>
        </w:rPr>
        <w:t>taken into account</w:t>
      </w:r>
      <w:proofErr w:type="gramEnd"/>
      <w:r w:rsidRPr="00E1158E">
        <w:rPr>
          <w:rFonts w:ascii="Arial" w:hAnsi="Arial" w:cs="Arial"/>
          <w:bCs/>
          <w:sz w:val="24"/>
          <w:szCs w:val="24"/>
        </w:rPr>
        <w:t xml:space="preserve"> when determining the overall level of risk. Embedded derivatives</w:t>
      </w:r>
      <w:r w:rsidR="00421F9E" w:rsidRPr="00E1158E">
        <w:rPr>
          <w:rFonts w:ascii="Arial" w:hAnsi="Arial" w:cs="Arial"/>
          <w:bCs/>
          <w:sz w:val="24"/>
          <w:szCs w:val="24"/>
        </w:rPr>
        <w:t>, including those present in pooled funds</w:t>
      </w:r>
      <w:r w:rsidR="00A0283A" w:rsidRPr="00E1158E">
        <w:rPr>
          <w:rFonts w:ascii="Arial" w:hAnsi="Arial" w:cs="Arial"/>
          <w:bCs/>
          <w:sz w:val="24"/>
          <w:szCs w:val="24"/>
        </w:rPr>
        <w:t xml:space="preserve"> and forward starting transactions</w:t>
      </w:r>
      <w:r w:rsidR="00421F9E" w:rsidRPr="00E1158E">
        <w:rPr>
          <w:rFonts w:ascii="Arial" w:hAnsi="Arial" w:cs="Arial"/>
          <w:bCs/>
          <w:sz w:val="24"/>
          <w:szCs w:val="24"/>
        </w:rPr>
        <w:t>,</w:t>
      </w:r>
      <w:r w:rsidRPr="00E1158E">
        <w:rPr>
          <w:rFonts w:ascii="Arial" w:hAnsi="Arial" w:cs="Arial"/>
          <w:bCs/>
          <w:sz w:val="24"/>
          <w:szCs w:val="24"/>
        </w:rPr>
        <w:t xml:space="preserve"> will not be subject to this policy, although the risks they present will be managed in line with the overall treasury risk management strategy.</w:t>
      </w:r>
    </w:p>
    <w:p w14:paraId="25707259" w14:textId="77777777" w:rsidR="00B52E5E" w:rsidRDefault="00F6563A" w:rsidP="003745C6">
      <w:pPr>
        <w:rPr>
          <w:rFonts w:ascii="Arial" w:hAnsi="Arial" w:cs="Arial"/>
          <w:bCs/>
          <w:sz w:val="24"/>
          <w:szCs w:val="24"/>
        </w:rPr>
      </w:pPr>
      <w:r w:rsidRPr="00F6563A">
        <w:rPr>
          <w:rFonts w:ascii="Arial" w:hAnsi="Arial" w:cs="Arial"/>
          <w:bCs/>
          <w:sz w:val="24"/>
          <w:szCs w:val="24"/>
        </w:rPr>
        <w:t xml:space="preserve">Financial derivative transactions may be arranged with any organisation that meets the approved investment </w:t>
      </w:r>
      <w:r w:rsidR="007D5647" w:rsidRPr="00F6563A">
        <w:rPr>
          <w:rFonts w:ascii="Arial" w:hAnsi="Arial" w:cs="Arial"/>
          <w:bCs/>
          <w:sz w:val="24"/>
          <w:szCs w:val="24"/>
        </w:rPr>
        <w:t>criteria</w:t>
      </w:r>
      <w:r w:rsidRPr="00F6563A">
        <w:rPr>
          <w:rFonts w:ascii="Arial" w:hAnsi="Arial" w:cs="Arial"/>
          <w:bCs/>
          <w:sz w:val="24"/>
          <w:szCs w:val="24"/>
        </w:rPr>
        <w:t xml:space="preserve"> assessed using the appropriate credit rating for derivative exposures. An allowance for credit risk calculated using the methodology in the Treasury Management Practices document will count against the counterparty credit limit and the relevant foreign country limit.</w:t>
      </w:r>
    </w:p>
    <w:p w14:paraId="65DF8484" w14:textId="77777777" w:rsidR="00B52E5E" w:rsidRDefault="00B52E5E" w:rsidP="003745C6">
      <w:pPr>
        <w:rPr>
          <w:rFonts w:ascii="Arial" w:hAnsi="Arial" w:cs="Arial"/>
          <w:bCs/>
          <w:sz w:val="24"/>
          <w:szCs w:val="24"/>
        </w:rPr>
      </w:pPr>
      <w:r w:rsidRPr="00B52E5E">
        <w:rPr>
          <w:rFonts w:ascii="Arial" w:hAnsi="Arial" w:cs="Arial"/>
          <w:bCs/>
          <w:sz w:val="24"/>
          <w:szCs w:val="24"/>
        </w:rPr>
        <w:t xml:space="preserve">In line with the CIPFA Code, the Authority will seek external advice and will consider that advice before </w:t>
      </w:r>
      <w:r w:rsidR="006A1C0A">
        <w:rPr>
          <w:rFonts w:ascii="Arial" w:hAnsi="Arial" w:cs="Arial"/>
          <w:bCs/>
          <w:sz w:val="24"/>
          <w:szCs w:val="24"/>
        </w:rPr>
        <w:t xml:space="preserve">entering any </w:t>
      </w:r>
      <w:r w:rsidRPr="00B52E5E">
        <w:rPr>
          <w:rFonts w:ascii="Arial" w:hAnsi="Arial" w:cs="Arial"/>
          <w:bCs/>
          <w:sz w:val="24"/>
          <w:szCs w:val="24"/>
        </w:rPr>
        <w:t>financial derivatives to ensure that it fully understands the implications.</w:t>
      </w:r>
    </w:p>
    <w:p w14:paraId="4AEBA108" w14:textId="77777777" w:rsidR="00BE74DC" w:rsidRDefault="00BE74DC" w:rsidP="003745C6">
      <w:pPr>
        <w:rPr>
          <w:rFonts w:ascii="Arial" w:hAnsi="Arial" w:cs="Arial"/>
          <w:bCs/>
          <w:sz w:val="24"/>
          <w:szCs w:val="24"/>
        </w:rPr>
      </w:pPr>
      <w:r w:rsidRPr="00EA768C">
        <w:rPr>
          <w:rFonts w:ascii="Arial" w:eastAsia="Times New Roman" w:hAnsi="Arial" w:cs="Arial"/>
          <w:b/>
          <w:bCs/>
          <w:iCs/>
          <w:sz w:val="24"/>
          <w:szCs w:val="28"/>
        </w:rPr>
        <w:t>Markets in Financial Instruments Directive</w:t>
      </w:r>
      <w:r w:rsidR="003B4D68">
        <w:rPr>
          <w:rFonts w:ascii="Arial" w:eastAsia="Times New Roman" w:hAnsi="Arial" w:cs="Arial"/>
          <w:b/>
          <w:bCs/>
          <w:iCs/>
          <w:sz w:val="24"/>
          <w:szCs w:val="28"/>
        </w:rPr>
        <w:t xml:space="preserve"> II</w:t>
      </w:r>
      <w:r w:rsidRPr="00BE74DC">
        <w:rPr>
          <w:rFonts w:ascii="Arial" w:hAnsi="Arial" w:cs="Arial"/>
          <w:bCs/>
          <w:sz w:val="24"/>
          <w:szCs w:val="24"/>
        </w:rPr>
        <w:t xml:space="preserve"> </w:t>
      </w:r>
    </w:p>
    <w:p w14:paraId="4C8D8B05" w14:textId="77777777" w:rsidR="00BE74DC" w:rsidRPr="003745C6" w:rsidRDefault="00BE74DC" w:rsidP="003745C6">
      <w:pPr>
        <w:rPr>
          <w:rFonts w:ascii="Arial" w:hAnsi="Arial" w:cs="Arial"/>
          <w:bCs/>
          <w:sz w:val="24"/>
          <w:szCs w:val="24"/>
        </w:rPr>
      </w:pPr>
      <w:r>
        <w:rPr>
          <w:rFonts w:ascii="Arial" w:hAnsi="Arial" w:cs="Arial"/>
          <w:bCs/>
          <w:sz w:val="24"/>
          <w:szCs w:val="24"/>
        </w:rPr>
        <w:t xml:space="preserve">The Authority has </w:t>
      </w:r>
      <w:r w:rsidRPr="00BE74DC">
        <w:rPr>
          <w:rFonts w:ascii="Arial" w:hAnsi="Arial" w:cs="Arial"/>
          <w:bCs/>
          <w:sz w:val="24"/>
          <w:szCs w:val="24"/>
        </w:rPr>
        <w:t>opted up to professional client status with providers of financial services, including advisers, b</w:t>
      </w:r>
      <w:r>
        <w:rPr>
          <w:rFonts w:ascii="Arial" w:hAnsi="Arial" w:cs="Arial"/>
          <w:bCs/>
          <w:sz w:val="24"/>
          <w:szCs w:val="24"/>
        </w:rPr>
        <w:t xml:space="preserve">anks, </w:t>
      </w:r>
      <w:proofErr w:type="gramStart"/>
      <w:r>
        <w:rPr>
          <w:rFonts w:ascii="Arial" w:hAnsi="Arial" w:cs="Arial"/>
          <w:bCs/>
          <w:sz w:val="24"/>
          <w:szCs w:val="24"/>
        </w:rPr>
        <w:t>brokers</w:t>
      </w:r>
      <w:proofErr w:type="gramEnd"/>
      <w:r>
        <w:rPr>
          <w:rFonts w:ascii="Arial" w:hAnsi="Arial" w:cs="Arial"/>
          <w:bCs/>
          <w:sz w:val="24"/>
          <w:szCs w:val="24"/>
        </w:rPr>
        <w:t xml:space="preserve"> and fund managers</w:t>
      </w:r>
      <w:r w:rsidRPr="00BE74DC">
        <w:rPr>
          <w:rFonts w:ascii="Arial" w:hAnsi="Arial" w:cs="Arial"/>
          <w:bCs/>
          <w:sz w:val="24"/>
          <w:szCs w:val="24"/>
        </w:rPr>
        <w:t xml:space="preserve">, allowing it access to a greater range of services but </w:t>
      </w:r>
      <w:r>
        <w:rPr>
          <w:rFonts w:ascii="Arial" w:hAnsi="Arial" w:cs="Arial"/>
          <w:bCs/>
          <w:sz w:val="24"/>
          <w:szCs w:val="24"/>
        </w:rPr>
        <w:t>without</w:t>
      </w:r>
      <w:r w:rsidRPr="00BE74DC">
        <w:rPr>
          <w:rFonts w:ascii="Arial" w:hAnsi="Arial" w:cs="Arial"/>
          <w:bCs/>
          <w:sz w:val="24"/>
          <w:szCs w:val="24"/>
        </w:rPr>
        <w:t xml:space="preserve"> the greater regulatory protections afforded to individuals and small companies. Given the size and range of the Authority’s treas</w:t>
      </w:r>
      <w:r>
        <w:rPr>
          <w:rFonts w:ascii="Arial" w:hAnsi="Arial" w:cs="Arial"/>
          <w:bCs/>
          <w:sz w:val="24"/>
          <w:szCs w:val="24"/>
        </w:rPr>
        <w:t>ury management activities, the Director of Corporate Services</w:t>
      </w:r>
      <w:r w:rsidRPr="00BE74DC">
        <w:rPr>
          <w:rFonts w:ascii="Arial" w:hAnsi="Arial" w:cs="Arial"/>
          <w:bCs/>
          <w:sz w:val="24"/>
          <w:szCs w:val="24"/>
        </w:rPr>
        <w:t xml:space="preserve"> believes this to be </w:t>
      </w:r>
      <w:r w:rsidR="00FF65AB" w:rsidRPr="00BE74DC">
        <w:rPr>
          <w:rFonts w:ascii="Arial" w:hAnsi="Arial" w:cs="Arial"/>
          <w:bCs/>
          <w:sz w:val="24"/>
          <w:szCs w:val="24"/>
        </w:rPr>
        <w:t>appropriate</w:t>
      </w:r>
      <w:r w:rsidR="00FF65AB">
        <w:rPr>
          <w:rFonts w:ascii="Arial" w:hAnsi="Arial" w:cs="Arial"/>
          <w:bCs/>
          <w:sz w:val="24"/>
          <w:szCs w:val="24"/>
        </w:rPr>
        <w:t>. A</w:t>
      </w:r>
      <w:r w:rsidR="003B4D68">
        <w:rPr>
          <w:rFonts w:ascii="Arial" w:hAnsi="Arial" w:cs="Arial"/>
          <w:bCs/>
          <w:sz w:val="24"/>
          <w:szCs w:val="24"/>
        </w:rPr>
        <w:t xml:space="preserve"> list of counterparties who have accepted elective professional status of the Council is included in the Council’s treasury management practices.</w:t>
      </w:r>
    </w:p>
    <w:p w14:paraId="6D1B13DC" w14:textId="649E68AD" w:rsidR="00AA2347" w:rsidRDefault="00AA2347" w:rsidP="00FE63B7">
      <w:pPr>
        <w:pStyle w:val="Heading2"/>
        <w:rPr>
          <w:rFonts w:ascii="Arial" w:hAnsi="Arial" w:cs="Arial"/>
          <w:color w:val="auto"/>
        </w:rPr>
      </w:pPr>
      <w:bookmarkStart w:id="47" w:name="_Toc115768680"/>
      <w:r w:rsidRPr="003745C6">
        <w:rPr>
          <w:rFonts w:ascii="Arial" w:hAnsi="Arial" w:cs="Arial"/>
          <w:color w:val="auto"/>
        </w:rPr>
        <w:t>Investment of Money Borrowed in Advance of Need</w:t>
      </w:r>
      <w:bookmarkEnd w:id="47"/>
      <w:r w:rsidRPr="003745C6">
        <w:rPr>
          <w:rFonts w:ascii="Arial" w:hAnsi="Arial" w:cs="Arial"/>
          <w:color w:val="auto"/>
        </w:rPr>
        <w:t xml:space="preserve"> </w:t>
      </w:r>
    </w:p>
    <w:p w14:paraId="2C229E20" w14:textId="77777777" w:rsidR="000C34C9" w:rsidRPr="000C34C9" w:rsidRDefault="000C34C9" w:rsidP="000C34C9"/>
    <w:p w14:paraId="42D5BEFB" w14:textId="77777777" w:rsidR="00AA2347" w:rsidRPr="00E1158E" w:rsidRDefault="00AA2347" w:rsidP="00AA2347">
      <w:pPr>
        <w:pBdr>
          <w:top w:val="single" w:sz="4" w:space="1" w:color="auto"/>
          <w:left w:val="single" w:sz="4" w:space="4" w:color="auto"/>
          <w:bottom w:val="single" w:sz="4" w:space="1" w:color="auto"/>
          <w:right w:val="single" w:sz="4" w:space="4" w:color="auto"/>
        </w:pBdr>
        <w:shd w:val="clear" w:color="auto" w:fill="D9D9D9"/>
        <w:rPr>
          <w:rFonts w:ascii="Arial" w:hAnsi="Arial" w:cs="Arial"/>
          <w:bCs/>
          <w:sz w:val="24"/>
          <w:szCs w:val="24"/>
        </w:rPr>
      </w:pPr>
      <w:r w:rsidRPr="00E1158E">
        <w:rPr>
          <w:rFonts w:ascii="Arial" w:hAnsi="Arial" w:cs="Arial"/>
          <w:bCs/>
          <w:sz w:val="24"/>
          <w:szCs w:val="24"/>
        </w:rPr>
        <w:t xml:space="preserve">Although not envisaged at this stage, the Council may, exceptionally, borrow </w:t>
      </w:r>
      <w:r w:rsidR="00520C6E">
        <w:rPr>
          <w:rFonts w:ascii="Arial" w:hAnsi="Arial" w:cs="Arial"/>
          <w:bCs/>
          <w:sz w:val="24"/>
          <w:szCs w:val="24"/>
        </w:rPr>
        <w:t>to pre-fund future borrowing requirements</w:t>
      </w:r>
      <w:r w:rsidRPr="00E1158E">
        <w:rPr>
          <w:rFonts w:ascii="Arial" w:hAnsi="Arial" w:cs="Arial"/>
          <w:bCs/>
          <w:sz w:val="24"/>
          <w:szCs w:val="24"/>
        </w:rPr>
        <w:t xml:space="preserve">, where this is expected to provide the best long term value for money.  Any borrowing in advance of need </w:t>
      </w:r>
      <w:r w:rsidR="00520C6E">
        <w:rPr>
          <w:rFonts w:ascii="Arial" w:hAnsi="Arial" w:cs="Arial"/>
          <w:bCs/>
          <w:sz w:val="24"/>
          <w:szCs w:val="24"/>
        </w:rPr>
        <w:t>must</w:t>
      </w:r>
      <w:r w:rsidRPr="00E1158E">
        <w:rPr>
          <w:rFonts w:ascii="Arial" w:hAnsi="Arial" w:cs="Arial"/>
          <w:bCs/>
          <w:sz w:val="24"/>
          <w:szCs w:val="24"/>
        </w:rPr>
        <w:t xml:space="preserve"> comply with </w:t>
      </w:r>
      <w:r w:rsidR="002538DB">
        <w:rPr>
          <w:rFonts w:ascii="Arial" w:hAnsi="Arial" w:cs="Arial"/>
          <w:bCs/>
          <w:sz w:val="24"/>
          <w:szCs w:val="24"/>
        </w:rPr>
        <w:t>DLUHC</w:t>
      </w:r>
      <w:r w:rsidRPr="00E1158E">
        <w:rPr>
          <w:rFonts w:ascii="Arial" w:hAnsi="Arial" w:cs="Arial"/>
          <w:bCs/>
          <w:sz w:val="24"/>
          <w:szCs w:val="24"/>
        </w:rPr>
        <w:t xml:space="preserve"> Guidance</w:t>
      </w:r>
      <w:r w:rsidR="00520C6E">
        <w:rPr>
          <w:rFonts w:ascii="Arial" w:hAnsi="Arial" w:cs="Arial"/>
          <w:bCs/>
          <w:sz w:val="24"/>
          <w:szCs w:val="24"/>
        </w:rPr>
        <w:t>.</w:t>
      </w:r>
    </w:p>
    <w:p w14:paraId="1D0C77EE" w14:textId="77777777" w:rsidR="00AA2347" w:rsidRPr="00E1158E" w:rsidRDefault="00AA2347" w:rsidP="00AA2347">
      <w:pPr>
        <w:rPr>
          <w:rFonts w:ascii="Arial" w:hAnsi="Arial" w:cs="Arial"/>
          <w:bCs/>
          <w:sz w:val="24"/>
          <w:szCs w:val="24"/>
        </w:rPr>
      </w:pPr>
      <w:r w:rsidRPr="00E1158E">
        <w:rPr>
          <w:rFonts w:ascii="Arial" w:hAnsi="Arial" w:cs="Arial"/>
          <w:bCs/>
          <w:sz w:val="24"/>
          <w:szCs w:val="24"/>
        </w:rPr>
        <w:t>Since amounts borrowed will be invested until spent, the Council is aware that it will be exposed to the risk of loss of the borrowed sums, and the risk that investment and borrowing interest rates may change in the intervening period.  These risks will be managed as part of the Council’s overall management of its treasury risks.</w:t>
      </w:r>
    </w:p>
    <w:p w14:paraId="0261A9A6" w14:textId="77777777" w:rsidR="00AA2347" w:rsidRPr="00E1158E" w:rsidRDefault="00AA2347" w:rsidP="00AA2347">
      <w:pPr>
        <w:rPr>
          <w:rFonts w:ascii="Arial" w:hAnsi="Arial" w:cs="Arial"/>
          <w:bCs/>
          <w:sz w:val="24"/>
          <w:szCs w:val="24"/>
        </w:rPr>
      </w:pPr>
      <w:r w:rsidRPr="00E1158E">
        <w:rPr>
          <w:rFonts w:ascii="Arial" w:hAnsi="Arial" w:cs="Arial"/>
          <w:bCs/>
          <w:sz w:val="24"/>
          <w:szCs w:val="24"/>
        </w:rPr>
        <w:t xml:space="preserve">The total amount borrowed will not exceed the authorised borrowing limit as set out in table </w:t>
      </w:r>
      <w:r w:rsidR="009B2917">
        <w:rPr>
          <w:rFonts w:ascii="Arial" w:hAnsi="Arial" w:cs="Arial"/>
          <w:bCs/>
          <w:sz w:val="24"/>
          <w:szCs w:val="24"/>
        </w:rPr>
        <w:t>6</w:t>
      </w:r>
      <w:r w:rsidRPr="00E1158E">
        <w:rPr>
          <w:rFonts w:ascii="Arial" w:hAnsi="Arial" w:cs="Arial"/>
          <w:bCs/>
          <w:sz w:val="24"/>
          <w:szCs w:val="24"/>
        </w:rPr>
        <w:t>.  The maximum period between borrowing and expenditure is expected to be two years, although the Council is not required to link particular loans with particular items of expenditure.</w:t>
      </w:r>
    </w:p>
    <w:p w14:paraId="77B60404" w14:textId="77777777" w:rsidR="004C7804" w:rsidRPr="003745C6" w:rsidRDefault="00AA2347" w:rsidP="003C1688">
      <w:pPr>
        <w:pStyle w:val="Heading1"/>
        <w:rPr>
          <w:rFonts w:ascii="Arial" w:hAnsi="Arial" w:cs="Arial"/>
          <w:color w:val="auto"/>
        </w:rPr>
      </w:pPr>
      <w:bookmarkStart w:id="48" w:name="_Toc115768681"/>
      <w:r w:rsidRPr="003745C6">
        <w:rPr>
          <w:rFonts w:ascii="Arial" w:hAnsi="Arial" w:cs="Arial"/>
          <w:color w:val="auto"/>
        </w:rPr>
        <w:lastRenderedPageBreak/>
        <w:t>I</w:t>
      </w:r>
      <w:r w:rsidR="009F0773" w:rsidRPr="003745C6">
        <w:rPr>
          <w:rFonts w:ascii="Arial" w:hAnsi="Arial" w:cs="Arial"/>
          <w:color w:val="auto"/>
        </w:rPr>
        <w:t xml:space="preserve">nvestment </w:t>
      </w:r>
      <w:r w:rsidR="00D930E0" w:rsidRPr="003745C6">
        <w:rPr>
          <w:rFonts w:ascii="Arial" w:hAnsi="Arial" w:cs="Arial"/>
          <w:color w:val="auto"/>
        </w:rPr>
        <w:t>Training</w:t>
      </w:r>
      <w:bookmarkEnd w:id="48"/>
      <w:r w:rsidR="009F0773" w:rsidRPr="003745C6">
        <w:rPr>
          <w:rFonts w:ascii="Arial" w:hAnsi="Arial" w:cs="Arial"/>
          <w:color w:val="auto"/>
        </w:rPr>
        <w:t xml:space="preserve"> </w:t>
      </w:r>
      <w:r w:rsidR="000F696B">
        <w:rPr>
          <w:rFonts w:ascii="Arial" w:hAnsi="Arial" w:cs="Arial"/>
          <w:color w:val="auto"/>
        </w:rPr>
        <w:br/>
      </w:r>
    </w:p>
    <w:p w14:paraId="1CC50EEF" w14:textId="77777777" w:rsidR="0085488C" w:rsidRPr="00E1158E" w:rsidRDefault="000F696B" w:rsidP="000F696B">
      <w:pPr>
        <w:pBdr>
          <w:top w:val="single" w:sz="4" w:space="1" w:color="auto"/>
          <w:left w:val="single" w:sz="4" w:space="4" w:color="auto"/>
          <w:bottom w:val="single" w:sz="4" w:space="1" w:color="auto"/>
          <w:right w:val="single" w:sz="4" w:space="4" w:color="auto"/>
        </w:pBdr>
        <w:shd w:val="clear" w:color="auto" w:fill="D9D9D9"/>
        <w:rPr>
          <w:rFonts w:ascii="Arial" w:hAnsi="Arial" w:cs="Arial"/>
          <w:bCs/>
          <w:sz w:val="24"/>
          <w:szCs w:val="24"/>
        </w:rPr>
      </w:pPr>
      <w:r>
        <w:rPr>
          <w:rFonts w:ascii="Arial" w:hAnsi="Arial" w:cs="Arial"/>
          <w:bCs/>
          <w:sz w:val="24"/>
          <w:szCs w:val="24"/>
        </w:rPr>
        <w:t xml:space="preserve">The Council will </w:t>
      </w:r>
      <w:r w:rsidRPr="000F696B">
        <w:rPr>
          <w:rFonts w:ascii="Arial" w:hAnsi="Arial" w:cs="Arial"/>
          <w:bCs/>
          <w:sz w:val="24"/>
          <w:szCs w:val="24"/>
        </w:rPr>
        <w:t>critically assess the existing skills available to ensure robust decision making and effective ongoing</w:t>
      </w:r>
      <w:r>
        <w:rPr>
          <w:rFonts w:ascii="Arial" w:hAnsi="Arial" w:cs="Arial"/>
          <w:bCs/>
          <w:sz w:val="24"/>
          <w:szCs w:val="24"/>
        </w:rPr>
        <w:t xml:space="preserve"> </w:t>
      </w:r>
      <w:r w:rsidRPr="000F696B">
        <w:rPr>
          <w:rFonts w:ascii="Arial" w:hAnsi="Arial" w:cs="Arial"/>
          <w:bCs/>
          <w:sz w:val="24"/>
          <w:szCs w:val="24"/>
        </w:rPr>
        <w:t>management and monitoring</w:t>
      </w:r>
      <w:r w:rsidR="00AE24A9">
        <w:rPr>
          <w:rFonts w:ascii="Arial" w:hAnsi="Arial" w:cs="Arial"/>
          <w:bCs/>
          <w:sz w:val="24"/>
          <w:szCs w:val="24"/>
        </w:rPr>
        <w:t>, commensurate with the Authority’s risk appetite and investing activities</w:t>
      </w:r>
      <w:r w:rsidR="00F12252">
        <w:rPr>
          <w:rFonts w:ascii="Arial" w:hAnsi="Arial" w:cs="Arial"/>
          <w:bCs/>
          <w:sz w:val="24"/>
          <w:szCs w:val="24"/>
        </w:rPr>
        <w:t>.</w:t>
      </w:r>
    </w:p>
    <w:p w14:paraId="4EDAAC95" w14:textId="77777777" w:rsidR="004C7804" w:rsidRPr="00E1158E" w:rsidRDefault="004C7804" w:rsidP="003C1688">
      <w:pPr>
        <w:rPr>
          <w:rFonts w:ascii="Arial" w:hAnsi="Arial" w:cs="Arial"/>
          <w:bCs/>
          <w:sz w:val="24"/>
          <w:szCs w:val="24"/>
        </w:rPr>
      </w:pPr>
      <w:r w:rsidRPr="00E1158E">
        <w:rPr>
          <w:rFonts w:ascii="Arial" w:hAnsi="Arial" w:cs="Arial"/>
          <w:bCs/>
          <w:sz w:val="24"/>
          <w:szCs w:val="24"/>
        </w:rPr>
        <w:t xml:space="preserve">Member and officer training is essential </w:t>
      </w:r>
      <w:r w:rsidR="000F696B">
        <w:rPr>
          <w:rFonts w:ascii="Arial" w:hAnsi="Arial" w:cs="Arial"/>
          <w:bCs/>
          <w:sz w:val="24"/>
          <w:szCs w:val="24"/>
        </w:rPr>
        <w:t>to</w:t>
      </w:r>
      <w:r w:rsidRPr="00E1158E">
        <w:rPr>
          <w:rFonts w:ascii="Arial" w:hAnsi="Arial" w:cs="Arial"/>
          <w:bCs/>
          <w:sz w:val="24"/>
          <w:szCs w:val="24"/>
        </w:rPr>
        <w:t xml:space="preserve"> understanding roles, responsibilities</w:t>
      </w:r>
      <w:r w:rsidR="000F696B">
        <w:rPr>
          <w:rFonts w:ascii="Arial" w:hAnsi="Arial" w:cs="Arial"/>
          <w:bCs/>
          <w:sz w:val="24"/>
          <w:szCs w:val="24"/>
        </w:rPr>
        <w:t xml:space="preserve">, </w:t>
      </w:r>
      <w:r w:rsidRPr="00E1158E">
        <w:rPr>
          <w:rFonts w:ascii="Arial" w:hAnsi="Arial" w:cs="Arial"/>
          <w:bCs/>
          <w:sz w:val="24"/>
          <w:szCs w:val="24"/>
        </w:rPr>
        <w:t xml:space="preserve">keep up to date with changes and </w:t>
      </w:r>
      <w:r w:rsidR="000F696B">
        <w:rPr>
          <w:rFonts w:ascii="Arial" w:hAnsi="Arial" w:cs="Arial"/>
          <w:bCs/>
          <w:sz w:val="24"/>
          <w:szCs w:val="24"/>
        </w:rPr>
        <w:t>to</w:t>
      </w:r>
      <w:r w:rsidR="000411FB">
        <w:rPr>
          <w:rFonts w:ascii="Arial" w:hAnsi="Arial" w:cs="Arial"/>
          <w:bCs/>
          <w:sz w:val="24"/>
          <w:szCs w:val="24"/>
        </w:rPr>
        <w:t xml:space="preserve"> effe</w:t>
      </w:r>
      <w:r w:rsidR="000F696B">
        <w:rPr>
          <w:rFonts w:ascii="Arial" w:hAnsi="Arial" w:cs="Arial"/>
          <w:bCs/>
          <w:sz w:val="24"/>
          <w:szCs w:val="24"/>
        </w:rPr>
        <w:t>ctively plan, discharge and scrutinize Treasury activity.</w:t>
      </w:r>
    </w:p>
    <w:p w14:paraId="361BAE17" w14:textId="77777777" w:rsidR="004C7804" w:rsidRDefault="004C7804" w:rsidP="003C1688">
      <w:pPr>
        <w:rPr>
          <w:rFonts w:ascii="Arial" w:hAnsi="Arial" w:cs="Arial"/>
          <w:bCs/>
          <w:sz w:val="24"/>
          <w:szCs w:val="24"/>
        </w:rPr>
      </w:pPr>
      <w:r w:rsidRPr="00E1158E">
        <w:rPr>
          <w:rFonts w:ascii="Arial" w:hAnsi="Arial" w:cs="Arial"/>
          <w:bCs/>
          <w:sz w:val="24"/>
          <w:szCs w:val="24"/>
        </w:rPr>
        <w:t>The training needs of the officers involved on treasury management are identified through the annual performance and development appraisal process, and additionally when the responsibilities of individual members of staff change. Staff attend relevant training courses, seminars and conferences</w:t>
      </w:r>
      <w:r w:rsidR="000F696B">
        <w:rPr>
          <w:rFonts w:ascii="Arial" w:hAnsi="Arial" w:cs="Arial"/>
          <w:bCs/>
          <w:sz w:val="24"/>
          <w:szCs w:val="24"/>
        </w:rPr>
        <w:t xml:space="preserve"> as needed.</w:t>
      </w:r>
    </w:p>
    <w:p w14:paraId="5EF279A7" w14:textId="77777777" w:rsidR="000F696B" w:rsidRPr="00E1158E" w:rsidRDefault="000F696B" w:rsidP="003C1688">
      <w:pPr>
        <w:rPr>
          <w:rFonts w:ascii="Arial" w:hAnsi="Arial" w:cs="Arial"/>
          <w:bCs/>
          <w:sz w:val="24"/>
          <w:szCs w:val="24"/>
        </w:rPr>
      </w:pPr>
      <w:r>
        <w:rPr>
          <w:rFonts w:ascii="Arial" w:hAnsi="Arial" w:cs="Arial"/>
          <w:bCs/>
          <w:sz w:val="24"/>
          <w:szCs w:val="24"/>
        </w:rPr>
        <w:t>Training will be provided to members when requested and at a minimum annually and as part of Member induction.</w:t>
      </w:r>
    </w:p>
    <w:p w14:paraId="1731D895" w14:textId="77777777" w:rsidR="003C3211" w:rsidRPr="003745C6" w:rsidRDefault="009F0773" w:rsidP="003C1688">
      <w:pPr>
        <w:pStyle w:val="Heading2"/>
        <w:rPr>
          <w:rFonts w:ascii="Arial" w:hAnsi="Arial" w:cs="Arial"/>
          <w:color w:val="auto"/>
        </w:rPr>
      </w:pPr>
      <w:bookmarkStart w:id="49" w:name="_Toc115768682"/>
      <w:r w:rsidRPr="003745C6">
        <w:rPr>
          <w:rFonts w:ascii="Arial" w:hAnsi="Arial" w:cs="Arial"/>
          <w:color w:val="auto"/>
        </w:rPr>
        <w:t>Investment</w:t>
      </w:r>
      <w:r w:rsidR="00AB44DD" w:rsidRPr="003745C6">
        <w:rPr>
          <w:rFonts w:ascii="Arial" w:hAnsi="Arial" w:cs="Arial"/>
          <w:color w:val="auto"/>
        </w:rPr>
        <w:t xml:space="preserve"> </w:t>
      </w:r>
      <w:r w:rsidR="00D930E0" w:rsidRPr="003745C6">
        <w:rPr>
          <w:rFonts w:ascii="Arial" w:hAnsi="Arial" w:cs="Arial"/>
          <w:color w:val="auto"/>
        </w:rPr>
        <w:t>Advis</w:t>
      </w:r>
      <w:r w:rsidR="008D3CCA" w:rsidRPr="003745C6">
        <w:rPr>
          <w:rFonts w:ascii="Arial" w:hAnsi="Arial" w:cs="Arial"/>
          <w:color w:val="auto"/>
        </w:rPr>
        <w:t>e</w:t>
      </w:r>
      <w:r w:rsidR="00D930E0" w:rsidRPr="003745C6">
        <w:rPr>
          <w:rFonts w:ascii="Arial" w:hAnsi="Arial" w:cs="Arial"/>
          <w:color w:val="auto"/>
        </w:rPr>
        <w:t>rs</w:t>
      </w:r>
      <w:bookmarkEnd w:id="49"/>
    </w:p>
    <w:p w14:paraId="6E4E8898" w14:textId="77777777" w:rsidR="003C3211" w:rsidRPr="00E1158E" w:rsidRDefault="003C3211" w:rsidP="003C1688">
      <w:pPr>
        <w:rPr>
          <w:rFonts w:ascii="Arial" w:hAnsi="Arial" w:cs="Arial"/>
          <w:bCs/>
          <w:sz w:val="24"/>
          <w:szCs w:val="24"/>
        </w:rPr>
      </w:pPr>
      <w:r w:rsidRPr="00E1158E">
        <w:rPr>
          <w:rFonts w:ascii="Arial" w:hAnsi="Arial" w:cs="Arial"/>
          <w:bCs/>
          <w:sz w:val="24"/>
          <w:szCs w:val="24"/>
        </w:rPr>
        <w:t>The Council</w:t>
      </w:r>
      <w:r w:rsidR="00E75A46">
        <w:rPr>
          <w:rFonts w:ascii="Arial" w:hAnsi="Arial" w:cs="Arial"/>
          <w:bCs/>
          <w:sz w:val="24"/>
          <w:szCs w:val="24"/>
        </w:rPr>
        <w:t xml:space="preserve">’s treasury advisor is </w:t>
      </w:r>
      <w:r w:rsidRPr="00E1158E">
        <w:rPr>
          <w:rFonts w:ascii="Arial" w:hAnsi="Arial" w:cs="Arial"/>
          <w:bCs/>
          <w:sz w:val="24"/>
          <w:szCs w:val="24"/>
        </w:rPr>
        <w:t>Arlingclose Limited</w:t>
      </w:r>
      <w:r w:rsidR="00E75A46">
        <w:rPr>
          <w:rFonts w:ascii="Arial" w:hAnsi="Arial" w:cs="Arial"/>
          <w:bCs/>
          <w:sz w:val="24"/>
          <w:szCs w:val="24"/>
        </w:rPr>
        <w:t xml:space="preserve"> </w:t>
      </w:r>
      <w:r w:rsidRPr="00E1158E">
        <w:rPr>
          <w:rFonts w:ascii="Arial" w:hAnsi="Arial" w:cs="Arial"/>
          <w:bCs/>
          <w:sz w:val="24"/>
          <w:szCs w:val="24"/>
        </w:rPr>
        <w:t xml:space="preserve">and receives specific advice on investment, </w:t>
      </w:r>
      <w:proofErr w:type="gramStart"/>
      <w:r w:rsidRPr="00E1158E">
        <w:rPr>
          <w:rFonts w:ascii="Arial" w:hAnsi="Arial" w:cs="Arial"/>
          <w:bCs/>
          <w:sz w:val="24"/>
          <w:szCs w:val="24"/>
        </w:rPr>
        <w:t>debt</w:t>
      </w:r>
      <w:proofErr w:type="gramEnd"/>
      <w:r w:rsidRPr="00E1158E">
        <w:rPr>
          <w:rFonts w:ascii="Arial" w:hAnsi="Arial" w:cs="Arial"/>
          <w:bCs/>
          <w:sz w:val="24"/>
          <w:szCs w:val="24"/>
        </w:rPr>
        <w:t xml:space="preserve"> and capital finance issues. </w:t>
      </w:r>
      <w:r w:rsidR="00E75A46">
        <w:rPr>
          <w:rFonts w:ascii="Arial" w:hAnsi="Arial" w:cs="Arial"/>
          <w:bCs/>
          <w:sz w:val="24"/>
          <w:szCs w:val="24"/>
        </w:rPr>
        <w:t>R</w:t>
      </w:r>
      <w:r w:rsidRPr="00E1158E">
        <w:rPr>
          <w:rFonts w:ascii="Arial" w:hAnsi="Arial" w:cs="Arial"/>
          <w:bCs/>
          <w:sz w:val="24"/>
          <w:szCs w:val="24"/>
        </w:rPr>
        <w:t>esponsibility for final decision making remains with the Council and its officers.</w:t>
      </w:r>
      <w:r w:rsidR="004A45A7" w:rsidRPr="00E1158E">
        <w:rPr>
          <w:rFonts w:ascii="Arial" w:hAnsi="Arial" w:cs="Arial"/>
          <w:bCs/>
          <w:sz w:val="24"/>
          <w:szCs w:val="24"/>
        </w:rPr>
        <w:t xml:space="preserve"> </w:t>
      </w:r>
    </w:p>
    <w:p w14:paraId="55DB1F76" w14:textId="77777777" w:rsidR="00D930E0" w:rsidRPr="00E1158E" w:rsidRDefault="003C3211" w:rsidP="003C1688">
      <w:pPr>
        <w:rPr>
          <w:rFonts w:ascii="Arial" w:hAnsi="Arial" w:cs="Arial"/>
          <w:bCs/>
          <w:sz w:val="24"/>
          <w:szCs w:val="24"/>
        </w:rPr>
      </w:pPr>
      <w:r w:rsidRPr="00E1158E">
        <w:rPr>
          <w:rFonts w:ascii="Arial" w:hAnsi="Arial" w:cs="Arial"/>
          <w:bCs/>
          <w:sz w:val="24"/>
          <w:szCs w:val="24"/>
        </w:rPr>
        <w:t xml:space="preserve">The quality of this service is controlled and monitored against the contract by the </w:t>
      </w:r>
      <w:r w:rsidR="006C2B3A" w:rsidRPr="00E1158E">
        <w:rPr>
          <w:rFonts w:ascii="Arial" w:hAnsi="Arial" w:cs="Arial"/>
          <w:bCs/>
          <w:sz w:val="24"/>
          <w:szCs w:val="24"/>
        </w:rPr>
        <w:t xml:space="preserve">Financial Services Divisional </w:t>
      </w:r>
      <w:r w:rsidRPr="00E1158E">
        <w:rPr>
          <w:rFonts w:ascii="Arial" w:hAnsi="Arial" w:cs="Arial"/>
          <w:bCs/>
          <w:sz w:val="24"/>
          <w:szCs w:val="24"/>
        </w:rPr>
        <w:t>Manager</w:t>
      </w:r>
      <w:r w:rsidR="004A45A7" w:rsidRPr="00E1158E">
        <w:rPr>
          <w:rFonts w:ascii="Arial" w:hAnsi="Arial" w:cs="Arial"/>
          <w:bCs/>
          <w:sz w:val="24"/>
          <w:szCs w:val="24"/>
        </w:rPr>
        <w:t>.</w:t>
      </w:r>
    </w:p>
    <w:p w14:paraId="5252CF9A" w14:textId="77777777" w:rsidR="00B20FA3" w:rsidRPr="003745C6" w:rsidRDefault="00B20FA3" w:rsidP="009C0A79">
      <w:pPr>
        <w:pStyle w:val="Heading1"/>
        <w:rPr>
          <w:rFonts w:ascii="Arial" w:hAnsi="Arial" w:cs="Arial"/>
          <w:color w:val="auto"/>
        </w:rPr>
      </w:pPr>
      <w:bookmarkStart w:id="50" w:name="_Toc115768683"/>
      <w:r w:rsidRPr="003745C6">
        <w:rPr>
          <w:rFonts w:ascii="Arial" w:hAnsi="Arial" w:cs="Arial"/>
          <w:color w:val="auto"/>
        </w:rPr>
        <w:t>Reporting</w:t>
      </w:r>
      <w:bookmarkEnd w:id="50"/>
    </w:p>
    <w:p w14:paraId="4DF329B3" w14:textId="77777777" w:rsidR="009C0A79" w:rsidRPr="003745C6" w:rsidRDefault="009C0A79" w:rsidP="009C0A79">
      <w:pPr>
        <w:pStyle w:val="Heading2"/>
        <w:rPr>
          <w:rFonts w:ascii="Arial" w:hAnsi="Arial" w:cs="Arial"/>
          <w:color w:val="auto"/>
        </w:rPr>
      </w:pPr>
      <w:bookmarkStart w:id="51" w:name="_Toc115768684"/>
      <w:r w:rsidRPr="003745C6">
        <w:rPr>
          <w:rFonts w:ascii="Arial" w:hAnsi="Arial" w:cs="Arial"/>
          <w:color w:val="auto"/>
        </w:rPr>
        <w:t>Treasury investments</w:t>
      </w:r>
      <w:bookmarkEnd w:id="51"/>
    </w:p>
    <w:p w14:paraId="0493A14E" w14:textId="77777777" w:rsidR="00B20FA3" w:rsidRPr="00E1158E" w:rsidRDefault="00B20FA3" w:rsidP="003C1688">
      <w:pPr>
        <w:rPr>
          <w:rFonts w:ascii="Arial" w:hAnsi="Arial" w:cs="Arial"/>
          <w:sz w:val="24"/>
          <w:szCs w:val="24"/>
        </w:rPr>
      </w:pPr>
      <w:r w:rsidRPr="00E1158E">
        <w:rPr>
          <w:rFonts w:ascii="Arial" w:hAnsi="Arial" w:cs="Arial"/>
          <w:sz w:val="24"/>
          <w:szCs w:val="24"/>
        </w:rPr>
        <w:t>The Council/Cabinet will receive as a minimum:</w:t>
      </w:r>
    </w:p>
    <w:p w14:paraId="2E9FE8AE" w14:textId="77777777" w:rsidR="00B20FA3" w:rsidRPr="00E1158E" w:rsidRDefault="00B20FA3" w:rsidP="00AA2347">
      <w:pPr>
        <w:numPr>
          <w:ilvl w:val="0"/>
          <w:numId w:val="4"/>
        </w:numPr>
        <w:spacing w:after="0"/>
        <w:ind w:left="360"/>
        <w:rPr>
          <w:rFonts w:ascii="Arial" w:hAnsi="Arial" w:cs="Arial"/>
          <w:sz w:val="24"/>
          <w:szCs w:val="24"/>
        </w:rPr>
      </w:pPr>
      <w:r w:rsidRPr="00E1158E">
        <w:rPr>
          <w:rFonts w:ascii="Arial" w:hAnsi="Arial" w:cs="Arial"/>
          <w:sz w:val="24"/>
          <w:szCs w:val="24"/>
        </w:rPr>
        <w:t>An annual report on the strategy and plan to be pursued in the coming year and on the need to review the requirements for changes to be made to the Treasury Management Strategy Statement.</w:t>
      </w:r>
    </w:p>
    <w:p w14:paraId="47AE2FA8" w14:textId="77777777" w:rsidR="00B20FA3" w:rsidRPr="00E1158E" w:rsidRDefault="00B20FA3" w:rsidP="00AA2347">
      <w:pPr>
        <w:numPr>
          <w:ilvl w:val="0"/>
          <w:numId w:val="4"/>
        </w:numPr>
        <w:spacing w:after="0"/>
        <w:ind w:left="360"/>
        <w:rPr>
          <w:rFonts w:ascii="Arial" w:hAnsi="Arial" w:cs="Arial"/>
          <w:sz w:val="24"/>
          <w:szCs w:val="24"/>
        </w:rPr>
      </w:pPr>
      <w:r w:rsidRPr="00E1158E">
        <w:rPr>
          <w:rFonts w:ascii="Arial" w:hAnsi="Arial" w:cs="Arial"/>
          <w:sz w:val="24"/>
          <w:szCs w:val="24"/>
        </w:rPr>
        <w:t xml:space="preserve">A mid-year </w:t>
      </w:r>
      <w:proofErr w:type="gramStart"/>
      <w:r w:rsidRPr="00E1158E">
        <w:rPr>
          <w:rFonts w:ascii="Arial" w:hAnsi="Arial" w:cs="Arial"/>
          <w:sz w:val="24"/>
          <w:szCs w:val="24"/>
        </w:rPr>
        <w:t>review</w:t>
      </w:r>
      <w:proofErr w:type="gramEnd"/>
      <w:r w:rsidR="00CB1BCB">
        <w:rPr>
          <w:rFonts w:ascii="Arial" w:hAnsi="Arial" w:cs="Arial"/>
          <w:sz w:val="24"/>
          <w:szCs w:val="24"/>
        </w:rPr>
        <w:t>.</w:t>
      </w:r>
    </w:p>
    <w:p w14:paraId="00670EB6" w14:textId="77777777" w:rsidR="00B20FA3" w:rsidRPr="00E1158E" w:rsidRDefault="00B20FA3" w:rsidP="00AA2347">
      <w:pPr>
        <w:numPr>
          <w:ilvl w:val="0"/>
          <w:numId w:val="4"/>
        </w:numPr>
        <w:spacing w:after="0"/>
        <w:ind w:left="360"/>
        <w:rPr>
          <w:rFonts w:ascii="Arial" w:hAnsi="Arial" w:cs="Arial"/>
          <w:sz w:val="24"/>
          <w:szCs w:val="24"/>
        </w:rPr>
      </w:pPr>
      <w:r w:rsidRPr="00E1158E">
        <w:rPr>
          <w:rFonts w:ascii="Arial" w:hAnsi="Arial" w:cs="Arial"/>
          <w:sz w:val="24"/>
          <w:szCs w:val="24"/>
        </w:rPr>
        <w:t>An annual report on the performance of the treasury management function, on the effects of decisions taken and the transactions executed in the past year, by 30th September in the next financial year, including any circumstances of non-compliance with the organisation’s treasury management policy statement and Treasury Management Practices.</w:t>
      </w:r>
      <w:r w:rsidRPr="00E1158E">
        <w:rPr>
          <w:rFonts w:ascii="Arial" w:hAnsi="Arial" w:cs="Arial"/>
          <w:sz w:val="24"/>
          <w:szCs w:val="24"/>
        </w:rPr>
        <w:br/>
      </w:r>
    </w:p>
    <w:p w14:paraId="0CAC04F5" w14:textId="77777777" w:rsidR="00B20FA3" w:rsidRPr="00E1158E" w:rsidRDefault="00B20FA3" w:rsidP="003C1688">
      <w:pPr>
        <w:rPr>
          <w:rFonts w:ascii="Arial" w:hAnsi="Arial" w:cs="Arial"/>
          <w:sz w:val="24"/>
          <w:szCs w:val="24"/>
        </w:rPr>
      </w:pPr>
      <w:r w:rsidRPr="00E1158E">
        <w:rPr>
          <w:rFonts w:ascii="Arial" w:hAnsi="Arial" w:cs="Arial"/>
          <w:sz w:val="24"/>
          <w:szCs w:val="24"/>
        </w:rPr>
        <w:t xml:space="preserve">The body responsible for scrutiny </w:t>
      </w:r>
      <w:r w:rsidR="00EC4094" w:rsidRPr="00E1158E">
        <w:rPr>
          <w:rFonts w:ascii="Arial" w:hAnsi="Arial" w:cs="Arial"/>
          <w:sz w:val="24"/>
          <w:szCs w:val="24"/>
        </w:rPr>
        <w:t xml:space="preserve">of treasury management policies and practices is the </w:t>
      </w:r>
      <w:r w:rsidRPr="00E1158E">
        <w:rPr>
          <w:rFonts w:ascii="Arial" w:hAnsi="Arial" w:cs="Arial"/>
          <w:sz w:val="24"/>
          <w:szCs w:val="24"/>
        </w:rPr>
        <w:t xml:space="preserve">Corporate Governance and Audit Committee. </w:t>
      </w:r>
      <w:r w:rsidR="00105873" w:rsidRPr="00E1158E">
        <w:rPr>
          <w:rFonts w:ascii="Arial" w:hAnsi="Arial" w:cs="Arial"/>
          <w:sz w:val="24"/>
          <w:szCs w:val="24"/>
        </w:rPr>
        <w:t xml:space="preserve">Monitoring reports on Treasury performance and compliance with this strategy will be prepared </w:t>
      </w:r>
      <w:r w:rsidR="0099690E" w:rsidRPr="00E1158E">
        <w:rPr>
          <w:rFonts w:ascii="Arial" w:hAnsi="Arial" w:cs="Arial"/>
          <w:sz w:val="24"/>
          <w:szCs w:val="24"/>
        </w:rPr>
        <w:t xml:space="preserve">and presented to this Committee </w:t>
      </w:r>
      <w:r w:rsidR="00105873" w:rsidRPr="00E1158E">
        <w:rPr>
          <w:rFonts w:ascii="Arial" w:hAnsi="Arial" w:cs="Arial"/>
          <w:sz w:val="24"/>
          <w:szCs w:val="24"/>
        </w:rPr>
        <w:t xml:space="preserve">as a minimum for the half year to September and the </w:t>
      </w:r>
      <w:r w:rsidR="0099690E" w:rsidRPr="00E1158E">
        <w:rPr>
          <w:rFonts w:ascii="Arial" w:hAnsi="Arial" w:cs="Arial"/>
          <w:sz w:val="24"/>
          <w:szCs w:val="24"/>
        </w:rPr>
        <w:t>full year to March.</w:t>
      </w:r>
    </w:p>
    <w:p w14:paraId="3E46DE42" w14:textId="77777777" w:rsidR="00B20FA3" w:rsidRPr="00E1158E" w:rsidRDefault="00B20FA3" w:rsidP="003C1688">
      <w:pPr>
        <w:rPr>
          <w:rFonts w:ascii="Arial" w:hAnsi="Arial" w:cs="Arial"/>
          <w:sz w:val="24"/>
          <w:szCs w:val="24"/>
        </w:rPr>
      </w:pPr>
      <w:r w:rsidRPr="00E1158E">
        <w:rPr>
          <w:rFonts w:ascii="Arial" w:hAnsi="Arial" w:cs="Arial"/>
          <w:sz w:val="24"/>
          <w:szCs w:val="24"/>
        </w:rPr>
        <w:lastRenderedPageBreak/>
        <w:t xml:space="preserve">The </w:t>
      </w:r>
      <w:r w:rsidR="00113A93" w:rsidRPr="00E1158E">
        <w:rPr>
          <w:rFonts w:ascii="Arial" w:hAnsi="Arial" w:cs="Arial"/>
          <w:sz w:val="24"/>
          <w:szCs w:val="24"/>
        </w:rPr>
        <w:t>Leader of the Council, the Cabinet Member for Corporate Services</w:t>
      </w:r>
      <w:r w:rsidRPr="00E1158E">
        <w:rPr>
          <w:rFonts w:ascii="Arial" w:hAnsi="Arial" w:cs="Arial"/>
          <w:sz w:val="24"/>
          <w:szCs w:val="24"/>
        </w:rPr>
        <w:t xml:space="preserve"> and the members of the Corporate Governance &amp; Audit Committee receive </w:t>
      </w:r>
      <w:r w:rsidR="002B66DE">
        <w:rPr>
          <w:rFonts w:ascii="Arial" w:hAnsi="Arial" w:cs="Arial"/>
          <w:sz w:val="24"/>
          <w:szCs w:val="24"/>
        </w:rPr>
        <w:t>monthly</w:t>
      </w:r>
      <w:r w:rsidRPr="00E1158E">
        <w:rPr>
          <w:rFonts w:ascii="Arial" w:hAnsi="Arial" w:cs="Arial"/>
          <w:sz w:val="24"/>
          <w:szCs w:val="24"/>
        </w:rPr>
        <w:t xml:space="preserve"> monitoring reports of the investments held. </w:t>
      </w:r>
    </w:p>
    <w:p w14:paraId="3FC9551F" w14:textId="77777777" w:rsidR="00B52E5E" w:rsidRPr="003745C6" w:rsidRDefault="00B52E5E" w:rsidP="00B52E5E">
      <w:pPr>
        <w:pStyle w:val="Heading2"/>
        <w:rPr>
          <w:rFonts w:ascii="Arial" w:hAnsi="Arial" w:cs="Arial"/>
          <w:color w:val="auto"/>
        </w:rPr>
      </w:pPr>
      <w:bookmarkStart w:id="52" w:name="_Toc115768685"/>
      <w:r w:rsidRPr="003745C6">
        <w:rPr>
          <w:rFonts w:ascii="Arial" w:hAnsi="Arial" w:cs="Arial"/>
          <w:color w:val="auto"/>
        </w:rPr>
        <w:t>Other Options Considered</w:t>
      </w:r>
      <w:bookmarkEnd w:id="52"/>
    </w:p>
    <w:p w14:paraId="29D357EF" w14:textId="77777777" w:rsidR="00B52E5E" w:rsidRPr="003E38B6" w:rsidRDefault="00B52E5E" w:rsidP="002E1C30">
      <w:pPr>
        <w:rPr>
          <w:rFonts w:ascii="Arial" w:hAnsi="Arial" w:cs="Arial"/>
          <w:bCs/>
          <w:sz w:val="24"/>
          <w:szCs w:val="24"/>
        </w:rPr>
      </w:pPr>
      <w:r w:rsidRPr="003E38B6">
        <w:rPr>
          <w:rFonts w:ascii="Arial" w:hAnsi="Arial" w:cs="Arial"/>
          <w:bCs/>
          <w:sz w:val="24"/>
          <w:szCs w:val="24"/>
        </w:rPr>
        <w:t xml:space="preserve">The CIPFA Code does not prescribe any particular treasury management strategy for local authorities to adopt. The </w:t>
      </w:r>
      <w:r>
        <w:rPr>
          <w:rFonts w:ascii="Arial" w:hAnsi="Arial" w:cs="Arial"/>
          <w:bCs/>
          <w:sz w:val="24"/>
          <w:szCs w:val="24"/>
        </w:rPr>
        <w:t xml:space="preserve">Director of Corporate Services </w:t>
      </w:r>
      <w:r w:rsidRPr="003E38B6">
        <w:rPr>
          <w:rFonts w:ascii="Arial" w:hAnsi="Arial" w:cs="Arial"/>
          <w:bCs/>
          <w:sz w:val="24"/>
          <w:szCs w:val="24"/>
        </w:rPr>
        <w:t>believes that the above strategy represents an appropriate balance between risk management and cost effectiveness.  Some alternative strategies, with their financial and risk management implications, are listed below.</w:t>
      </w:r>
    </w:p>
    <w:p w14:paraId="2BE14537" w14:textId="77777777" w:rsidR="004134A5" w:rsidRDefault="004134A5" w:rsidP="003745C6">
      <w:pPr>
        <w:spacing w:after="0" w:line="240" w:lineRule="auto"/>
        <w:rPr>
          <w:rFonts w:ascii="Arial" w:eastAsia="Times New Roman" w:hAnsi="Arial" w:cs="Arial"/>
          <w:i/>
          <w:sz w:val="24"/>
          <w:szCs w:val="24"/>
          <w:lang w:eastAsia="en-GB"/>
        </w:rPr>
      </w:pPr>
    </w:p>
    <w:p w14:paraId="7C291D34" w14:textId="77777777" w:rsidR="00B52E5E" w:rsidRPr="003745C6" w:rsidRDefault="0062686D" w:rsidP="003745C6">
      <w:pPr>
        <w:spacing w:after="0" w:line="240" w:lineRule="auto"/>
        <w:rPr>
          <w:rFonts w:ascii="Arial" w:eastAsia="Times New Roman" w:hAnsi="Arial" w:cs="Arial"/>
          <w:i/>
          <w:sz w:val="24"/>
          <w:szCs w:val="24"/>
          <w:lang w:eastAsia="en-GB"/>
        </w:rPr>
      </w:pPr>
      <w:r w:rsidRPr="003745C6">
        <w:rPr>
          <w:rFonts w:ascii="Arial" w:eastAsia="Times New Roman" w:hAnsi="Arial" w:cs="Arial"/>
          <w:i/>
          <w:sz w:val="24"/>
          <w:szCs w:val="24"/>
          <w:lang w:eastAsia="en-GB"/>
        </w:rPr>
        <w:t>Table 1</w:t>
      </w:r>
      <w:r w:rsidR="009B2917">
        <w:rPr>
          <w:rFonts w:ascii="Arial" w:eastAsia="Times New Roman" w:hAnsi="Arial" w:cs="Arial"/>
          <w:i/>
          <w:sz w:val="24"/>
          <w:szCs w:val="24"/>
          <w:lang w:eastAsia="en-GB"/>
        </w:rPr>
        <w:t>1</w:t>
      </w:r>
      <w:r w:rsidRPr="003745C6">
        <w:rPr>
          <w:rFonts w:ascii="Arial" w:eastAsia="Times New Roman" w:hAnsi="Arial" w:cs="Arial"/>
          <w:i/>
          <w:sz w:val="24"/>
          <w:szCs w:val="24"/>
          <w:lang w:eastAsia="en-GB"/>
        </w:rPr>
        <w:t>: Alternatives considered</w:t>
      </w:r>
      <w:r>
        <w:rPr>
          <w:rFonts w:ascii="Arial" w:eastAsia="Times New Roman" w:hAnsi="Arial" w:cs="Arial"/>
          <w:i/>
          <w:sz w:val="24"/>
          <w:szCs w:val="24"/>
          <w:lang w:eastAsia="en-GB"/>
        </w:rPr>
        <w:br/>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509"/>
        <w:gridCol w:w="3161"/>
      </w:tblGrid>
      <w:tr w:rsidR="00B52E5E" w:rsidRPr="00940812" w14:paraId="2B7F23FE" w14:textId="77777777" w:rsidTr="004134A5">
        <w:tc>
          <w:tcPr>
            <w:tcW w:w="3652" w:type="dxa"/>
          </w:tcPr>
          <w:p w14:paraId="50524601" w14:textId="77777777" w:rsidR="00B52E5E" w:rsidRPr="00940812" w:rsidRDefault="00B52E5E" w:rsidP="00E7625D">
            <w:pPr>
              <w:spacing w:after="0" w:line="240" w:lineRule="auto"/>
              <w:jc w:val="center"/>
              <w:rPr>
                <w:rFonts w:ascii="Arial" w:eastAsia="Times New Roman" w:hAnsi="Arial" w:cs="Arial"/>
                <w:sz w:val="24"/>
                <w:szCs w:val="24"/>
                <w:lang w:eastAsia="en-GB"/>
              </w:rPr>
            </w:pPr>
            <w:r w:rsidRPr="00940812">
              <w:rPr>
                <w:rFonts w:ascii="Arial" w:eastAsia="Times New Roman" w:hAnsi="Arial" w:cs="Arial"/>
                <w:sz w:val="24"/>
                <w:szCs w:val="24"/>
                <w:lang w:eastAsia="en-GB"/>
              </w:rPr>
              <w:t>Alternative</w:t>
            </w:r>
          </w:p>
        </w:tc>
        <w:tc>
          <w:tcPr>
            <w:tcW w:w="2509" w:type="dxa"/>
          </w:tcPr>
          <w:p w14:paraId="7F5486C6" w14:textId="77777777" w:rsidR="00B52E5E" w:rsidRPr="00940812" w:rsidRDefault="00B52E5E" w:rsidP="00E7625D">
            <w:pPr>
              <w:spacing w:after="0" w:line="240" w:lineRule="auto"/>
              <w:jc w:val="center"/>
              <w:rPr>
                <w:rFonts w:ascii="Arial" w:eastAsia="Times New Roman" w:hAnsi="Arial" w:cs="Arial"/>
                <w:sz w:val="24"/>
                <w:szCs w:val="24"/>
                <w:lang w:eastAsia="en-GB"/>
              </w:rPr>
            </w:pPr>
            <w:r w:rsidRPr="00940812">
              <w:rPr>
                <w:rFonts w:ascii="Arial" w:eastAsia="Times New Roman" w:hAnsi="Arial" w:cs="Arial"/>
                <w:sz w:val="24"/>
                <w:szCs w:val="24"/>
                <w:lang w:eastAsia="en-GB"/>
              </w:rPr>
              <w:t>Impact on income and expenditure</w:t>
            </w:r>
          </w:p>
        </w:tc>
        <w:tc>
          <w:tcPr>
            <w:tcW w:w="3161" w:type="dxa"/>
          </w:tcPr>
          <w:p w14:paraId="68C36824" w14:textId="77777777" w:rsidR="00B52E5E" w:rsidRPr="00940812" w:rsidRDefault="00B52E5E" w:rsidP="00E7625D">
            <w:pPr>
              <w:spacing w:after="0" w:line="240" w:lineRule="auto"/>
              <w:jc w:val="center"/>
              <w:rPr>
                <w:rFonts w:ascii="Arial" w:eastAsia="Times New Roman" w:hAnsi="Arial" w:cs="Arial"/>
                <w:sz w:val="24"/>
                <w:szCs w:val="24"/>
                <w:lang w:eastAsia="en-GB"/>
              </w:rPr>
            </w:pPr>
            <w:r w:rsidRPr="00940812">
              <w:rPr>
                <w:rFonts w:ascii="Arial" w:eastAsia="Times New Roman" w:hAnsi="Arial" w:cs="Arial"/>
                <w:sz w:val="24"/>
                <w:szCs w:val="24"/>
                <w:lang w:eastAsia="en-GB"/>
              </w:rPr>
              <w:t>Impact on risk management</w:t>
            </w:r>
          </w:p>
        </w:tc>
      </w:tr>
      <w:tr w:rsidR="00B52E5E" w:rsidRPr="003E38B6" w14:paraId="2577ECBA" w14:textId="77777777" w:rsidTr="004134A5">
        <w:tc>
          <w:tcPr>
            <w:tcW w:w="3652" w:type="dxa"/>
          </w:tcPr>
          <w:p w14:paraId="479484DD" w14:textId="77777777" w:rsidR="00B52E5E" w:rsidRPr="003E38B6" w:rsidRDefault="00B52E5E" w:rsidP="00E7625D">
            <w:pPr>
              <w:spacing w:after="0" w:line="240" w:lineRule="auto"/>
              <w:rPr>
                <w:rFonts w:ascii="Arial" w:eastAsia="Times New Roman" w:hAnsi="Arial" w:cs="Arial"/>
                <w:sz w:val="24"/>
                <w:szCs w:val="24"/>
                <w:lang w:eastAsia="en-GB"/>
              </w:rPr>
            </w:pPr>
            <w:r w:rsidRPr="003E38B6">
              <w:rPr>
                <w:rFonts w:ascii="Arial" w:eastAsia="Times New Roman" w:hAnsi="Arial" w:cs="Arial"/>
                <w:sz w:val="24"/>
                <w:szCs w:val="24"/>
                <w:lang w:eastAsia="en-GB"/>
              </w:rPr>
              <w:t>Invest in a narrower range of counterparties and/or for shorter times</w:t>
            </w:r>
          </w:p>
        </w:tc>
        <w:tc>
          <w:tcPr>
            <w:tcW w:w="2509" w:type="dxa"/>
          </w:tcPr>
          <w:p w14:paraId="27B9F7F7" w14:textId="77777777" w:rsidR="00B52E5E" w:rsidRPr="003E38B6" w:rsidRDefault="00B52E5E" w:rsidP="00E7625D">
            <w:pPr>
              <w:spacing w:after="0" w:line="240" w:lineRule="auto"/>
              <w:rPr>
                <w:rFonts w:ascii="Arial" w:eastAsia="Times New Roman" w:hAnsi="Arial" w:cs="Arial"/>
                <w:sz w:val="24"/>
                <w:szCs w:val="24"/>
                <w:lang w:eastAsia="en-GB"/>
              </w:rPr>
            </w:pPr>
            <w:r w:rsidRPr="003E38B6">
              <w:rPr>
                <w:rFonts w:ascii="Arial" w:eastAsia="Times New Roman" w:hAnsi="Arial" w:cs="Arial"/>
                <w:sz w:val="24"/>
                <w:szCs w:val="24"/>
                <w:lang w:eastAsia="en-GB"/>
              </w:rPr>
              <w:t>Interest income will be lower</w:t>
            </w:r>
          </w:p>
        </w:tc>
        <w:tc>
          <w:tcPr>
            <w:tcW w:w="3161" w:type="dxa"/>
          </w:tcPr>
          <w:p w14:paraId="246A84DE" w14:textId="77777777" w:rsidR="00B52E5E" w:rsidRPr="003E38B6" w:rsidRDefault="00B52E5E" w:rsidP="00E7625D">
            <w:pPr>
              <w:spacing w:after="0" w:line="240" w:lineRule="auto"/>
              <w:rPr>
                <w:rFonts w:ascii="Arial" w:eastAsia="Times New Roman" w:hAnsi="Arial" w:cs="Arial"/>
                <w:sz w:val="24"/>
                <w:szCs w:val="24"/>
                <w:lang w:eastAsia="en-GB"/>
              </w:rPr>
            </w:pPr>
            <w:r w:rsidRPr="003E38B6">
              <w:rPr>
                <w:rFonts w:ascii="Arial" w:eastAsia="Times New Roman" w:hAnsi="Arial" w:cs="Arial"/>
                <w:sz w:val="24"/>
                <w:szCs w:val="24"/>
                <w:lang w:eastAsia="en-GB"/>
              </w:rPr>
              <w:t>Lower chance of losses from credit related defaults, but any such losses may be greater</w:t>
            </w:r>
          </w:p>
        </w:tc>
      </w:tr>
      <w:tr w:rsidR="00B52E5E" w:rsidRPr="003E38B6" w14:paraId="4043AFC6" w14:textId="77777777" w:rsidTr="004134A5">
        <w:tc>
          <w:tcPr>
            <w:tcW w:w="3652" w:type="dxa"/>
          </w:tcPr>
          <w:p w14:paraId="04C15844" w14:textId="77777777" w:rsidR="00B52E5E" w:rsidRPr="003E38B6" w:rsidRDefault="00B52E5E" w:rsidP="00E7625D">
            <w:pPr>
              <w:spacing w:after="0" w:line="240" w:lineRule="auto"/>
              <w:rPr>
                <w:rFonts w:ascii="Arial" w:eastAsia="Times New Roman" w:hAnsi="Arial" w:cs="Arial"/>
                <w:sz w:val="24"/>
                <w:szCs w:val="24"/>
                <w:lang w:eastAsia="en-GB"/>
              </w:rPr>
            </w:pPr>
            <w:r w:rsidRPr="003E38B6">
              <w:rPr>
                <w:rFonts w:ascii="Arial" w:eastAsia="Times New Roman" w:hAnsi="Arial" w:cs="Arial"/>
                <w:sz w:val="24"/>
                <w:szCs w:val="24"/>
                <w:lang w:eastAsia="en-GB"/>
              </w:rPr>
              <w:t>Invest in a wider range of counterparties and/or for longer times</w:t>
            </w:r>
          </w:p>
        </w:tc>
        <w:tc>
          <w:tcPr>
            <w:tcW w:w="2509" w:type="dxa"/>
          </w:tcPr>
          <w:p w14:paraId="0863E121" w14:textId="77777777" w:rsidR="00B52E5E" w:rsidRPr="003E38B6" w:rsidRDefault="00B52E5E" w:rsidP="00E7625D">
            <w:pPr>
              <w:spacing w:after="0" w:line="240" w:lineRule="auto"/>
              <w:rPr>
                <w:rFonts w:ascii="Arial" w:eastAsia="Times New Roman" w:hAnsi="Arial" w:cs="Arial"/>
                <w:sz w:val="24"/>
                <w:szCs w:val="24"/>
                <w:lang w:eastAsia="en-GB"/>
              </w:rPr>
            </w:pPr>
            <w:r w:rsidRPr="003E38B6">
              <w:rPr>
                <w:rFonts w:ascii="Arial" w:eastAsia="Times New Roman" w:hAnsi="Arial" w:cs="Arial"/>
                <w:sz w:val="24"/>
                <w:szCs w:val="24"/>
                <w:lang w:eastAsia="en-GB"/>
              </w:rPr>
              <w:t>Interest income will be higher</w:t>
            </w:r>
          </w:p>
        </w:tc>
        <w:tc>
          <w:tcPr>
            <w:tcW w:w="3161" w:type="dxa"/>
          </w:tcPr>
          <w:p w14:paraId="7AC059D8" w14:textId="77777777" w:rsidR="00B52E5E" w:rsidRPr="003E38B6" w:rsidRDefault="00B52E5E" w:rsidP="00E7625D">
            <w:pPr>
              <w:spacing w:after="0" w:line="240" w:lineRule="auto"/>
              <w:rPr>
                <w:rFonts w:ascii="Arial" w:eastAsia="Times New Roman" w:hAnsi="Arial" w:cs="Arial"/>
                <w:sz w:val="24"/>
                <w:szCs w:val="24"/>
                <w:lang w:eastAsia="en-GB"/>
              </w:rPr>
            </w:pPr>
            <w:r w:rsidRPr="003E38B6">
              <w:rPr>
                <w:rFonts w:ascii="Arial" w:eastAsia="Times New Roman" w:hAnsi="Arial" w:cs="Arial"/>
                <w:sz w:val="24"/>
                <w:szCs w:val="24"/>
                <w:lang w:eastAsia="en-GB"/>
              </w:rPr>
              <w:t>Increased risk of losses from credit related defaults, but any such losses may be smaller</w:t>
            </w:r>
          </w:p>
        </w:tc>
      </w:tr>
    </w:tbl>
    <w:p w14:paraId="7FBB25F4" w14:textId="77777777" w:rsidR="00B52E5E" w:rsidRDefault="00B52E5E" w:rsidP="003C1688">
      <w:pPr>
        <w:rPr>
          <w:rFonts w:ascii="Arial" w:hAnsi="Arial" w:cs="Arial"/>
          <w:sz w:val="24"/>
          <w:szCs w:val="24"/>
        </w:rPr>
      </w:pPr>
    </w:p>
    <w:p w14:paraId="49ABF87A" w14:textId="77777777" w:rsidR="000E6916" w:rsidRPr="000D224B" w:rsidRDefault="000E6916" w:rsidP="000E6916">
      <w:pPr>
        <w:rPr>
          <w:rFonts w:ascii="Arial" w:hAnsi="Arial" w:cs="Arial"/>
          <w:b/>
          <w:bCs/>
          <w:color w:val="000000"/>
          <w:sz w:val="28"/>
          <w:szCs w:val="28"/>
        </w:rPr>
      </w:pPr>
      <w:r>
        <w:br w:type="page"/>
      </w:r>
      <w:r>
        <w:rPr>
          <w:rFonts w:ascii="Arial" w:hAnsi="Arial" w:cs="Arial"/>
          <w:b/>
          <w:bCs/>
          <w:color w:val="000000"/>
          <w:sz w:val="28"/>
          <w:szCs w:val="28"/>
        </w:rPr>
        <w:lastRenderedPageBreak/>
        <w:t>Investment Strategy 202</w:t>
      </w:r>
      <w:r w:rsidR="00EF2915">
        <w:rPr>
          <w:rFonts w:ascii="Arial" w:hAnsi="Arial" w:cs="Arial"/>
          <w:b/>
          <w:bCs/>
          <w:color w:val="000000"/>
          <w:sz w:val="28"/>
          <w:szCs w:val="28"/>
        </w:rPr>
        <w:t>4-25</w:t>
      </w:r>
    </w:p>
    <w:p w14:paraId="65683D74" w14:textId="77777777" w:rsidR="000E6916" w:rsidRPr="002E1C30" w:rsidRDefault="000F696B" w:rsidP="000E6916">
      <w:pPr>
        <w:pStyle w:val="Heading1"/>
        <w:rPr>
          <w:rFonts w:ascii="Arial" w:hAnsi="Arial" w:cs="Arial"/>
          <w:color w:val="auto"/>
        </w:rPr>
      </w:pPr>
      <w:bookmarkStart w:id="53" w:name="_Toc87966935"/>
      <w:bookmarkStart w:id="54" w:name="_Toc115768686"/>
      <w:r w:rsidRPr="002E1C30">
        <w:rPr>
          <w:rFonts w:ascii="Arial" w:hAnsi="Arial" w:cs="Arial"/>
          <w:color w:val="auto"/>
        </w:rPr>
        <w:t xml:space="preserve">Part 2 - </w:t>
      </w:r>
      <w:r w:rsidR="000E6916" w:rsidRPr="00A63CCA">
        <w:rPr>
          <w:rFonts w:ascii="Arial" w:hAnsi="Arial" w:cs="Arial"/>
          <w:color w:val="auto"/>
        </w:rPr>
        <w:t>C</w:t>
      </w:r>
      <w:r w:rsidR="000E6916" w:rsidRPr="00A1574F">
        <w:rPr>
          <w:rFonts w:ascii="Arial" w:hAnsi="Arial" w:cs="Arial"/>
          <w:color w:val="auto"/>
        </w:rPr>
        <w:t>ommercial Investments</w:t>
      </w:r>
      <w:bookmarkEnd w:id="53"/>
      <w:bookmarkEnd w:id="54"/>
      <w:r w:rsidR="000E6916" w:rsidRPr="002E1C30">
        <w:rPr>
          <w:rFonts w:ascii="Arial" w:hAnsi="Arial" w:cs="Arial"/>
          <w:color w:val="auto"/>
        </w:rPr>
        <w:br/>
      </w:r>
    </w:p>
    <w:p w14:paraId="6B0A82E0" w14:textId="77777777" w:rsidR="000E6916" w:rsidRPr="00DE2F6E" w:rsidRDefault="000E6916" w:rsidP="000E6916">
      <w:p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sidRPr="003F2EA6">
        <w:rPr>
          <w:rFonts w:ascii="Arial" w:hAnsi="Arial" w:cs="Arial"/>
          <w:sz w:val="24"/>
          <w:szCs w:val="24"/>
        </w:rPr>
        <w:t>The Council may invest in commercial opportunities with the intention of making a pr</w:t>
      </w:r>
      <w:r w:rsidRPr="00DE2F6E">
        <w:rPr>
          <w:rFonts w:ascii="Arial" w:hAnsi="Arial" w:cs="Arial"/>
          <w:sz w:val="24"/>
          <w:szCs w:val="24"/>
        </w:rPr>
        <w:t>ofit that will be spent on local public services.</w:t>
      </w:r>
    </w:p>
    <w:p w14:paraId="0D4BAF42" w14:textId="77777777" w:rsidR="000E6916" w:rsidRPr="00DE2F6E" w:rsidRDefault="000E6916" w:rsidP="000E6916">
      <w:p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sidRPr="00DE2F6E">
        <w:rPr>
          <w:rFonts w:ascii="Arial" w:hAnsi="Arial" w:cs="Arial"/>
          <w:sz w:val="24"/>
          <w:szCs w:val="24"/>
        </w:rPr>
        <w:t>To provide specific guidance on the enhanced scrutiny and assessment of risk required, the Council has approved an investment opportunities protocol.  All decisions to make commercial investments will comply with this protocol.</w:t>
      </w:r>
    </w:p>
    <w:p w14:paraId="2B8F2F66" w14:textId="77777777" w:rsidR="000E6916" w:rsidRPr="00922A72" w:rsidRDefault="000E6916" w:rsidP="000E6916">
      <w:pPr>
        <w:rPr>
          <w:rFonts w:ascii="Arial" w:hAnsi="Arial" w:cs="Arial"/>
          <w:sz w:val="24"/>
          <w:szCs w:val="24"/>
        </w:rPr>
      </w:pPr>
      <w:r w:rsidRPr="00922A72">
        <w:rPr>
          <w:rFonts w:ascii="Arial" w:hAnsi="Arial" w:cs="Arial"/>
          <w:sz w:val="24"/>
          <w:szCs w:val="24"/>
        </w:rPr>
        <w:t>The Council will apply the policy and processes established by its investment opportunities protocol in deciding whether to make a commercial investment or not. This protocol</w:t>
      </w:r>
      <w:r w:rsidR="00922A72" w:rsidRPr="002E1C30">
        <w:rPr>
          <w:rFonts w:ascii="Arial" w:hAnsi="Arial" w:cs="Arial"/>
          <w:sz w:val="24"/>
          <w:szCs w:val="24"/>
        </w:rPr>
        <w:t xml:space="preserve">, which includes the Land and Property </w:t>
      </w:r>
      <w:proofErr w:type="gramStart"/>
      <w:r w:rsidR="00922A72" w:rsidRPr="002E1C30">
        <w:rPr>
          <w:rFonts w:ascii="Arial" w:hAnsi="Arial" w:cs="Arial"/>
          <w:sz w:val="24"/>
          <w:szCs w:val="24"/>
        </w:rPr>
        <w:t>Sub Category</w:t>
      </w:r>
      <w:proofErr w:type="gramEnd"/>
      <w:r w:rsidR="00922A72" w:rsidRPr="002E1C30">
        <w:rPr>
          <w:rFonts w:ascii="Arial" w:hAnsi="Arial" w:cs="Arial"/>
          <w:sz w:val="24"/>
          <w:szCs w:val="24"/>
        </w:rPr>
        <w:t>,</w:t>
      </w:r>
      <w:r w:rsidRPr="00922A72">
        <w:rPr>
          <w:rFonts w:ascii="Arial" w:hAnsi="Arial" w:cs="Arial"/>
          <w:sz w:val="24"/>
          <w:szCs w:val="24"/>
        </w:rPr>
        <w:t xml:space="preserve"> provides specific guidance on the enhanced scrutiny required, including:</w:t>
      </w:r>
    </w:p>
    <w:p w14:paraId="2F1A2D47" w14:textId="77777777" w:rsidR="000E6916" w:rsidRPr="00ED3982" w:rsidRDefault="000E6916" w:rsidP="000E6916">
      <w:pPr>
        <w:numPr>
          <w:ilvl w:val="0"/>
          <w:numId w:val="26"/>
        </w:numPr>
        <w:rPr>
          <w:rFonts w:ascii="Arial" w:hAnsi="Arial" w:cs="Arial"/>
          <w:sz w:val="24"/>
          <w:szCs w:val="24"/>
        </w:rPr>
      </w:pPr>
      <w:r w:rsidRPr="00922A72">
        <w:rPr>
          <w:rFonts w:ascii="Arial" w:hAnsi="Arial" w:cs="Arial"/>
          <w:sz w:val="24"/>
          <w:szCs w:val="24"/>
        </w:rPr>
        <w:t xml:space="preserve">Acquisitions or original build should be within the District Council’s area, or </w:t>
      </w:r>
      <w:r w:rsidRPr="00ED3982">
        <w:rPr>
          <w:rFonts w:ascii="Arial" w:hAnsi="Arial" w:cs="Arial"/>
          <w:sz w:val="24"/>
          <w:szCs w:val="24"/>
        </w:rPr>
        <w:t xml:space="preserve">sufficiently close by to be easily </w:t>
      </w:r>
      <w:proofErr w:type="gramStart"/>
      <w:r w:rsidRPr="00ED3982">
        <w:rPr>
          <w:rFonts w:ascii="Arial" w:hAnsi="Arial" w:cs="Arial"/>
          <w:sz w:val="24"/>
          <w:szCs w:val="24"/>
        </w:rPr>
        <w:t>managed</w:t>
      </w:r>
      <w:r w:rsidR="00840C82" w:rsidRPr="00ED3982">
        <w:rPr>
          <w:rFonts w:ascii="Arial" w:hAnsi="Arial" w:cs="Arial"/>
          <w:sz w:val="24"/>
          <w:szCs w:val="24"/>
        </w:rPr>
        <w:t>;</w:t>
      </w:r>
      <w:proofErr w:type="gramEnd"/>
    </w:p>
    <w:p w14:paraId="1A47D2BD" w14:textId="77777777" w:rsidR="000E6916" w:rsidRPr="00ED3982" w:rsidRDefault="00ED3982" w:rsidP="000E6916">
      <w:pPr>
        <w:numPr>
          <w:ilvl w:val="0"/>
          <w:numId w:val="26"/>
        </w:numPr>
        <w:rPr>
          <w:rFonts w:ascii="Arial" w:hAnsi="Arial" w:cs="Arial"/>
          <w:sz w:val="24"/>
          <w:szCs w:val="24"/>
        </w:rPr>
      </w:pPr>
      <w:r w:rsidRPr="002E1C30">
        <w:rPr>
          <w:rFonts w:ascii="Arial" w:hAnsi="Arial" w:cs="Arial"/>
          <w:sz w:val="24"/>
          <w:szCs w:val="24"/>
        </w:rPr>
        <w:t>Preference will be given to a</w:t>
      </w:r>
      <w:r w:rsidR="000E6916" w:rsidRPr="002E1C30">
        <w:rPr>
          <w:rFonts w:ascii="Arial" w:hAnsi="Arial" w:cs="Arial"/>
          <w:sz w:val="24"/>
          <w:szCs w:val="24"/>
        </w:rPr>
        <w:t xml:space="preserve">cquisitions </w:t>
      </w:r>
      <w:r w:rsidR="00922A72" w:rsidRPr="002E1C30">
        <w:rPr>
          <w:rFonts w:ascii="Arial" w:hAnsi="Arial" w:cs="Arial"/>
          <w:sz w:val="24"/>
          <w:szCs w:val="24"/>
        </w:rPr>
        <w:t>where they</w:t>
      </w:r>
      <w:r w:rsidR="00922A72" w:rsidRPr="00ED3982">
        <w:rPr>
          <w:rFonts w:ascii="Arial" w:hAnsi="Arial" w:cs="Arial"/>
          <w:sz w:val="24"/>
          <w:szCs w:val="24"/>
        </w:rPr>
        <w:t xml:space="preserve"> </w:t>
      </w:r>
      <w:r w:rsidR="000E6916" w:rsidRPr="00ED3982">
        <w:rPr>
          <w:rFonts w:ascii="Arial" w:hAnsi="Arial" w:cs="Arial"/>
          <w:sz w:val="24"/>
          <w:szCs w:val="24"/>
        </w:rPr>
        <w:t xml:space="preserve">achieve a community or economic benefit and strengthen the local </w:t>
      </w:r>
      <w:proofErr w:type="gramStart"/>
      <w:r w:rsidR="000E6916" w:rsidRPr="00ED3982">
        <w:rPr>
          <w:rFonts w:ascii="Arial" w:hAnsi="Arial" w:cs="Arial"/>
          <w:sz w:val="24"/>
          <w:szCs w:val="24"/>
        </w:rPr>
        <w:t>economy</w:t>
      </w:r>
      <w:r w:rsidR="00840C82" w:rsidRPr="00ED3982">
        <w:rPr>
          <w:rFonts w:ascii="Arial" w:hAnsi="Arial" w:cs="Arial"/>
          <w:sz w:val="24"/>
          <w:szCs w:val="24"/>
        </w:rPr>
        <w:t>;</w:t>
      </w:r>
      <w:proofErr w:type="gramEnd"/>
    </w:p>
    <w:p w14:paraId="506C5D3F" w14:textId="77777777" w:rsidR="000E6916" w:rsidRPr="00922A72" w:rsidRDefault="000E6916" w:rsidP="000E6916">
      <w:pPr>
        <w:numPr>
          <w:ilvl w:val="0"/>
          <w:numId w:val="26"/>
        </w:numPr>
        <w:rPr>
          <w:rFonts w:ascii="Arial" w:hAnsi="Arial" w:cs="Arial"/>
          <w:sz w:val="24"/>
          <w:szCs w:val="24"/>
        </w:rPr>
      </w:pPr>
      <w:r w:rsidRPr="00ED3982">
        <w:rPr>
          <w:rFonts w:ascii="Arial" w:hAnsi="Arial" w:cs="Arial"/>
          <w:sz w:val="24"/>
          <w:szCs w:val="24"/>
        </w:rPr>
        <w:t>The acquisition provides an acceptable rate of return for the additional</w:t>
      </w:r>
      <w:r w:rsidRPr="00922A72">
        <w:rPr>
          <w:rFonts w:ascii="Arial" w:hAnsi="Arial" w:cs="Arial"/>
          <w:sz w:val="24"/>
          <w:szCs w:val="24"/>
        </w:rPr>
        <w:t xml:space="preserve"> risk taken on, and will not increase the Council’s ongoing revenue costs in the longer term</w:t>
      </w:r>
      <w:r w:rsidR="00840C82" w:rsidRPr="00922A72">
        <w:rPr>
          <w:rFonts w:ascii="Arial" w:hAnsi="Arial" w:cs="Arial"/>
          <w:sz w:val="24"/>
          <w:szCs w:val="24"/>
        </w:rPr>
        <w:t>; and,</w:t>
      </w:r>
    </w:p>
    <w:p w14:paraId="684229C1" w14:textId="77777777" w:rsidR="000E6916" w:rsidRPr="00922A72" w:rsidRDefault="000E6916" w:rsidP="000E6916">
      <w:pPr>
        <w:numPr>
          <w:ilvl w:val="0"/>
          <w:numId w:val="26"/>
        </w:numPr>
        <w:rPr>
          <w:rFonts w:ascii="Arial" w:hAnsi="Arial" w:cs="Arial"/>
          <w:sz w:val="24"/>
          <w:szCs w:val="24"/>
        </w:rPr>
      </w:pPr>
      <w:r w:rsidRPr="00922A72">
        <w:rPr>
          <w:rFonts w:ascii="Arial" w:hAnsi="Arial" w:cs="Arial"/>
          <w:sz w:val="24"/>
          <w:szCs w:val="24"/>
        </w:rPr>
        <w:t>Where necessary, Specialist advisers are to be employed to provide advice and act for the Council</w:t>
      </w:r>
      <w:r w:rsidR="00840C82" w:rsidRPr="00922A72">
        <w:rPr>
          <w:rFonts w:ascii="Arial" w:hAnsi="Arial" w:cs="Arial"/>
          <w:sz w:val="24"/>
          <w:szCs w:val="24"/>
        </w:rPr>
        <w:t>.</w:t>
      </w:r>
    </w:p>
    <w:p w14:paraId="4D48B238" w14:textId="77777777" w:rsidR="000E6916" w:rsidRPr="00ED3982" w:rsidRDefault="000E6916" w:rsidP="000E6916">
      <w:pPr>
        <w:rPr>
          <w:rFonts w:ascii="Arial" w:hAnsi="Arial" w:cs="Arial"/>
          <w:sz w:val="24"/>
          <w:szCs w:val="24"/>
        </w:rPr>
      </w:pPr>
      <w:r w:rsidRPr="00ED3982">
        <w:rPr>
          <w:rFonts w:ascii="Arial" w:hAnsi="Arial" w:cs="Arial"/>
          <w:sz w:val="24"/>
          <w:szCs w:val="24"/>
        </w:rPr>
        <w:t>To mitigate the impact of uncertainty the Council’s investment objective is to provide a spread of investments with varying degrees of risk, given that it is recognised that the inherent risk is generally reflected either in the price or the rate of return (</w:t>
      </w:r>
      <w:proofErr w:type="gramStart"/>
      <w:r w:rsidRPr="00ED3982">
        <w:rPr>
          <w:rFonts w:ascii="Arial" w:hAnsi="Arial" w:cs="Arial"/>
          <w:sz w:val="24"/>
          <w:szCs w:val="24"/>
        </w:rPr>
        <w:t>i.e.</w:t>
      </w:r>
      <w:proofErr w:type="gramEnd"/>
      <w:r w:rsidRPr="00ED3982">
        <w:rPr>
          <w:rFonts w:ascii="Arial" w:hAnsi="Arial" w:cs="Arial"/>
          <w:sz w:val="24"/>
          <w:szCs w:val="24"/>
        </w:rPr>
        <w:t xml:space="preserve"> the higher the risk, the higher the return and vice versa).</w:t>
      </w:r>
    </w:p>
    <w:p w14:paraId="78E9F7C4" w14:textId="77777777" w:rsidR="000E6916" w:rsidRPr="007F15CA" w:rsidRDefault="000E6916" w:rsidP="000E6916">
      <w:pPr>
        <w:rPr>
          <w:rFonts w:ascii="Arial" w:hAnsi="Arial" w:cs="Arial"/>
          <w:sz w:val="24"/>
          <w:szCs w:val="24"/>
        </w:rPr>
      </w:pPr>
      <w:r w:rsidRPr="00ED3982">
        <w:rPr>
          <w:rFonts w:ascii="Arial" w:hAnsi="Arial" w:cs="Arial"/>
          <w:sz w:val="24"/>
          <w:szCs w:val="24"/>
        </w:rPr>
        <w:t xml:space="preserve">The consideration of any investment shall include a risk assessment that measures as objectively as possible the likelihood and severity of the impact should the risks identified be realised. This can provide comparison against the potential benefits (financial and </w:t>
      </w:r>
      <w:r w:rsidR="002E1C30" w:rsidRPr="00ED3982">
        <w:rPr>
          <w:rFonts w:ascii="Arial" w:hAnsi="Arial" w:cs="Arial"/>
          <w:sz w:val="24"/>
          <w:szCs w:val="24"/>
        </w:rPr>
        <w:t>otherwise) for</w:t>
      </w:r>
      <w:r w:rsidRPr="00ED3982">
        <w:rPr>
          <w:rFonts w:ascii="Arial" w:hAnsi="Arial" w:cs="Arial"/>
          <w:sz w:val="24"/>
          <w:szCs w:val="24"/>
        </w:rPr>
        <w:t xml:space="preserve"> which the investment is being consid</w:t>
      </w:r>
      <w:r w:rsidRPr="007F15CA">
        <w:rPr>
          <w:rFonts w:ascii="Arial" w:hAnsi="Arial" w:cs="Arial"/>
          <w:sz w:val="24"/>
          <w:szCs w:val="24"/>
        </w:rPr>
        <w:t>ered in the first place, and form part of the decision making process.</w:t>
      </w:r>
    </w:p>
    <w:p w14:paraId="42D309D9" w14:textId="77777777" w:rsidR="000E6916" w:rsidRPr="007F15CA" w:rsidRDefault="000E6916" w:rsidP="000E6916">
      <w:pPr>
        <w:rPr>
          <w:rFonts w:ascii="Arial" w:hAnsi="Arial" w:cs="Arial"/>
          <w:sz w:val="24"/>
          <w:szCs w:val="24"/>
        </w:rPr>
      </w:pPr>
      <w:r w:rsidRPr="007F15CA">
        <w:rPr>
          <w:rFonts w:ascii="Arial" w:hAnsi="Arial" w:cs="Arial"/>
          <w:sz w:val="24"/>
          <w:szCs w:val="24"/>
        </w:rPr>
        <w:t>Among the risk factors to be considered are:</w:t>
      </w:r>
    </w:p>
    <w:p w14:paraId="352D962F" w14:textId="77777777" w:rsidR="000E6916" w:rsidRPr="002E1C30" w:rsidRDefault="000E6916" w:rsidP="000E6916">
      <w:pPr>
        <w:numPr>
          <w:ilvl w:val="0"/>
          <w:numId w:val="26"/>
        </w:numPr>
        <w:rPr>
          <w:rFonts w:ascii="Arial" w:hAnsi="Arial" w:cs="Arial"/>
          <w:sz w:val="24"/>
          <w:szCs w:val="24"/>
        </w:rPr>
      </w:pPr>
      <w:r w:rsidRPr="004D586E">
        <w:rPr>
          <w:rFonts w:ascii="Arial" w:hAnsi="Arial" w:cs="Arial"/>
          <w:sz w:val="24"/>
          <w:szCs w:val="24"/>
        </w:rPr>
        <w:t xml:space="preserve">Acquisition Risk – the Council may incur </w:t>
      </w:r>
      <w:r w:rsidR="007F15CA" w:rsidRPr="002E1C30">
        <w:rPr>
          <w:rFonts w:ascii="Arial" w:hAnsi="Arial" w:cs="Arial"/>
          <w:sz w:val="24"/>
          <w:szCs w:val="24"/>
        </w:rPr>
        <w:t xml:space="preserve">abortive </w:t>
      </w:r>
      <w:r w:rsidRPr="004D586E">
        <w:rPr>
          <w:rFonts w:ascii="Arial" w:hAnsi="Arial" w:cs="Arial"/>
          <w:sz w:val="24"/>
          <w:szCs w:val="24"/>
        </w:rPr>
        <w:t xml:space="preserve">transaction costs </w:t>
      </w:r>
      <w:r w:rsidR="007F15CA" w:rsidRPr="002E1C30">
        <w:rPr>
          <w:rFonts w:ascii="Arial" w:hAnsi="Arial" w:cs="Arial"/>
          <w:sz w:val="24"/>
          <w:szCs w:val="24"/>
        </w:rPr>
        <w:t xml:space="preserve">(such as professional fees) </w:t>
      </w:r>
      <w:r w:rsidRPr="004D586E">
        <w:rPr>
          <w:rFonts w:ascii="Arial" w:hAnsi="Arial" w:cs="Arial"/>
          <w:sz w:val="24"/>
          <w:szCs w:val="24"/>
        </w:rPr>
        <w:t xml:space="preserve">without guarantee of securing the investment </w:t>
      </w:r>
      <w:r w:rsidR="007F15CA" w:rsidRPr="002E1C30">
        <w:rPr>
          <w:rFonts w:ascii="Arial" w:hAnsi="Arial" w:cs="Arial"/>
          <w:sz w:val="24"/>
          <w:szCs w:val="24"/>
        </w:rPr>
        <w:t xml:space="preserve">as </w:t>
      </w:r>
      <w:r w:rsidRPr="004D586E">
        <w:rPr>
          <w:rFonts w:ascii="Arial" w:hAnsi="Arial" w:cs="Arial"/>
          <w:sz w:val="24"/>
          <w:szCs w:val="24"/>
        </w:rPr>
        <w:t>the Council may be one of seve</w:t>
      </w:r>
      <w:r w:rsidRPr="00B012A5">
        <w:rPr>
          <w:rFonts w:ascii="Arial" w:hAnsi="Arial" w:cs="Arial"/>
          <w:sz w:val="24"/>
          <w:szCs w:val="24"/>
        </w:rPr>
        <w:t>ral bidders</w:t>
      </w:r>
      <w:r w:rsidR="007F15CA" w:rsidRPr="002E1C30">
        <w:rPr>
          <w:rFonts w:ascii="Arial" w:hAnsi="Arial" w:cs="Arial"/>
          <w:sz w:val="24"/>
          <w:szCs w:val="24"/>
        </w:rPr>
        <w:t xml:space="preserve"> </w:t>
      </w:r>
      <w:r w:rsidR="004D586E" w:rsidRPr="002E1C30">
        <w:rPr>
          <w:rFonts w:ascii="Arial" w:hAnsi="Arial" w:cs="Arial"/>
          <w:sz w:val="24"/>
          <w:szCs w:val="24"/>
        </w:rPr>
        <w:t xml:space="preserve">in a competitive </w:t>
      </w:r>
      <w:proofErr w:type="gramStart"/>
      <w:r w:rsidR="004D586E" w:rsidRPr="002E1C30">
        <w:rPr>
          <w:rFonts w:ascii="Arial" w:hAnsi="Arial" w:cs="Arial"/>
          <w:sz w:val="24"/>
          <w:szCs w:val="24"/>
        </w:rPr>
        <w:t>market</w:t>
      </w:r>
      <w:r w:rsidR="00485470" w:rsidRPr="002E1C30">
        <w:rPr>
          <w:rFonts w:ascii="Arial" w:hAnsi="Arial" w:cs="Arial"/>
          <w:sz w:val="24"/>
          <w:szCs w:val="24"/>
        </w:rPr>
        <w:t>;</w:t>
      </w:r>
      <w:proofErr w:type="gramEnd"/>
    </w:p>
    <w:p w14:paraId="30E76670" w14:textId="77777777" w:rsidR="000E6916" w:rsidRPr="002E1C30" w:rsidRDefault="000E6916" w:rsidP="000E6916">
      <w:pPr>
        <w:numPr>
          <w:ilvl w:val="0"/>
          <w:numId w:val="26"/>
        </w:numPr>
        <w:rPr>
          <w:rFonts w:ascii="Arial" w:hAnsi="Arial" w:cs="Arial"/>
          <w:sz w:val="24"/>
          <w:szCs w:val="24"/>
        </w:rPr>
      </w:pPr>
      <w:r w:rsidRPr="007F15CA">
        <w:rPr>
          <w:rFonts w:ascii="Arial" w:hAnsi="Arial" w:cs="Arial"/>
          <w:sz w:val="24"/>
          <w:szCs w:val="24"/>
        </w:rPr>
        <w:lastRenderedPageBreak/>
        <w:t xml:space="preserve">Price &amp; Cost Risk – Once acquired the </w:t>
      </w:r>
      <w:r w:rsidR="00ED3982" w:rsidRPr="002E1C30">
        <w:rPr>
          <w:rFonts w:ascii="Arial" w:hAnsi="Arial" w:cs="Arial"/>
          <w:sz w:val="24"/>
          <w:szCs w:val="24"/>
        </w:rPr>
        <w:t>value</w:t>
      </w:r>
      <w:r w:rsidRPr="007F15CA">
        <w:rPr>
          <w:rFonts w:ascii="Arial" w:hAnsi="Arial" w:cs="Arial"/>
          <w:sz w:val="24"/>
          <w:szCs w:val="24"/>
        </w:rPr>
        <w:t xml:space="preserve"> of the investment may</w:t>
      </w:r>
      <w:r w:rsidRPr="004D586E">
        <w:rPr>
          <w:rFonts w:ascii="Arial" w:hAnsi="Arial" w:cs="Arial"/>
          <w:sz w:val="24"/>
          <w:szCs w:val="24"/>
        </w:rPr>
        <w:t xml:space="preserve"> fluctuate over time, which </w:t>
      </w:r>
      <w:r w:rsidR="00ED3982" w:rsidRPr="002E1C30">
        <w:rPr>
          <w:rFonts w:ascii="Arial" w:hAnsi="Arial" w:cs="Arial"/>
          <w:sz w:val="24"/>
          <w:szCs w:val="24"/>
        </w:rPr>
        <w:t xml:space="preserve">due to the nature of </w:t>
      </w:r>
      <w:r w:rsidR="007F15CA" w:rsidRPr="002E1C30">
        <w:rPr>
          <w:rFonts w:ascii="Arial" w:hAnsi="Arial" w:cs="Arial"/>
          <w:sz w:val="24"/>
          <w:szCs w:val="24"/>
        </w:rPr>
        <w:t>property investments, will likely</w:t>
      </w:r>
      <w:r w:rsidR="007F15CA" w:rsidRPr="007F15CA">
        <w:rPr>
          <w:rFonts w:ascii="Arial" w:hAnsi="Arial" w:cs="Arial"/>
          <w:sz w:val="24"/>
          <w:szCs w:val="24"/>
        </w:rPr>
        <w:t xml:space="preserve"> </w:t>
      </w:r>
      <w:r w:rsidRPr="002E1C30">
        <w:rPr>
          <w:rFonts w:ascii="Arial" w:hAnsi="Arial" w:cs="Arial"/>
          <w:sz w:val="24"/>
          <w:szCs w:val="24"/>
        </w:rPr>
        <w:t xml:space="preserve">reflect variations in </w:t>
      </w:r>
      <w:r w:rsidR="007F15CA" w:rsidRPr="002E1C30">
        <w:rPr>
          <w:rFonts w:ascii="Arial" w:hAnsi="Arial" w:cs="Arial"/>
          <w:sz w:val="24"/>
          <w:szCs w:val="24"/>
        </w:rPr>
        <w:t xml:space="preserve">supply and </w:t>
      </w:r>
      <w:proofErr w:type="gramStart"/>
      <w:r w:rsidRPr="007F15CA">
        <w:rPr>
          <w:rFonts w:ascii="Arial" w:hAnsi="Arial" w:cs="Arial"/>
          <w:sz w:val="24"/>
          <w:szCs w:val="24"/>
        </w:rPr>
        <w:t>demand</w:t>
      </w:r>
      <w:r w:rsidR="00485470" w:rsidRPr="002E1C30">
        <w:rPr>
          <w:rFonts w:ascii="Arial" w:hAnsi="Arial" w:cs="Arial"/>
          <w:sz w:val="24"/>
          <w:szCs w:val="24"/>
        </w:rPr>
        <w:t>;</w:t>
      </w:r>
      <w:proofErr w:type="gramEnd"/>
    </w:p>
    <w:p w14:paraId="3851969A" w14:textId="77777777" w:rsidR="000E6916" w:rsidRPr="002E1C30" w:rsidRDefault="000E6916" w:rsidP="000E6916">
      <w:pPr>
        <w:numPr>
          <w:ilvl w:val="0"/>
          <w:numId w:val="26"/>
        </w:numPr>
        <w:rPr>
          <w:rFonts w:ascii="Arial" w:hAnsi="Arial" w:cs="Arial"/>
          <w:sz w:val="24"/>
          <w:szCs w:val="24"/>
        </w:rPr>
      </w:pPr>
      <w:r w:rsidRPr="002E1C30">
        <w:rPr>
          <w:rFonts w:ascii="Arial" w:hAnsi="Arial" w:cs="Arial"/>
          <w:sz w:val="24"/>
          <w:szCs w:val="24"/>
        </w:rPr>
        <w:t>Economic / Political Risk – the ability to retain or dispose of an investment may be inhibited by the economic and political environment at any point in time</w:t>
      </w:r>
      <w:r w:rsidR="00485470" w:rsidRPr="002E1C30">
        <w:rPr>
          <w:rFonts w:ascii="Arial" w:hAnsi="Arial" w:cs="Arial"/>
          <w:sz w:val="24"/>
          <w:szCs w:val="24"/>
        </w:rPr>
        <w:t>; and,</w:t>
      </w:r>
    </w:p>
    <w:p w14:paraId="2D0B6977" w14:textId="77777777" w:rsidR="000E6916" w:rsidRPr="00ED3982" w:rsidRDefault="000E6916" w:rsidP="000E6916">
      <w:pPr>
        <w:numPr>
          <w:ilvl w:val="0"/>
          <w:numId w:val="26"/>
        </w:numPr>
        <w:rPr>
          <w:rFonts w:ascii="Arial" w:hAnsi="Arial" w:cs="Arial"/>
          <w:sz w:val="24"/>
          <w:szCs w:val="24"/>
        </w:rPr>
      </w:pPr>
      <w:r w:rsidRPr="00ED3982">
        <w:rPr>
          <w:rFonts w:ascii="Arial" w:hAnsi="Arial" w:cs="Arial"/>
          <w:sz w:val="24"/>
          <w:szCs w:val="24"/>
        </w:rPr>
        <w:t>Market Risk – the Council’s ability to influence the price, financial return or other benefits pertaining to the investment may be limited by the market in which it operates</w:t>
      </w:r>
      <w:r w:rsidR="005547B2">
        <w:rPr>
          <w:rFonts w:ascii="Arial" w:hAnsi="Arial" w:cs="Arial"/>
          <w:sz w:val="24"/>
          <w:szCs w:val="24"/>
        </w:rPr>
        <w:t>.</w:t>
      </w:r>
    </w:p>
    <w:p w14:paraId="29D9B3B4" w14:textId="77777777" w:rsidR="000E6916" w:rsidRPr="002E1C30" w:rsidRDefault="000E6916" w:rsidP="000E6916">
      <w:pPr>
        <w:contextualSpacing/>
        <w:rPr>
          <w:rFonts w:ascii="Arial" w:hAnsi="Arial" w:cs="Arial"/>
          <w:sz w:val="24"/>
          <w:szCs w:val="24"/>
          <w:highlight w:val="yellow"/>
        </w:rPr>
      </w:pPr>
      <w:r w:rsidRPr="004D586E">
        <w:rPr>
          <w:rFonts w:ascii="Arial" w:hAnsi="Arial" w:cs="Arial"/>
          <w:sz w:val="24"/>
          <w:szCs w:val="24"/>
        </w:rPr>
        <w:t>The</w:t>
      </w:r>
      <w:r w:rsidR="004D586E" w:rsidRPr="002E1C30">
        <w:rPr>
          <w:rFonts w:ascii="Arial" w:hAnsi="Arial" w:cs="Arial"/>
          <w:sz w:val="24"/>
          <w:szCs w:val="24"/>
        </w:rPr>
        <w:t xml:space="preserve"> value of the</w:t>
      </w:r>
      <w:r w:rsidRPr="004D586E">
        <w:rPr>
          <w:rFonts w:ascii="Arial" w:hAnsi="Arial" w:cs="Arial"/>
          <w:sz w:val="24"/>
          <w:szCs w:val="24"/>
        </w:rPr>
        <w:t xml:space="preserve"> Council’s current commercial investment portfolio </w:t>
      </w:r>
      <w:r w:rsidRPr="002E1C30">
        <w:rPr>
          <w:rFonts w:ascii="Arial" w:hAnsi="Arial" w:cs="Arial"/>
          <w:sz w:val="24"/>
          <w:szCs w:val="24"/>
        </w:rPr>
        <w:t xml:space="preserve">is disclosed in the Council’s statement of accounts and set out below using the latest valuation information available (31 March </w:t>
      </w:r>
      <w:r w:rsidR="008E3F1F" w:rsidRPr="002E1C30">
        <w:rPr>
          <w:rFonts w:ascii="Arial" w:hAnsi="Arial" w:cs="Arial"/>
          <w:sz w:val="24"/>
          <w:szCs w:val="24"/>
        </w:rPr>
        <w:t>202</w:t>
      </w:r>
      <w:r w:rsidR="00EF2915">
        <w:rPr>
          <w:rFonts w:ascii="Arial" w:hAnsi="Arial" w:cs="Arial"/>
          <w:sz w:val="24"/>
          <w:szCs w:val="24"/>
        </w:rPr>
        <w:t>3</w:t>
      </w:r>
      <w:r w:rsidRPr="004D586E">
        <w:rPr>
          <w:rFonts w:ascii="Arial" w:hAnsi="Arial" w:cs="Arial"/>
          <w:sz w:val="24"/>
          <w:szCs w:val="24"/>
        </w:rPr>
        <w:t>). It is not possible to prepare a formal expectation of value in advance of the actual valuation exercise undertaken for to provide information for the Council’s annual accounts. Where any valuations are felt to be unrealistic or may have changed materially, this is noted in the table below.</w:t>
      </w:r>
      <w:r w:rsidRPr="002E1C30">
        <w:rPr>
          <w:rFonts w:ascii="Arial" w:hAnsi="Arial" w:cs="Arial"/>
          <w:sz w:val="24"/>
          <w:szCs w:val="24"/>
          <w:highlight w:val="yellow"/>
        </w:rPr>
        <w:br/>
      </w:r>
    </w:p>
    <w:p w14:paraId="1FCFC015" w14:textId="77777777" w:rsidR="000E6916" w:rsidRPr="008E3F1F" w:rsidRDefault="000E6916" w:rsidP="000E6916">
      <w:pPr>
        <w:contextualSpacing/>
        <w:rPr>
          <w:rFonts w:ascii="Arial" w:hAnsi="Arial" w:cs="Arial"/>
          <w:i/>
          <w:sz w:val="24"/>
          <w:szCs w:val="24"/>
        </w:rPr>
      </w:pPr>
      <w:r w:rsidRPr="008E3F1F">
        <w:rPr>
          <w:rFonts w:ascii="Arial" w:hAnsi="Arial" w:cs="Arial"/>
          <w:i/>
          <w:sz w:val="24"/>
          <w:szCs w:val="24"/>
        </w:rPr>
        <w:t>Table 1</w:t>
      </w:r>
      <w:r w:rsidR="00DA56C3" w:rsidRPr="008E3F1F">
        <w:rPr>
          <w:rFonts w:ascii="Arial" w:hAnsi="Arial" w:cs="Arial"/>
          <w:i/>
          <w:sz w:val="24"/>
          <w:szCs w:val="24"/>
        </w:rPr>
        <w:t>2</w:t>
      </w:r>
      <w:r w:rsidRPr="008E3F1F">
        <w:rPr>
          <w:rFonts w:ascii="Arial" w:hAnsi="Arial" w:cs="Arial"/>
          <w:i/>
          <w:sz w:val="24"/>
          <w:szCs w:val="24"/>
        </w:rPr>
        <w:t xml:space="preserve">: Property held for investment </w:t>
      </w:r>
      <w:proofErr w:type="gramStart"/>
      <w:r w:rsidRPr="008E3F1F">
        <w:rPr>
          <w:rFonts w:ascii="Arial" w:hAnsi="Arial" w:cs="Arial"/>
          <w:i/>
          <w:sz w:val="24"/>
          <w:szCs w:val="24"/>
        </w:rPr>
        <w:t>purposes</w:t>
      </w:r>
      <w:proofErr w:type="gramEnd"/>
      <w:r w:rsidRPr="008E3F1F">
        <w:rPr>
          <w:rFonts w:ascii="Arial" w:hAnsi="Arial" w:cs="Arial"/>
          <w:i/>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1418"/>
        <w:gridCol w:w="1417"/>
      </w:tblGrid>
      <w:tr w:rsidR="000E6916" w:rsidRPr="002E1C30" w14:paraId="1D6DA7BA" w14:textId="77777777" w:rsidTr="00F12252">
        <w:tc>
          <w:tcPr>
            <w:tcW w:w="4253" w:type="dxa"/>
            <w:vMerge w:val="restart"/>
            <w:shd w:val="clear" w:color="auto" w:fill="auto"/>
          </w:tcPr>
          <w:p w14:paraId="0008A83F" w14:textId="77777777" w:rsidR="000E6916" w:rsidRPr="00DE2F6E" w:rsidRDefault="000E6916" w:rsidP="00EA768C">
            <w:pPr>
              <w:spacing w:before="60" w:after="60"/>
              <w:rPr>
                <w:rFonts w:ascii="Arial" w:eastAsia="Times New Roman" w:hAnsi="Arial" w:cs="Arial"/>
                <w:sz w:val="24"/>
                <w:szCs w:val="24"/>
              </w:rPr>
            </w:pPr>
            <w:r w:rsidRPr="00DE2F6E">
              <w:rPr>
                <w:rFonts w:ascii="Arial" w:eastAsia="Times New Roman" w:hAnsi="Arial" w:cs="Arial"/>
                <w:b/>
                <w:sz w:val="24"/>
                <w:szCs w:val="24"/>
              </w:rPr>
              <w:t>Property</w:t>
            </w:r>
            <w:r w:rsidR="006A0D2E" w:rsidRPr="00DE2F6E">
              <w:rPr>
                <w:rFonts w:ascii="Arial" w:eastAsia="Times New Roman" w:hAnsi="Arial" w:cs="Arial"/>
                <w:b/>
                <w:sz w:val="24"/>
                <w:szCs w:val="24"/>
              </w:rPr>
              <w:t xml:space="preserve"> reference</w:t>
            </w:r>
          </w:p>
        </w:tc>
        <w:tc>
          <w:tcPr>
            <w:tcW w:w="1417" w:type="dxa"/>
            <w:shd w:val="clear" w:color="auto" w:fill="auto"/>
          </w:tcPr>
          <w:p w14:paraId="672B185B" w14:textId="77777777" w:rsidR="000E6916" w:rsidRPr="00292895" w:rsidRDefault="000E6916" w:rsidP="00EF2915">
            <w:pPr>
              <w:spacing w:before="60" w:after="60"/>
              <w:jc w:val="center"/>
              <w:rPr>
                <w:rFonts w:ascii="Arial" w:eastAsia="Times New Roman" w:hAnsi="Arial" w:cs="Arial"/>
                <w:b/>
                <w:sz w:val="24"/>
                <w:szCs w:val="24"/>
              </w:rPr>
            </w:pPr>
            <w:r w:rsidRPr="00292895">
              <w:rPr>
                <w:rFonts w:ascii="Arial" w:eastAsia="Times New Roman" w:hAnsi="Arial" w:cs="Arial"/>
                <w:b/>
                <w:sz w:val="24"/>
                <w:szCs w:val="24"/>
              </w:rPr>
              <w:t>Actual</w:t>
            </w:r>
          </w:p>
        </w:tc>
        <w:tc>
          <w:tcPr>
            <w:tcW w:w="2835" w:type="dxa"/>
            <w:gridSpan w:val="2"/>
            <w:shd w:val="clear" w:color="auto" w:fill="auto"/>
          </w:tcPr>
          <w:p w14:paraId="7B523FFC" w14:textId="77777777" w:rsidR="000E6916" w:rsidRPr="00DE2F6E" w:rsidRDefault="000E6916" w:rsidP="00EF2915">
            <w:pPr>
              <w:spacing w:before="60" w:after="60"/>
              <w:jc w:val="center"/>
              <w:rPr>
                <w:rFonts w:ascii="Arial" w:eastAsia="Times New Roman" w:hAnsi="Arial" w:cs="Arial"/>
                <w:b/>
                <w:sz w:val="24"/>
                <w:szCs w:val="24"/>
              </w:rPr>
            </w:pPr>
            <w:r w:rsidRPr="00922A72">
              <w:rPr>
                <w:rFonts w:ascii="Arial" w:eastAsia="Times New Roman" w:hAnsi="Arial" w:cs="Arial"/>
                <w:b/>
                <w:sz w:val="24"/>
                <w:szCs w:val="24"/>
              </w:rPr>
              <w:t>31.3.</w:t>
            </w:r>
            <w:r w:rsidR="008E3F1F" w:rsidRPr="002E1C30">
              <w:rPr>
                <w:rFonts w:ascii="Arial" w:eastAsia="Times New Roman" w:hAnsi="Arial" w:cs="Arial"/>
                <w:b/>
                <w:sz w:val="24"/>
                <w:szCs w:val="24"/>
              </w:rPr>
              <w:t>202</w:t>
            </w:r>
            <w:r w:rsidR="00EF2915">
              <w:rPr>
                <w:rFonts w:ascii="Arial" w:eastAsia="Times New Roman" w:hAnsi="Arial" w:cs="Arial"/>
                <w:b/>
                <w:sz w:val="24"/>
                <w:szCs w:val="24"/>
              </w:rPr>
              <w:t>3</w:t>
            </w:r>
            <w:r w:rsidR="008E3F1F" w:rsidRPr="00DE2F6E">
              <w:rPr>
                <w:rFonts w:ascii="Arial" w:eastAsia="Times New Roman" w:hAnsi="Arial" w:cs="Arial"/>
                <w:b/>
                <w:sz w:val="24"/>
                <w:szCs w:val="24"/>
              </w:rPr>
              <w:t xml:space="preserve"> </w:t>
            </w:r>
            <w:r w:rsidR="00EF2915">
              <w:rPr>
                <w:rFonts w:ascii="Arial" w:eastAsia="Times New Roman" w:hAnsi="Arial" w:cs="Arial"/>
                <w:b/>
                <w:sz w:val="24"/>
                <w:szCs w:val="24"/>
              </w:rPr>
              <w:t>A</w:t>
            </w:r>
            <w:r w:rsidRPr="00DE2F6E">
              <w:rPr>
                <w:rFonts w:ascii="Arial" w:eastAsia="Times New Roman" w:hAnsi="Arial" w:cs="Arial"/>
                <w:b/>
                <w:sz w:val="24"/>
                <w:szCs w:val="24"/>
              </w:rPr>
              <w:t>ctual</w:t>
            </w:r>
          </w:p>
        </w:tc>
      </w:tr>
      <w:tr w:rsidR="00DE2F6E" w:rsidRPr="002E1C30" w14:paraId="6605BA89" w14:textId="77777777" w:rsidTr="00F12252">
        <w:tc>
          <w:tcPr>
            <w:tcW w:w="4253" w:type="dxa"/>
            <w:vMerge/>
            <w:shd w:val="clear" w:color="auto" w:fill="auto"/>
          </w:tcPr>
          <w:p w14:paraId="12C843BE" w14:textId="77777777" w:rsidR="000E6916" w:rsidRPr="002E1C30" w:rsidRDefault="000E6916" w:rsidP="00EA768C">
            <w:pPr>
              <w:spacing w:before="60" w:after="60"/>
              <w:rPr>
                <w:rFonts w:ascii="Arial" w:eastAsia="Times New Roman" w:hAnsi="Arial" w:cs="Arial"/>
                <w:b/>
                <w:sz w:val="24"/>
                <w:szCs w:val="24"/>
              </w:rPr>
            </w:pPr>
          </w:p>
        </w:tc>
        <w:tc>
          <w:tcPr>
            <w:tcW w:w="1417" w:type="dxa"/>
            <w:shd w:val="clear" w:color="auto" w:fill="auto"/>
          </w:tcPr>
          <w:p w14:paraId="27DB9A34" w14:textId="77777777" w:rsidR="000E6916" w:rsidRPr="002E1C30" w:rsidRDefault="000E6916" w:rsidP="00EF2915">
            <w:pPr>
              <w:spacing w:before="60" w:after="60"/>
              <w:jc w:val="center"/>
              <w:rPr>
                <w:rFonts w:ascii="Arial" w:eastAsia="Times New Roman" w:hAnsi="Arial" w:cs="Arial"/>
                <w:b/>
                <w:sz w:val="24"/>
                <w:szCs w:val="24"/>
              </w:rPr>
            </w:pPr>
            <w:r w:rsidRPr="002E1C30">
              <w:rPr>
                <w:rFonts w:ascii="Arial" w:eastAsia="Times New Roman" w:hAnsi="Arial" w:cs="Arial"/>
                <w:b/>
                <w:sz w:val="24"/>
                <w:szCs w:val="24"/>
              </w:rPr>
              <w:t>Purchase cost</w:t>
            </w:r>
          </w:p>
        </w:tc>
        <w:tc>
          <w:tcPr>
            <w:tcW w:w="1418" w:type="dxa"/>
            <w:shd w:val="clear" w:color="auto" w:fill="FFFFFF"/>
          </w:tcPr>
          <w:p w14:paraId="2EB78FFD" w14:textId="77777777" w:rsidR="000E6916" w:rsidRPr="002E1C30" w:rsidRDefault="000E6916" w:rsidP="00EF2915">
            <w:pPr>
              <w:spacing w:before="60" w:after="60"/>
              <w:jc w:val="center"/>
              <w:rPr>
                <w:rFonts w:ascii="Arial" w:eastAsia="Times New Roman" w:hAnsi="Arial" w:cs="Arial"/>
                <w:b/>
                <w:sz w:val="24"/>
                <w:szCs w:val="24"/>
              </w:rPr>
            </w:pPr>
            <w:r w:rsidRPr="002E1C30">
              <w:rPr>
                <w:rFonts w:ascii="Arial" w:eastAsia="Times New Roman" w:hAnsi="Arial" w:cs="Arial"/>
                <w:b/>
                <w:sz w:val="24"/>
                <w:szCs w:val="24"/>
              </w:rPr>
              <w:t>Gains or (losses)</w:t>
            </w:r>
          </w:p>
        </w:tc>
        <w:tc>
          <w:tcPr>
            <w:tcW w:w="1417" w:type="dxa"/>
            <w:shd w:val="clear" w:color="auto" w:fill="FFFFFF"/>
          </w:tcPr>
          <w:p w14:paraId="531BA13E" w14:textId="77777777" w:rsidR="000E6916" w:rsidRPr="002E1C30" w:rsidRDefault="000E6916" w:rsidP="00EF2915">
            <w:pPr>
              <w:spacing w:before="60" w:after="60"/>
              <w:jc w:val="center"/>
              <w:rPr>
                <w:rFonts w:ascii="Arial" w:eastAsia="Times New Roman" w:hAnsi="Arial" w:cs="Arial"/>
                <w:b/>
                <w:sz w:val="24"/>
                <w:szCs w:val="24"/>
              </w:rPr>
            </w:pPr>
            <w:r w:rsidRPr="002E1C30">
              <w:rPr>
                <w:rFonts w:ascii="Arial" w:eastAsia="Times New Roman" w:hAnsi="Arial" w:cs="Arial"/>
                <w:b/>
                <w:sz w:val="24"/>
                <w:szCs w:val="24"/>
              </w:rPr>
              <w:t>Value in accounts</w:t>
            </w:r>
          </w:p>
        </w:tc>
      </w:tr>
      <w:tr w:rsidR="00EF2915" w:rsidRPr="002E1C30" w14:paraId="438074AB" w14:textId="77777777" w:rsidTr="00F12252">
        <w:tc>
          <w:tcPr>
            <w:tcW w:w="4253" w:type="dxa"/>
            <w:shd w:val="clear" w:color="auto" w:fill="auto"/>
          </w:tcPr>
          <w:p w14:paraId="04D21302" w14:textId="77777777" w:rsidR="00EF2915" w:rsidRPr="002E1C30" w:rsidRDefault="00EF2915" w:rsidP="00EF2915">
            <w:pPr>
              <w:spacing w:before="60" w:after="60"/>
              <w:rPr>
                <w:rFonts w:ascii="Arial" w:eastAsia="Times New Roman" w:hAnsi="Arial" w:cs="Arial"/>
                <w:sz w:val="24"/>
                <w:szCs w:val="24"/>
              </w:rPr>
            </w:pPr>
          </w:p>
        </w:tc>
        <w:tc>
          <w:tcPr>
            <w:tcW w:w="1417" w:type="dxa"/>
            <w:shd w:val="clear" w:color="auto" w:fill="auto"/>
          </w:tcPr>
          <w:p w14:paraId="0A2FE329" w14:textId="77777777" w:rsidR="00EF2915" w:rsidRPr="00EF2915" w:rsidRDefault="00EF2915" w:rsidP="00EF2915">
            <w:pPr>
              <w:spacing w:before="60" w:after="60"/>
              <w:jc w:val="center"/>
              <w:rPr>
                <w:rFonts w:ascii="Arial" w:eastAsia="Times New Roman" w:hAnsi="Arial" w:cs="Arial"/>
                <w:b/>
                <w:bCs/>
                <w:sz w:val="24"/>
                <w:szCs w:val="24"/>
              </w:rPr>
            </w:pPr>
            <w:r w:rsidRPr="00EF2915">
              <w:rPr>
                <w:rFonts w:ascii="Arial" w:eastAsia="Times New Roman" w:hAnsi="Arial" w:cs="Arial"/>
                <w:b/>
                <w:bCs/>
                <w:sz w:val="24"/>
                <w:szCs w:val="24"/>
              </w:rPr>
              <w:t>£m</w:t>
            </w:r>
          </w:p>
        </w:tc>
        <w:tc>
          <w:tcPr>
            <w:tcW w:w="1418" w:type="dxa"/>
            <w:shd w:val="clear" w:color="auto" w:fill="auto"/>
          </w:tcPr>
          <w:p w14:paraId="6A2A4E8B" w14:textId="77777777" w:rsidR="00EF2915" w:rsidRPr="00DE2F6E" w:rsidRDefault="00EF2915" w:rsidP="00EF2915">
            <w:pPr>
              <w:spacing w:before="60" w:after="60"/>
              <w:jc w:val="center"/>
              <w:rPr>
                <w:rFonts w:ascii="Arial" w:eastAsia="Times New Roman" w:hAnsi="Arial" w:cs="Arial"/>
                <w:sz w:val="24"/>
                <w:szCs w:val="24"/>
              </w:rPr>
            </w:pPr>
            <w:r w:rsidRPr="00EF2915">
              <w:rPr>
                <w:rFonts w:ascii="Arial" w:eastAsia="Times New Roman" w:hAnsi="Arial" w:cs="Arial"/>
                <w:b/>
                <w:bCs/>
                <w:sz w:val="24"/>
                <w:szCs w:val="24"/>
              </w:rPr>
              <w:t>£m</w:t>
            </w:r>
          </w:p>
        </w:tc>
        <w:tc>
          <w:tcPr>
            <w:tcW w:w="1417" w:type="dxa"/>
            <w:shd w:val="clear" w:color="auto" w:fill="auto"/>
          </w:tcPr>
          <w:p w14:paraId="7414229A" w14:textId="77777777" w:rsidR="00EF2915" w:rsidRPr="002E1C30" w:rsidRDefault="00EF2915" w:rsidP="00EF2915">
            <w:pPr>
              <w:spacing w:before="60" w:after="60"/>
              <w:jc w:val="center"/>
              <w:rPr>
                <w:rFonts w:ascii="Arial" w:eastAsia="Times New Roman" w:hAnsi="Arial" w:cs="Arial"/>
                <w:sz w:val="24"/>
                <w:szCs w:val="24"/>
              </w:rPr>
            </w:pPr>
            <w:r w:rsidRPr="00EF2915">
              <w:rPr>
                <w:rFonts w:ascii="Arial" w:eastAsia="Times New Roman" w:hAnsi="Arial" w:cs="Arial"/>
                <w:b/>
                <w:bCs/>
                <w:sz w:val="24"/>
                <w:szCs w:val="24"/>
              </w:rPr>
              <w:t>£m</w:t>
            </w:r>
          </w:p>
        </w:tc>
      </w:tr>
      <w:tr w:rsidR="00EF2915" w:rsidRPr="002E1C30" w14:paraId="57FC41C8" w14:textId="77777777" w:rsidTr="00F12252">
        <w:tc>
          <w:tcPr>
            <w:tcW w:w="4253" w:type="dxa"/>
            <w:shd w:val="clear" w:color="auto" w:fill="auto"/>
          </w:tcPr>
          <w:p w14:paraId="32088E60" w14:textId="77777777" w:rsidR="00EF2915" w:rsidRPr="00DE2F6E" w:rsidRDefault="00EF2915" w:rsidP="00EF2915">
            <w:pPr>
              <w:spacing w:before="60" w:after="60"/>
              <w:rPr>
                <w:rFonts w:ascii="Arial" w:eastAsia="Times New Roman" w:hAnsi="Arial" w:cs="Arial"/>
                <w:sz w:val="24"/>
                <w:szCs w:val="24"/>
              </w:rPr>
            </w:pPr>
            <w:r w:rsidRPr="002E1C30">
              <w:rPr>
                <w:rFonts w:ascii="Arial" w:eastAsia="Times New Roman" w:hAnsi="Arial" w:cs="Arial"/>
                <w:sz w:val="24"/>
                <w:szCs w:val="24"/>
              </w:rPr>
              <w:t>IP001</w:t>
            </w:r>
          </w:p>
        </w:tc>
        <w:tc>
          <w:tcPr>
            <w:tcW w:w="1417" w:type="dxa"/>
            <w:shd w:val="clear" w:color="auto" w:fill="auto"/>
          </w:tcPr>
          <w:p w14:paraId="0D4AD2F1"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0.87</w:t>
            </w:r>
          </w:p>
        </w:tc>
        <w:tc>
          <w:tcPr>
            <w:tcW w:w="1418" w:type="dxa"/>
            <w:shd w:val="clear" w:color="auto" w:fill="FFFFFF"/>
          </w:tcPr>
          <w:p w14:paraId="0A8B27C5" w14:textId="77777777" w:rsidR="00EF2915" w:rsidRPr="00292895"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0.</w:t>
            </w:r>
            <w:r>
              <w:rPr>
                <w:rFonts w:ascii="Arial" w:eastAsia="Times New Roman" w:hAnsi="Arial" w:cs="Arial"/>
                <w:sz w:val="24"/>
                <w:szCs w:val="24"/>
              </w:rPr>
              <w:t>38</w:t>
            </w:r>
          </w:p>
        </w:tc>
        <w:tc>
          <w:tcPr>
            <w:tcW w:w="1417" w:type="dxa"/>
            <w:shd w:val="clear" w:color="auto" w:fill="FFFFFF"/>
          </w:tcPr>
          <w:p w14:paraId="1781573B" w14:textId="77777777" w:rsidR="00EF2915" w:rsidRPr="00DE2F6E" w:rsidRDefault="00EF2915" w:rsidP="00EF2915">
            <w:pPr>
              <w:spacing w:before="60" w:after="60"/>
              <w:jc w:val="right"/>
              <w:rPr>
                <w:rFonts w:ascii="Arial" w:eastAsia="Times New Roman" w:hAnsi="Arial" w:cs="Arial"/>
                <w:sz w:val="24"/>
                <w:szCs w:val="24"/>
              </w:rPr>
            </w:pPr>
            <w:r w:rsidRPr="002E1C30">
              <w:rPr>
                <w:rFonts w:ascii="Arial" w:eastAsia="Times New Roman" w:hAnsi="Arial" w:cs="Arial"/>
                <w:sz w:val="24"/>
                <w:szCs w:val="24"/>
              </w:rPr>
              <w:t>1.25</w:t>
            </w:r>
          </w:p>
        </w:tc>
      </w:tr>
      <w:tr w:rsidR="00EF2915" w:rsidRPr="002E1C30" w14:paraId="1F9962E9" w14:textId="77777777" w:rsidTr="00F12252">
        <w:tc>
          <w:tcPr>
            <w:tcW w:w="4253" w:type="dxa"/>
            <w:shd w:val="clear" w:color="auto" w:fill="auto"/>
          </w:tcPr>
          <w:p w14:paraId="03747D36" w14:textId="77777777" w:rsidR="00EF2915" w:rsidRPr="00DE2F6E" w:rsidRDefault="00EF2915" w:rsidP="00EF2915">
            <w:pPr>
              <w:spacing w:before="60" w:after="60"/>
              <w:rPr>
                <w:rFonts w:ascii="Arial" w:eastAsia="Times New Roman" w:hAnsi="Arial" w:cs="Arial"/>
                <w:sz w:val="24"/>
                <w:szCs w:val="24"/>
              </w:rPr>
            </w:pPr>
            <w:r w:rsidRPr="002E1C30">
              <w:rPr>
                <w:rFonts w:ascii="Arial" w:eastAsia="Times New Roman" w:hAnsi="Arial" w:cs="Arial"/>
                <w:sz w:val="24"/>
                <w:szCs w:val="24"/>
              </w:rPr>
              <w:t xml:space="preserve">IP002 </w:t>
            </w:r>
          </w:p>
        </w:tc>
        <w:tc>
          <w:tcPr>
            <w:tcW w:w="1417" w:type="dxa"/>
            <w:shd w:val="clear" w:color="auto" w:fill="auto"/>
          </w:tcPr>
          <w:p w14:paraId="26F43525"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0.87</w:t>
            </w:r>
          </w:p>
        </w:tc>
        <w:tc>
          <w:tcPr>
            <w:tcW w:w="1418" w:type="dxa"/>
            <w:shd w:val="clear" w:color="auto" w:fill="FFFFFF"/>
          </w:tcPr>
          <w:p w14:paraId="01A78C96" w14:textId="77777777" w:rsidR="00EF2915" w:rsidRPr="00292895"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0.</w:t>
            </w:r>
            <w:r>
              <w:rPr>
                <w:rFonts w:ascii="Arial" w:eastAsia="Times New Roman" w:hAnsi="Arial" w:cs="Arial"/>
                <w:sz w:val="24"/>
                <w:szCs w:val="24"/>
              </w:rPr>
              <w:t>21</w:t>
            </w:r>
          </w:p>
        </w:tc>
        <w:tc>
          <w:tcPr>
            <w:tcW w:w="1417" w:type="dxa"/>
            <w:shd w:val="clear" w:color="auto" w:fill="FFFFFF"/>
          </w:tcPr>
          <w:p w14:paraId="13C8F631" w14:textId="77777777" w:rsidR="00EF2915" w:rsidRPr="00DE2F6E" w:rsidRDefault="00EF2915" w:rsidP="00EF2915">
            <w:pPr>
              <w:spacing w:before="60" w:after="60"/>
              <w:jc w:val="right"/>
              <w:rPr>
                <w:rFonts w:ascii="Arial" w:eastAsia="Times New Roman" w:hAnsi="Arial" w:cs="Arial"/>
                <w:sz w:val="24"/>
                <w:szCs w:val="24"/>
              </w:rPr>
            </w:pPr>
            <w:r w:rsidRPr="002E1C30">
              <w:rPr>
                <w:rFonts w:ascii="Arial" w:eastAsia="Times New Roman" w:hAnsi="Arial" w:cs="Arial"/>
                <w:sz w:val="24"/>
                <w:szCs w:val="24"/>
              </w:rPr>
              <w:t>1.0</w:t>
            </w:r>
            <w:r>
              <w:rPr>
                <w:rFonts w:ascii="Arial" w:eastAsia="Times New Roman" w:hAnsi="Arial" w:cs="Arial"/>
                <w:sz w:val="24"/>
                <w:szCs w:val="24"/>
              </w:rPr>
              <w:t>8</w:t>
            </w:r>
          </w:p>
        </w:tc>
      </w:tr>
      <w:tr w:rsidR="00EF2915" w:rsidRPr="002E1C30" w14:paraId="154E46F6" w14:textId="77777777" w:rsidTr="00F12252">
        <w:tc>
          <w:tcPr>
            <w:tcW w:w="4253" w:type="dxa"/>
            <w:shd w:val="clear" w:color="auto" w:fill="auto"/>
          </w:tcPr>
          <w:p w14:paraId="5A7450F5" w14:textId="77777777" w:rsidR="00EF2915" w:rsidRPr="00DE2F6E" w:rsidRDefault="00EF2915" w:rsidP="00EF2915">
            <w:pPr>
              <w:spacing w:before="60" w:after="60"/>
              <w:rPr>
                <w:rFonts w:ascii="Arial" w:eastAsia="Times New Roman" w:hAnsi="Arial" w:cs="Arial"/>
                <w:sz w:val="24"/>
                <w:szCs w:val="24"/>
              </w:rPr>
            </w:pPr>
            <w:r w:rsidRPr="002E1C30">
              <w:rPr>
                <w:rFonts w:ascii="Arial" w:eastAsia="Times New Roman" w:hAnsi="Arial" w:cs="Arial"/>
                <w:sz w:val="24"/>
                <w:szCs w:val="24"/>
              </w:rPr>
              <w:t xml:space="preserve">IP003 </w:t>
            </w:r>
          </w:p>
        </w:tc>
        <w:tc>
          <w:tcPr>
            <w:tcW w:w="1417" w:type="dxa"/>
            <w:shd w:val="clear" w:color="auto" w:fill="auto"/>
          </w:tcPr>
          <w:p w14:paraId="3B52B410"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2.51</w:t>
            </w:r>
          </w:p>
        </w:tc>
        <w:tc>
          <w:tcPr>
            <w:tcW w:w="1418" w:type="dxa"/>
            <w:shd w:val="clear" w:color="auto" w:fill="FFFFFF"/>
          </w:tcPr>
          <w:p w14:paraId="6ED29EEE"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2.</w:t>
            </w:r>
            <w:r>
              <w:rPr>
                <w:rFonts w:ascii="Arial" w:eastAsia="Times New Roman" w:hAnsi="Arial" w:cs="Arial"/>
                <w:sz w:val="24"/>
                <w:szCs w:val="24"/>
              </w:rPr>
              <w:t>76</w:t>
            </w:r>
          </w:p>
        </w:tc>
        <w:tc>
          <w:tcPr>
            <w:tcW w:w="1417" w:type="dxa"/>
            <w:shd w:val="clear" w:color="auto" w:fill="FFFFFF"/>
          </w:tcPr>
          <w:p w14:paraId="2127F77D"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5.</w:t>
            </w:r>
            <w:r>
              <w:rPr>
                <w:rFonts w:ascii="Arial" w:eastAsia="Times New Roman" w:hAnsi="Arial" w:cs="Arial"/>
                <w:sz w:val="24"/>
                <w:szCs w:val="24"/>
              </w:rPr>
              <w:t>27</w:t>
            </w:r>
          </w:p>
        </w:tc>
      </w:tr>
      <w:tr w:rsidR="00EF2915" w:rsidRPr="002E1C30" w14:paraId="420941BF" w14:textId="77777777" w:rsidTr="00F12252">
        <w:tc>
          <w:tcPr>
            <w:tcW w:w="4253" w:type="dxa"/>
            <w:shd w:val="clear" w:color="auto" w:fill="auto"/>
          </w:tcPr>
          <w:p w14:paraId="770508F5" w14:textId="77777777" w:rsidR="00EF2915" w:rsidRPr="00DE2F6E" w:rsidRDefault="00EF2915" w:rsidP="00EF2915">
            <w:pPr>
              <w:spacing w:before="60" w:after="60"/>
              <w:rPr>
                <w:rFonts w:ascii="Arial" w:eastAsia="Times New Roman" w:hAnsi="Arial" w:cs="Arial"/>
                <w:sz w:val="24"/>
                <w:szCs w:val="24"/>
              </w:rPr>
            </w:pPr>
            <w:r w:rsidRPr="002E1C30">
              <w:rPr>
                <w:rFonts w:ascii="Arial" w:eastAsia="Times New Roman" w:hAnsi="Arial" w:cs="Arial"/>
                <w:sz w:val="24"/>
                <w:szCs w:val="24"/>
              </w:rPr>
              <w:t xml:space="preserve">IP004 </w:t>
            </w:r>
          </w:p>
        </w:tc>
        <w:tc>
          <w:tcPr>
            <w:tcW w:w="1417" w:type="dxa"/>
            <w:shd w:val="clear" w:color="auto" w:fill="auto"/>
          </w:tcPr>
          <w:p w14:paraId="173584AF"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1.61</w:t>
            </w:r>
          </w:p>
        </w:tc>
        <w:tc>
          <w:tcPr>
            <w:tcW w:w="1418" w:type="dxa"/>
            <w:shd w:val="clear" w:color="auto" w:fill="FFFFFF"/>
          </w:tcPr>
          <w:p w14:paraId="7B2FF3C7"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w:t>
            </w:r>
            <w:r w:rsidRPr="00292895">
              <w:rPr>
                <w:rFonts w:ascii="Arial" w:eastAsia="Times New Roman" w:hAnsi="Arial" w:cs="Arial"/>
                <w:sz w:val="24"/>
                <w:szCs w:val="24"/>
              </w:rPr>
              <w:t>0.</w:t>
            </w:r>
            <w:r w:rsidRPr="002E1C30">
              <w:rPr>
                <w:rFonts w:ascii="Arial" w:eastAsia="Times New Roman" w:hAnsi="Arial" w:cs="Arial"/>
                <w:sz w:val="24"/>
                <w:szCs w:val="24"/>
              </w:rPr>
              <w:t>3</w:t>
            </w:r>
            <w:r>
              <w:rPr>
                <w:rFonts w:ascii="Arial" w:eastAsia="Times New Roman" w:hAnsi="Arial" w:cs="Arial"/>
                <w:sz w:val="24"/>
                <w:szCs w:val="24"/>
              </w:rPr>
              <w:t>8</w:t>
            </w:r>
            <w:r w:rsidRPr="00DE2F6E">
              <w:rPr>
                <w:rFonts w:ascii="Arial" w:eastAsia="Times New Roman" w:hAnsi="Arial" w:cs="Arial"/>
                <w:sz w:val="24"/>
                <w:szCs w:val="24"/>
              </w:rPr>
              <w:t>)</w:t>
            </w:r>
          </w:p>
        </w:tc>
        <w:tc>
          <w:tcPr>
            <w:tcW w:w="1417" w:type="dxa"/>
            <w:shd w:val="clear" w:color="auto" w:fill="FFFFFF"/>
          </w:tcPr>
          <w:p w14:paraId="79A8210F"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1.</w:t>
            </w:r>
            <w:r w:rsidRPr="002E1C30">
              <w:rPr>
                <w:rFonts w:ascii="Arial" w:eastAsia="Times New Roman" w:hAnsi="Arial" w:cs="Arial"/>
                <w:sz w:val="24"/>
                <w:szCs w:val="24"/>
              </w:rPr>
              <w:t>2</w:t>
            </w:r>
            <w:r>
              <w:rPr>
                <w:rFonts w:ascii="Arial" w:eastAsia="Times New Roman" w:hAnsi="Arial" w:cs="Arial"/>
                <w:sz w:val="24"/>
                <w:szCs w:val="24"/>
              </w:rPr>
              <w:t>3</w:t>
            </w:r>
          </w:p>
        </w:tc>
      </w:tr>
      <w:tr w:rsidR="00EF2915" w:rsidRPr="002E1C30" w14:paraId="074D308D" w14:textId="77777777" w:rsidTr="00F12252">
        <w:tc>
          <w:tcPr>
            <w:tcW w:w="4253" w:type="dxa"/>
            <w:shd w:val="clear" w:color="auto" w:fill="auto"/>
          </w:tcPr>
          <w:p w14:paraId="782C1B9E" w14:textId="77777777" w:rsidR="00EF2915" w:rsidRPr="00DE2F6E" w:rsidRDefault="00EF2915" w:rsidP="00EF2915">
            <w:pPr>
              <w:spacing w:before="60" w:after="60"/>
              <w:rPr>
                <w:rFonts w:ascii="Arial" w:eastAsia="Times New Roman" w:hAnsi="Arial" w:cs="Arial"/>
                <w:sz w:val="24"/>
                <w:szCs w:val="24"/>
              </w:rPr>
            </w:pPr>
            <w:r w:rsidRPr="002E1C30">
              <w:rPr>
                <w:rFonts w:ascii="Arial" w:eastAsia="Times New Roman" w:hAnsi="Arial" w:cs="Arial"/>
                <w:sz w:val="24"/>
                <w:szCs w:val="24"/>
              </w:rPr>
              <w:t xml:space="preserve">IP005 </w:t>
            </w:r>
          </w:p>
        </w:tc>
        <w:tc>
          <w:tcPr>
            <w:tcW w:w="1417" w:type="dxa"/>
            <w:shd w:val="clear" w:color="auto" w:fill="auto"/>
          </w:tcPr>
          <w:p w14:paraId="4F2C776E"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1.63</w:t>
            </w:r>
          </w:p>
        </w:tc>
        <w:tc>
          <w:tcPr>
            <w:tcW w:w="1418" w:type="dxa"/>
            <w:shd w:val="clear" w:color="auto" w:fill="FFFFFF"/>
          </w:tcPr>
          <w:p w14:paraId="77EE9AB0"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0.</w:t>
            </w:r>
            <w:r w:rsidRPr="002E1C30">
              <w:rPr>
                <w:rFonts w:ascii="Arial" w:eastAsia="Times New Roman" w:hAnsi="Arial" w:cs="Arial"/>
                <w:sz w:val="24"/>
                <w:szCs w:val="24"/>
              </w:rPr>
              <w:t>1</w:t>
            </w:r>
            <w:r>
              <w:rPr>
                <w:rFonts w:ascii="Arial" w:eastAsia="Times New Roman" w:hAnsi="Arial" w:cs="Arial"/>
                <w:sz w:val="24"/>
                <w:szCs w:val="24"/>
              </w:rPr>
              <w:t>5</w:t>
            </w:r>
          </w:p>
        </w:tc>
        <w:tc>
          <w:tcPr>
            <w:tcW w:w="1417" w:type="dxa"/>
            <w:shd w:val="clear" w:color="auto" w:fill="FFFFFF"/>
          </w:tcPr>
          <w:p w14:paraId="17B14914"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1.</w:t>
            </w:r>
            <w:r>
              <w:rPr>
                <w:rFonts w:ascii="Arial" w:eastAsia="Times New Roman" w:hAnsi="Arial" w:cs="Arial"/>
                <w:sz w:val="24"/>
                <w:szCs w:val="24"/>
              </w:rPr>
              <w:t>78</w:t>
            </w:r>
          </w:p>
        </w:tc>
      </w:tr>
      <w:tr w:rsidR="00EF2915" w:rsidRPr="002E1C30" w14:paraId="4F9300F6" w14:textId="77777777" w:rsidTr="00F12252">
        <w:tc>
          <w:tcPr>
            <w:tcW w:w="4253" w:type="dxa"/>
            <w:shd w:val="clear" w:color="auto" w:fill="auto"/>
          </w:tcPr>
          <w:p w14:paraId="374C521D" w14:textId="77777777" w:rsidR="00EF2915" w:rsidRPr="00DE2F6E" w:rsidRDefault="00EF2915" w:rsidP="00EF2915">
            <w:pPr>
              <w:spacing w:before="60" w:after="60"/>
              <w:rPr>
                <w:rFonts w:ascii="Arial" w:eastAsia="Times New Roman" w:hAnsi="Arial" w:cs="Arial"/>
                <w:sz w:val="24"/>
                <w:szCs w:val="24"/>
              </w:rPr>
            </w:pPr>
            <w:r w:rsidRPr="002E1C30">
              <w:rPr>
                <w:rFonts w:ascii="Arial" w:eastAsia="Times New Roman" w:hAnsi="Arial" w:cs="Arial"/>
                <w:sz w:val="24"/>
                <w:szCs w:val="24"/>
              </w:rPr>
              <w:t>IP006</w:t>
            </w:r>
          </w:p>
        </w:tc>
        <w:tc>
          <w:tcPr>
            <w:tcW w:w="1417" w:type="dxa"/>
            <w:shd w:val="clear" w:color="auto" w:fill="auto"/>
          </w:tcPr>
          <w:p w14:paraId="05F6E18E"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3.64</w:t>
            </w:r>
          </w:p>
        </w:tc>
        <w:tc>
          <w:tcPr>
            <w:tcW w:w="1418" w:type="dxa"/>
            <w:shd w:val="clear" w:color="auto" w:fill="FFFFFF"/>
          </w:tcPr>
          <w:p w14:paraId="6B37AED8"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w:t>
            </w:r>
            <w:r>
              <w:rPr>
                <w:rFonts w:ascii="Arial" w:eastAsia="Times New Roman" w:hAnsi="Arial" w:cs="Arial"/>
                <w:sz w:val="24"/>
                <w:szCs w:val="24"/>
              </w:rPr>
              <w:t>1.11</w:t>
            </w:r>
            <w:r w:rsidRPr="00DE2F6E">
              <w:rPr>
                <w:rFonts w:ascii="Arial" w:eastAsia="Times New Roman" w:hAnsi="Arial" w:cs="Arial"/>
                <w:sz w:val="24"/>
                <w:szCs w:val="24"/>
              </w:rPr>
              <w:t>)</w:t>
            </w:r>
          </w:p>
        </w:tc>
        <w:tc>
          <w:tcPr>
            <w:tcW w:w="1417" w:type="dxa"/>
            <w:shd w:val="clear" w:color="auto" w:fill="FFFFFF"/>
          </w:tcPr>
          <w:p w14:paraId="523B7F64" w14:textId="77777777" w:rsidR="00EF2915" w:rsidRPr="00DE2F6E" w:rsidRDefault="00EF2915" w:rsidP="00EF2915">
            <w:pPr>
              <w:spacing w:before="60" w:after="60"/>
              <w:jc w:val="right"/>
              <w:rPr>
                <w:rFonts w:ascii="Arial" w:eastAsia="Times New Roman" w:hAnsi="Arial" w:cs="Arial"/>
                <w:sz w:val="24"/>
                <w:szCs w:val="24"/>
              </w:rPr>
            </w:pPr>
            <w:r>
              <w:rPr>
                <w:rFonts w:ascii="Arial" w:eastAsia="Times New Roman" w:hAnsi="Arial" w:cs="Arial"/>
                <w:sz w:val="24"/>
                <w:szCs w:val="24"/>
              </w:rPr>
              <w:t>2</w:t>
            </w:r>
            <w:r w:rsidRPr="00DE2F6E">
              <w:rPr>
                <w:rFonts w:ascii="Arial" w:eastAsia="Times New Roman" w:hAnsi="Arial" w:cs="Arial"/>
                <w:sz w:val="24"/>
                <w:szCs w:val="24"/>
              </w:rPr>
              <w:t>.</w:t>
            </w:r>
            <w:r w:rsidRPr="002E1C30">
              <w:rPr>
                <w:rFonts w:ascii="Arial" w:eastAsia="Times New Roman" w:hAnsi="Arial" w:cs="Arial"/>
                <w:sz w:val="24"/>
                <w:szCs w:val="24"/>
              </w:rPr>
              <w:t>5</w:t>
            </w:r>
            <w:r>
              <w:rPr>
                <w:rFonts w:ascii="Arial" w:eastAsia="Times New Roman" w:hAnsi="Arial" w:cs="Arial"/>
                <w:sz w:val="24"/>
                <w:szCs w:val="24"/>
              </w:rPr>
              <w:t>3</w:t>
            </w:r>
          </w:p>
        </w:tc>
      </w:tr>
      <w:tr w:rsidR="00EF2915" w:rsidRPr="002E1C30" w14:paraId="272D6429" w14:textId="77777777" w:rsidTr="00F12252">
        <w:tc>
          <w:tcPr>
            <w:tcW w:w="4253" w:type="dxa"/>
            <w:shd w:val="clear" w:color="auto" w:fill="auto"/>
          </w:tcPr>
          <w:p w14:paraId="5598AAD8" w14:textId="77777777" w:rsidR="00EF2915" w:rsidRPr="00DE2F6E" w:rsidRDefault="00EF2915" w:rsidP="00EF2915">
            <w:pPr>
              <w:spacing w:before="60" w:after="60"/>
              <w:rPr>
                <w:rFonts w:ascii="Arial" w:eastAsia="Times New Roman" w:hAnsi="Arial" w:cs="Arial"/>
                <w:sz w:val="24"/>
                <w:szCs w:val="24"/>
              </w:rPr>
            </w:pPr>
            <w:r w:rsidRPr="002E1C30">
              <w:rPr>
                <w:rFonts w:ascii="Arial" w:eastAsia="Times New Roman" w:hAnsi="Arial" w:cs="Arial"/>
                <w:sz w:val="24"/>
                <w:szCs w:val="24"/>
              </w:rPr>
              <w:t>LD264</w:t>
            </w:r>
          </w:p>
        </w:tc>
        <w:tc>
          <w:tcPr>
            <w:tcW w:w="1417" w:type="dxa"/>
            <w:shd w:val="clear" w:color="auto" w:fill="auto"/>
          </w:tcPr>
          <w:p w14:paraId="5CDEF343" w14:textId="77777777" w:rsidR="00EF2915" w:rsidRPr="00DE2F6E"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0.06</w:t>
            </w:r>
          </w:p>
        </w:tc>
        <w:tc>
          <w:tcPr>
            <w:tcW w:w="1418" w:type="dxa"/>
            <w:shd w:val="clear" w:color="auto" w:fill="FFFFFF"/>
          </w:tcPr>
          <w:p w14:paraId="70274686" w14:textId="77777777" w:rsidR="00EF2915" w:rsidRPr="00292895" w:rsidRDefault="00EF2915" w:rsidP="00EF2915">
            <w:pPr>
              <w:spacing w:before="60" w:after="60"/>
              <w:jc w:val="right"/>
              <w:rPr>
                <w:rFonts w:ascii="Arial" w:eastAsia="Times New Roman" w:hAnsi="Arial" w:cs="Arial"/>
                <w:sz w:val="24"/>
                <w:szCs w:val="24"/>
              </w:rPr>
            </w:pPr>
            <w:r w:rsidRPr="00DE2F6E">
              <w:rPr>
                <w:rFonts w:ascii="Arial" w:eastAsia="Times New Roman" w:hAnsi="Arial" w:cs="Arial"/>
                <w:sz w:val="24"/>
                <w:szCs w:val="24"/>
              </w:rPr>
              <w:t>0.0</w:t>
            </w:r>
            <w:r>
              <w:rPr>
                <w:rFonts w:ascii="Arial" w:eastAsia="Times New Roman" w:hAnsi="Arial" w:cs="Arial"/>
                <w:sz w:val="24"/>
                <w:szCs w:val="24"/>
              </w:rPr>
              <w:t>1</w:t>
            </w:r>
          </w:p>
        </w:tc>
        <w:tc>
          <w:tcPr>
            <w:tcW w:w="1417" w:type="dxa"/>
            <w:shd w:val="clear" w:color="auto" w:fill="FFFFFF"/>
          </w:tcPr>
          <w:p w14:paraId="2DC9862E" w14:textId="77777777" w:rsidR="00EF2915" w:rsidRPr="00922A72" w:rsidRDefault="00EF2915" w:rsidP="00EF2915">
            <w:pPr>
              <w:spacing w:before="60" w:after="60"/>
              <w:jc w:val="right"/>
              <w:rPr>
                <w:rFonts w:ascii="Arial" w:eastAsia="Times New Roman" w:hAnsi="Arial" w:cs="Arial"/>
                <w:sz w:val="24"/>
                <w:szCs w:val="24"/>
              </w:rPr>
            </w:pPr>
            <w:r w:rsidRPr="00922A72">
              <w:rPr>
                <w:rFonts w:ascii="Arial" w:eastAsia="Times New Roman" w:hAnsi="Arial" w:cs="Arial"/>
                <w:sz w:val="24"/>
                <w:szCs w:val="24"/>
              </w:rPr>
              <w:t>0.0</w:t>
            </w:r>
            <w:r>
              <w:rPr>
                <w:rFonts w:ascii="Arial" w:eastAsia="Times New Roman" w:hAnsi="Arial" w:cs="Arial"/>
                <w:sz w:val="24"/>
                <w:szCs w:val="24"/>
              </w:rPr>
              <w:t>7</w:t>
            </w:r>
          </w:p>
        </w:tc>
      </w:tr>
      <w:tr w:rsidR="00EF2915" w:rsidRPr="002E1C30" w14:paraId="6639BA04" w14:textId="77777777" w:rsidTr="00F12252">
        <w:tc>
          <w:tcPr>
            <w:tcW w:w="4253" w:type="dxa"/>
            <w:shd w:val="clear" w:color="auto" w:fill="auto"/>
          </w:tcPr>
          <w:p w14:paraId="13683D62" w14:textId="77777777" w:rsidR="00EF2915" w:rsidRPr="002E1C30" w:rsidRDefault="00EF2915" w:rsidP="00EF2915">
            <w:pPr>
              <w:spacing w:before="60" w:after="60"/>
              <w:rPr>
                <w:rFonts w:ascii="Arial" w:eastAsia="Times New Roman" w:hAnsi="Arial" w:cs="Arial"/>
                <w:b/>
                <w:sz w:val="24"/>
                <w:szCs w:val="24"/>
              </w:rPr>
            </w:pPr>
            <w:r w:rsidRPr="002E1C30">
              <w:rPr>
                <w:rFonts w:ascii="Arial" w:eastAsia="Times New Roman" w:hAnsi="Arial" w:cs="Arial"/>
                <w:b/>
                <w:sz w:val="24"/>
                <w:szCs w:val="24"/>
              </w:rPr>
              <w:t>TOTAL</w:t>
            </w:r>
          </w:p>
        </w:tc>
        <w:tc>
          <w:tcPr>
            <w:tcW w:w="1417" w:type="dxa"/>
            <w:shd w:val="clear" w:color="auto" w:fill="auto"/>
          </w:tcPr>
          <w:p w14:paraId="21078CD4" w14:textId="77777777" w:rsidR="00EF2915" w:rsidRPr="002E1C30" w:rsidRDefault="00EF2915" w:rsidP="00EF2915">
            <w:pPr>
              <w:spacing w:before="60" w:after="60"/>
              <w:jc w:val="right"/>
              <w:rPr>
                <w:rFonts w:ascii="Arial" w:eastAsia="Times New Roman" w:hAnsi="Arial" w:cs="Arial"/>
                <w:b/>
                <w:sz w:val="24"/>
                <w:szCs w:val="24"/>
              </w:rPr>
            </w:pPr>
            <w:r w:rsidRPr="002E1C30">
              <w:rPr>
                <w:rFonts w:ascii="Arial" w:eastAsia="Times New Roman" w:hAnsi="Arial" w:cs="Arial"/>
                <w:b/>
                <w:sz w:val="24"/>
                <w:szCs w:val="24"/>
              </w:rPr>
              <w:t>11.19</w:t>
            </w:r>
          </w:p>
        </w:tc>
        <w:tc>
          <w:tcPr>
            <w:tcW w:w="1418" w:type="dxa"/>
            <w:shd w:val="clear" w:color="auto" w:fill="FFFFFF"/>
          </w:tcPr>
          <w:p w14:paraId="39B26BA5" w14:textId="77777777" w:rsidR="00EF2915" w:rsidRPr="00B012A5" w:rsidRDefault="00EF2915" w:rsidP="00EF2915">
            <w:pPr>
              <w:spacing w:before="60" w:after="60"/>
              <w:jc w:val="right"/>
              <w:rPr>
                <w:rFonts w:ascii="Arial" w:eastAsia="Times New Roman" w:hAnsi="Arial" w:cs="Arial"/>
                <w:b/>
                <w:sz w:val="24"/>
                <w:szCs w:val="24"/>
              </w:rPr>
            </w:pPr>
            <w:r w:rsidRPr="002E1C30">
              <w:rPr>
                <w:rFonts w:ascii="Arial" w:eastAsia="Times New Roman" w:hAnsi="Arial" w:cs="Arial"/>
                <w:b/>
                <w:sz w:val="24"/>
                <w:szCs w:val="24"/>
              </w:rPr>
              <w:t>2.</w:t>
            </w:r>
            <w:r>
              <w:rPr>
                <w:rFonts w:ascii="Arial" w:eastAsia="Times New Roman" w:hAnsi="Arial" w:cs="Arial"/>
                <w:b/>
                <w:sz w:val="24"/>
                <w:szCs w:val="24"/>
              </w:rPr>
              <w:t>02</w:t>
            </w:r>
          </w:p>
        </w:tc>
        <w:tc>
          <w:tcPr>
            <w:tcW w:w="1417" w:type="dxa"/>
            <w:shd w:val="clear" w:color="auto" w:fill="FFFFFF"/>
          </w:tcPr>
          <w:p w14:paraId="0CD86F7D" w14:textId="77777777" w:rsidR="00EF2915" w:rsidRPr="00B012A5" w:rsidRDefault="00EF2915" w:rsidP="00EF2915">
            <w:pPr>
              <w:spacing w:before="60" w:after="60"/>
              <w:jc w:val="right"/>
              <w:rPr>
                <w:rFonts w:ascii="Arial" w:eastAsia="Times New Roman" w:hAnsi="Arial" w:cs="Arial"/>
                <w:b/>
                <w:sz w:val="24"/>
                <w:szCs w:val="24"/>
              </w:rPr>
            </w:pPr>
            <w:r w:rsidRPr="00A63CCA">
              <w:rPr>
                <w:rFonts w:ascii="Arial" w:eastAsia="Times New Roman" w:hAnsi="Arial" w:cs="Arial"/>
                <w:b/>
                <w:sz w:val="24"/>
                <w:szCs w:val="24"/>
              </w:rPr>
              <w:t>13.</w:t>
            </w:r>
            <w:r>
              <w:rPr>
                <w:rFonts w:ascii="Arial" w:eastAsia="Times New Roman" w:hAnsi="Arial" w:cs="Arial"/>
                <w:b/>
                <w:sz w:val="24"/>
                <w:szCs w:val="24"/>
              </w:rPr>
              <w:t>21</w:t>
            </w:r>
          </w:p>
        </w:tc>
      </w:tr>
    </w:tbl>
    <w:p w14:paraId="4FA220B7" w14:textId="4718ECF8" w:rsidR="000E6916" w:rsidRDefault="000E6916" w:rsidP="000E6916">
      <w:pPr>
        <w:pStyle w:val="Heading3"/>
        <w:rPr>
          <w:rFonts w:ascii="Arial" w:hAnsi="Arial" w:cs="Arial"/>
        </w:rPr>
      </w:pPr>
      <w:bookmarkStart w:id="55" w:name="_Toc87966936"/>
      <w:bookmarkStart w:id="56" w:name="_Toc115768687"/>
      <w:r w:rsidRPr="00DE2F6E">
        <w:rPr>
          <w:rFonts w:ascii="Arial" w:hAnsi="Arial" w:cs="Arial"/>
        </w:rPr>
        <w:t>Security</w:t>
      </w:r>
      <w:bookmarkEnd w:id="55"/>
      <w:bookmarkEnd w:id="56"/>
    </w:p>
    <w:p w14:paraId="2247BA8A" w14:textId="77777777" w:rsidR="000C34C9" w:rsidRPr="000C34C9" w:rsidRDefault="000C34C9" w:rsidP="000C34C9"/>
    <w:p w14:paraId="19CDF096" w14:textId="77777777" w:rsidR="000E6916" w:rsidRPr="004D586E" w:rsidRDefault="000E6916" w:rsidP="000E6916">
      <w:p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sidRPr="004D586E">
        <w:rPr>
          <w:rFonts w:ascii="Arial" w:hAnsi="Arial" w:cs="Arial"/>
          <w:sz w:val="24"/>
          <w:szCs w:val="24"/>
        </w:rPr>
        <w:t>The Council defines security for investment properties as maintaining the fair value of the investment property portfolio above the purchase price paid.</w:t>
      </w:r>
    </w:p>
    <w:p w14:paraId="0C9377BF" w14:textId="77777777" w:rsidR="000E6916" w:rsidRPr="00B012A5" w:rsidRDefault="000E6916" w:rsidP="000E6916">
      <w:pPr>
        <w:rPr>
          <w:rFonts w:ascii="Arial" w:hAnsi="Arial" w:cs="Arial"/>
          <w:sz w:val="24"/>
          <w:szCs w:val="24"/>
        </w:rPr>
      </w:pPr>
      <w:r w:rsidRPr="004D586E">
        <w:rPr>
          <w:rFonts w:ascii="Arial" w:hAnsi="Arial" w:cs="Arial"/>
          <w:sz w:val="24"/>
          <w:szCs w:val="24"/>
        </w:rPr>
        <w:t>The Co</w:t>
      </w:r>
      <w:r w:rsidRPr="00B012A5">
        <w:rPr>
          <w:rFonts w:ascii="Arial" w:hAnsi="Arial" w:cs="Arial"/>
          <w:sz w:val="24"/>
          <w:szCs w:val="24"/>
        </w:rPr>
        <w:t xml:space="preserve">uncil recognises that any form of </w:t>
      </w:r>
      <w:r w:rsidR="004D586E" w:rsidRPr="002E1C30">
        <w:rPr>
          <w:rFonts w:ascii="Arial" w:hAnsi="Arial" w:cs="Arial"/>
          <w:sz w:val="24"/>
          <w:szCs w:val="24"/>
        </w:rPr>
        <w:t xml:space="preserve">property </w:t>
      </w:r>
      <w:r w:rsidRPr="004D586E">
        <w:rPr>
          <w:rFonts w:ascii="Arial" w:hAnsi="Arial" w:cs="Arial"/>
          <w:sz w:val="24"/>
          <w:szCs w:val="24"/>
        </w:rPr>
        <w:t>investment is not without risk since the value of any investment may rise or fall ov</w:t>
      </w:r>
      <w:r w:rsidRPr="00B012A5">
        <w:rPr>
          <w:rFonts w:ascii="Arial" w:hAnsi="Arial" w:cs="Arial"/>
          <w:sz w:val="24"/>
          <w:szCs w:val="24"/>
        </w:rPr>
        <w:t>er time, especially where it is to be retained over many years.</w:t>
      </w:r>
    </w:p>
    <w:p w14:paraId="10659848" w14:textId="77777777" w:rsidR="000E6916" w:rsidRPr="00B012A5" w:rsidRDefault="000E6916" w:rsidP="000E6916">
      <w:pPr>
        <w:rPr>
          <w:rFonts w:ascii="Arial" w:hAnsi="Arial" w:cs="Arial"/>
          <w:sz w:val="24"/>
          <w:szCs w:val="24"/>
        </w:rPr>
      </w:pPr>
      <w:r w:rsidRPr="00B012A5">
        <w:rPr>
          <w:rFonts w:ascii="Arial" w:hAnsi="Arial" w:cs="Arial"/>
          <w:sz w:val="24"/>
          <w:szCs w:val="24"/>
        </w:rPr>
        <w:lastRenderedPageBreak/>
        <w:t>A fair value assessment for all commercial investments hel</w:t>
      </w:r>
      <w:r w:rsidRPr="00A63CCA">
        <w:rPr>
          <w:rFonts w:ascii="Arial" w:hAnsi="Arial" w:cs="Arial"/>
          <w:sz w:val="24"/>
          <w:szCs w:val="24"/>
        </w:rPr>
        <w:t>d by the Council has been undertaken within the last 12 months. Of the s</w:t>
      </w:r>
      <w:r w:rsidR="00B012A5" w:rsidRPr="002E1C30">
        <w:rPr>
          <w:rFonts w:ascii="Arial" w:hAnsi="Arial" w:cs="Arial"/>
          <w:sz w:val="24"/>
          <w:szCs w:val="24"/>
        </w:rPr>
        <w:t>even</w:t>
      </w:r>
      <w:r w:rsidRPr="002E1C30">
        <w:rPr>
          <w:rFonts w:ascii="Arial" w:hAnsi="Arial" w:cs="Arial"/>
          <w:sz w:val="24"/>
          <w:szCs w:val="24"/>
        </w:rPr>
        <w:t xml:space="preserve"> properties owned by the Council for investment purposes, their total market value was assessed at £13.</w:t>
      </w:r>
      <w:r w:rsidR="00612151">
        <w:rPr>
          <w:rFonts w:ascii="Arial" w:hAnsi="Arial" w:cs="Arial"/>
          <w:sz w:val="24"/>
          <w:szCs w:val="24"/>
        </w:rPr>
        <w:t>21</w:t>
      </w:r>
      <w:r w:rsidR="00A63CCA" w:rsidRPr="00A63CCA">
        <w:rPr>
          <w:rFonts w:ascii="Arial" w:hAnsi="Arial" w:cs="Arial"/>
          <w:sz w:val="24"/>
          <w:szCs w:val="24"/>
        </w:rPr>
        <w:t xml:space="preserve">m </w:t>
      </w:r>
      <w:r w:rsidRPr="00A63CCA">
        <w:rPr>
          <w:rFonts w:ascii="Arial" w:hAnsi="Arial" w:cs="Arial"/>
          <w:sz w:val="24"/>
          <w:szCs w:val="24"/>
        </w:rPr>
        <w:t xml:space="preserve">on 31 March </w:t>
      </w:r>
      <w:r w:rsidR="004D586E" w:rsidRPr="002E1C30">
        <w:rPr>
          <w:rFonts w:ascii="Arial" w:hAnsi="Arial" w:cs="Arial"/>
          <w:sz w:val="24"/>
          <w:szCs w:val="24"/>
        </w:rPr>
        <w:t>202</w:t>
      </w:r>
      <w:r w:rsidR="00612151">
        <w:rPr>
          <w:rFonts w:ascii="Arial" w:hAnsi="Arial" w:cs="Arial"/>
          <w:sz w:val="24"/>
          <w:szCs w:val="24"/>
        </w:rPr>
        <w:t>3</w:t>
      </w:r>
      <w:r w:rsidRPr="00B012A5">
        <w:rPr>
          <w:rFonts w:ascii="Arial" w:hAnsi="Arial" w:cs="Arial"/>
          <w:sz w:val="24"/>
          <w:szCs w:val="24"/>
        </w:rPr>
        <w:t xml:space="preserve">, significantly above the total initial purchase cost. </w:t>
      </w:r>
    </w:p>
    <w:p w14:paraId="248FB6FC" w14:textId="77777777" w:rsidR="000E6916" w:rsidRPr="00A63CCA" w:rsidRDefault="000E6916" w:rsidP="000E6916">
      <w:pPr>
        <w:rPr>
          <w:rFonts w:ascii="Arial" w:hAnsi="Arial" w:cs="Arial"/>
          <w:sz w:val="24"/>
          <w:szCs w:val="24"/>
        </w:rPr>
      </w:pPr>
      <w:r w:rsidRPr="00A63CCA">
        <w:rPr>
          <w:rFonts w:ascii="Arial" w:hAnsi="Arial" w:cs="Arial"/>
          <w:sz w:val="24"/>
          <w:szCs w:val="24"/>
        </w:rPr>
        <w:t>Within this, two of the properties had a fair value that was below the initial purchase cost. Whilst it is possible that the fair value of these investment properties would not provide security against loss</w:t>
      </w:r>
      <w:r w:rsidR="00A63CCA" w:rsidRPr="002E1C30">
        <w:rPr>
          <w:rFonts w:ascii="Arial" w:hAnsi="Arial" w:cs="Arial"/>
          <w:sz w:val="24"/>
          <w:szCs w:val="24"/>
        </w:rPr>
        <w:t>,</w:t>
      </w:r>
      <w:r w:rsidRPr="00A63CCA">
        <w:rPr>
          <w:rFonts w:ascii="Arial" w:hAnsi="Arial" w:cs="Arial"/>
          <w:sz w:val="24"/>
          <w:szCs w:val="24"/>
        </w:rPr>
        <w:t xml:space="preserve"> this would only occur if the Council were </w:t>
      </w:r>
      <w:r w:rsidR="00A63CCA" w:rsidRPr="002E1C30">
        <w:rPr>
          <w:rFonts w:ascii="Arial" w:hAnsi="Arial" w:cs="Arial"/>
          <w:sz w:val="24"/>
          <w:szCs w:val="24"/>
        </w:rPr>
        <w:t>compelled</w:t>
      </w:r>
      <w:r w:rsidR="00A63CCA" w:rsidRPr="00A63CCA">
        <w:rPr>
          <w:rFonts w:ascii="Arial" w:hAnsi="Arial" w:cs="Arial"/>
          <w:sz w:val="24"/>
          <w:szCs w:val="24"/>
        </w:rPr>
        <w:t xml:space="preserve"> </w:t>
      </w:r>
      <w:r w:rsidRPr="00A63CCA">
        <w:rPr>
          <w:rFonts w:ascii="Arial" w:hAnsi="Arial" w:cs="Arial"/>
          <w:sz w:val="24"/>
          <w:szCs w:val="24"/>
        </w:rPr>
        <w:t>to sell these properties</w:t>
      </w:r>
      <w:r w:rsidR="00A63CCA" w:rsidRPr="002E1C30">
        <w:rPr>
          <w:rFonts w:ascii="Arial" w:hAnsi="Arial" w:cs="Arial"/>
          <w:sz w:val="24"/>
          <w:szCs w:val="24"/>
        </w:rPr>
        <w:t>.</w:t>
      </w:r>
      <w:r w:rsidRPr="00A63CCA">
        <w:rPr>
          <w:rFonts w:ascii="Arial" w:hAnsi="Arial" w:cs="Arial"/>
          <w:sz w:val="24"/>
          <w:szCs w:val="24"/>
        </w:rPr>
        <w:t xml:space="preserve"> </w:t>
      </w:r>
      <w:r w:rsidR="00A63CCA" w:rsidRPr="002E1C30">
        <w:rPr>
          <w:rFonts w:ascii="Arial" w:hAnsi="Arial" w:cs="Arial"/>
          <w:sz w:val="24"/>
          <w:szCs w:val="24"/>
        </w:rPr>
        <w:t xml:space="preserve">Investment </w:t>
      </w:r>
      <w:r w:rsidRPr="00A63CCA">
        <w:rPr>
          <w:rFonts w:ascii="Arial" w:hAnsi="Arial" w:cs="Arial"/>
          <w:sz w:val="24"/>
          <w:szCs w:val="24"/>
        </w:rPr>
        <w:t xml:space="preserve">property is </w:t>
      </w:r>
      <w:r w:rsidR="00A63CCA" w:rsidRPr="002E1C30">
        <w:rPr>
          <w:rFonts w:ascii="Arial" w:hAnsi="Arial" w:cs="Arial"/>
          <w:sz w:val="24"/>
          <w:szCs w:val="24"/>
        </w:rPr>
        <w:t xml:space="preserve">considered </w:t>
      </w:r>
      <w:r w:rsidRPr="00A63CCA">
        <w:rPr>
          <w:rFonts w:ascii="Arial" w:hAnsi="Arial" w:cs="Arial"/>
          <w:sz w:val="24"/>
          <w:szCs w:val="24"/>
        </w:rPr>
        <w:t xml:space="preserve">a </w:t>
      </w:r>
      <w:r w:rsidR="002E1C30" w:rsidRPr="00A63CCA">
        <w:rPr>
          <w:rFonts w:ascii="Arial" w:hAnsi="Arial" w:cs="Arial"/>
          <w:sz w:val="24"/>
          <w:szCs w:val="24"/>
        </w:rPr>
        <w:t>long-term</w:t>
      </w:r>
      <w:r w:rsidRPr="00A63CCA">
        <w:rPr>
          <w:rFonts w:ascii="Arial" w:hAnsi="Arial" w:cs="Arial"/>
          <w:sz w:val="24"/>
          <w:szCs w:val="24"/>
        </w:rPr>
        <w:t xml:space="preserve"> asset and the Council only invests once it is satisfied that the asset can be held over a period longer than 5 years and does not borrow to fund the purchase.</w:t>
      </w:r>
    </w:p>
    <w:p w14:paraId="386B9732" w14:textId="77777777" w:rsidR="000E6916" w:rsidRPr="00A63CCA" w:rsidRDefault="000E6916" w:rsidP="000E6916">
      <w:pPr>
        <w:rPr>
          <w:rFonts w:ascii="Arial" w:hAnsi="Arial" w:cs="Arial"/>
          <w:sz w:val="24"/>
          <w:szCs w:val="24"/>
        </w:rPr>
      </w:pPr>
      <w:r w:rsidRPr="00A63CCA">
        <w:rPr>
          <w:rFonts w:ascii="Arial" w:hAnsi="Arial" w:cs="Arial"/>
          <w:sz w:val="24"/>
          <w:szCs w:val="24"/>
        </w:rPr>
        <w:t xml:space="preserve">The Council is satisfied that the true market value of these properties provides adequate security for the investment of public funds. Should the </w:t>
      </w:r>
      <w:r w:rsidR="002E1C30" w:rsidRPr="002E1C30">
        <w:rPr>
          <w:rFonts w:ascii="Arial" w:hAnsi="Arial" w:cs="Arial"/>
          <w:sz w:val="24"/>
          <w:szCs w:val="24"/>
        </w:rPr>
        <w:t>202</w:t>
      </w:r>
      <w:r w:rsidR="00612151">
        <w:rPr>
          <w:rFonts w:ascii="Arial" w:hAnsi="Arial" w:cs="Arial"/>
          <w:sz w:val="24"/>
          <w:szCs w:val="24"/>
        </w:rPr>
        <w:t>3-24</w:t>
      </w:r>
      <w:r w:rsidR="002E1C30">
        <w:rPr>
          <w:rFonts w:ascii="Arial" w:hAnsi="Arial" w:cs="Arial"/>
          <w:sz w:val="24"/>
          <w:szCs w:val="24"/>
        </w:rPr>
        <w:t xml:space="preserve"> </w:t>
      </w:r>
      <w:r w:rsidR="002E1C30" w:rsidRPr="00A63CCA">
        <w:rPr>
          <w:rFonts w:ascii="Arial" w:hAnsi="Arial" w:cs="Arial"/>
          <w:sz w:val="24"/>
          <w:szCs w:val="24"/>
        </w:rPr>
        <w:t>year</w:t>
      </w:r>
      <w:r w:rsidR="002E1C30">
        <w:rPr>
          <w:rFonts w:ascii="Arial" w:hAnsi="Arial" w:cs="Arial"/>
          <w:sz w:val="24"/>
          <w:szCs w:val="24"/>
        </w:rPr>
        <w:t>-</w:t>
      </w:r>
      <w:r w:rsidRPr="00A63CCA">
        <w:rPr>
          <w:rFonts w:ascii="Arial" w:hAnsi="Arial" w:cs="Arial"/>
          <w:sz w:val="24"/>
          <w:szCs w:val="24"/>
        </w:rPr>
        <w:t xml:space="preserve">end accounts preparation and audit process value these any properties materially below their purchase cost, then the Director of Corporate </w:t>
      </w:r>
      <w:r w:rsidR="002C7153">
        <w:rPr>
          <w:rFonts w:ascii="Arial" w:hAnsi="Arial" w:cs="Arial"/>
          <w:sz w:val="24"/>
          <w:szCs w:val="24"/>
        </w:rPr>
        <w:t>Services</w:t>
      </w:r>
      <w:r w:rsidRPr="00A63CCA">
        <w:rPr>
          <w:rFonts w:ascii="Arial" w:hAnsi="Arial" w:cs="Arial"/>
          <w:sz w:val="24"/>
          <w:szCs w:val="24"/>
        </w:rPr>
        <w:t xml:space="preserve"> will assess if the risk is such that a report together with an updated investment strategy is necessary detailing the impact of the loss on the security of investments and any possible revenue consequences arising therefrom.</w:t>
      </w:r>
    </w:p>
    <w:p w14:paraId="1294351B" w14:textId="77777777" w:rsidR="000E6916" w:rsidRPr="00A63CCA" w:rsidRDefault="000E6916" w:rsidP="000E6916">
      <w:pPr>
        <w:pStyle w:val="Heading3"/>
        <w:rPr>
          <w:rFonts w:ascii="Arial" w:hAnsi="Arial" w:cs="Arial"/>
        </w:rPr>
      </w:pPr>
      <w:bookmarkStart w:id="57" w:name="_Toc87966937"/>
      <w:bookmarkStart w:id="58" w:name="_Toc115768688"/>
      <w:r w:rsidRPr="00A63CCA">
        <w:rPr>
          <w:rFonts w:ascii="Arial" w:hAnsi="Arial" w:cs="Arial"/>
        </w:rPr>
        <w:t>Liquidity</w:t>
      </w:r>
      <w:bookmarkEnd w:id="57"/>
      <w:bookmarkEnd w:id="58"/>
    </w:p>
    <w:p w14:paraId="5AC5FB6A" w14:textId="77777777" w:rsidR="000E6916" w:rsidRPr="008F21B5" w:rsidRDefault="000E6916" w:rsidP="000E6916">
      <w:pPr>
        <w:rPr>
          <w:rFonts w:ascii="Arial" w:hAnsi="Arial" w:cs="Arial"/>
        </w:rPr>
      </w:pPr>
      <w:r w:rsidRPr="00A63CCA">
        <w:rPr>
          <w:rFonts w:ascii="Arial" w:hAnsi="Arial" w:cs="Arial"/>
          <w:sz w:val="24"/>
          <w:szCs w:val="24"/>
        </w:rPr>
        <w:t>Compared with other invest</w:t>
      </w:r>
      <w:r w:rsidRPr="00A1574F">
        <w:rPr>
          <w:rFonts w:ascii="Arial" w:hAnsi="Arial" w:cs="Arial"/>
          <w:sz w:val="24"/>
          <w:szCs w:val="24"/>
        </w:rPr>
        <w:t>ment types,</w:t>
      </w:r>
      <w:r w:rsidRPr="008F21B5">
        <w:rPr>
          <w:rFonts w:ascii="Arial" w:hAnsi="Arial" w:cs="Arial"/>
          <w:sz w:val="24"/>
          <w:szCs w:val="24"/>
        </w:rPr>
        <w:t xml:space="preserve"> property is relatively difficult to sell and convert to cash at short notice, and </w:t>
      </w:r>
      <w:r w:rsidR="00A63CCA" w:rsidRPr="002E1C30">
        <w:rPr>
          <w:rFonts w:ascii="Arial" w:hAnsi="Arial" w:cs="Arial"/>
          <w:sz w:val="24"/>
          <w:szCs w:val="24"/>
        </w:rPr>
        <w:t xml:space="preserve">dependent on which property sector it falls in, </w:t>
      </w:r>
      <w:r w:rsidRPr="00A63CCA">
        <w:rPr>
          <w:rFonts w:ascii="Arial" w:hAnsi="Arial" w:cs="Arial"/>
          <w:sz w:val="24"/>
          <w:szCs w:val="24"/>
        </w:rPr>
        <w:t>can take a considerable period to sell in certain market conditions such as those that currently exist. Because of this, the Council only invests in non-tre</w:t>
      </w:r>
      <w:r w:rsidRPr="00A1574F">
        <w:rPr>
          <w:rFonts w:ascii="Arial" w:hAnsi="Arial" w:cs="Arial"/>
          <w:sz w:val="24"/>
          <w:szCs w:val="24"/>
        </w:rPr>
        <w:t>asury assets whe</w:t>
      </w:r>
      <w:r w:rsidRPr="008F21B5">
        <w:rPr>
          <w:rFonts w:ascii="Arial" w:hAnsi="Arial" w:cs="Arial"/>
          <w:sz w:val="24"/>
          <w:szCs w:val="24"/>
        </w:rPr>
        <w:t>re strategic forecasts indicate the asset can be held over an appropriate timeframe.</w:t>
      </w:r>
      <w:r w:rsidRPr="008F21B5">
        <w:rPr>
          <w:rFonts w:ascii="Arial" w:hAnsi="Arial" w:cs="Arial"/>
        </w:rPr>
        <w:t xml:space="preserve">  </w:t>
      </w:r>
    </w:p>
    <w:p w14:paraId="784AEA98" w14:textId="77777777" w:rsidR="000E6916" w:rsidRPr="002E1C30" w:rsidRDefault="000E6916" w:rsidP="000E6916">
      <w:pPr>
        <w:rPr>
          <w:rFonts w:ascii="Arial" w:hAnsi="Arial" w:cs="Arial"/>
          <w:sz w:val="24"/>
          <w:szCs w:val="24"/>
        </w:rPr>
      </w:pPr>
      <w:r w:rsidRPr="00246545">
        <w:rPr>
          <w:rFonts w:ascii="Arial" w:hAnsi="Arial" w:cs="Arial"/>
          <w:sz w:val="24"/>
          <w:szCs w:val="24"/>
        </w:rPr>
        <w:t xml:space="preserve">The Council does not borrow to </w:t>
      </w:r>
      <w:r w:rsidRPr="002E1C30">
        <w:rPr>
          <w:rFonts w:ascii="Arial" w:hAnsi="Arial" w:cs="Arial"/>
          <w:sz w:val="24"/>
          <w:szCs w:val="24"/>
        </w:rPr>
        <w:t xml:space="preserve">finance non-treasury investments and therefore has no need to generate cash to repay borrowing.  It recognises that unforeseen events can occur and maintains both a short term and medium term (five year) cashflow forecast which it expects will give the Council sufficient notice of any need to liquidate any non-treasury investments. </w:t>
      </w:r>
    </w:p>
    <w:p w14:paraId="6D16C84B" w14:textId="77777777" w:rsidR="000E6916" w:rsidRDefault="000E6916" w:rsidP="000E6916">
      <w:pPr>
        <w:rPr>
          <w:rFonts w:ascii="Arial" w:hAnsi="Arial" w:cs="Arial"/>
          <w:sz w:val="24"/>
          <w:szCs w:val="24"/>
        </w:rPr>
      </w:pPr>
      <w:r w:rsidRPr="002E1C30">
        <w:rPr>
          <w:rFonts w:ascii="Arial" w:hAnsi="Arial" w:cs="Arial"/>
          <w:sz w:val="24"/>
          <w:szCs w:val="24"/>
        </w:rPr>
        <w:t>The Council also holds significant cash and short</w:t>
      </w:r>
      <w:r w:rsidR="00246545">
        <w:rPr>
          <w:rFonts w:ascii="Arial" w:hAnsi="Arial" w:cs="Arial"/>
          <w:sz w:val="24"/>
          <w:szCs w:val="24"/>
        </w:rPr>
        <w:t>-</w:t>
      </w:r>
      <w:r w:rsidRPr="002E1C30">
        <w:rPr>
          <w:rFonts w:ascii="Arial" w:hAnsi="Arial" w:cs="Arial"/>
          <w:sz w:val="24"/>
          <w:szCs w:val="24"/>
        </w:rPr>
        <w:t>term investment balances at any one time.</w:t>
      </w:r>
    </w:p>
    <w:p w14:paraId="1E0EE7D9" w14:textId="77777777" w:rsidR="00246545" w:rsidRDefault="00246545" w:rsidP="002E1C30">
      <w:pPr>
        <w:pStyle w:val="Heading2"/>
        <w:rPr>
          <w:rFonts w:ascii="Arial" w:hAnsi="Arial" w:cs="Arial"/>
          <w:color w:val="auto"/>
        </w:rPr>
      </w:pPr>
      <w:bookmarkStart w:id="59" w:name="_Toc89847709"/>
      <w:bookmarkStart w:id="60" w:name="_Toc115768689"/>
      <w:r w:rsidRPr="00172A61">
        <w:rPr>
          <w:rFonts w:ascii="Arial" w:hAnsi="Arial" w:cs="Arial"/>
          <w:color w:val="auto"/>
        </w:rPr>
        <w:t>Proportionality</w:t>
      </w:r>
      <w:bookmarkEnd w:id="59"/>
      <w:r>
        <w:rPr>
          <w:rFonts w:ascii="Arial" w:hAnsi="Arial" w:cs="Arial"/>
          <w:color w:val="auto"/>
        </w:rPr>
        <w:t xml:space="preserve"> – Commercial Investments</w:t>
      </w:r>
      <w:bookmarkEnd w:id="60"/>
      <w:r>
        <w:rPr>
          <w:rFonts w:ascii="Arial" w:hAnsi="Arial" w:cs="Arial"/>
          <w:color w:val="auto"/>
        </w:rPr>
        <w:br/>
      </w:r>
    </w:p>
    <w:p w14:paraId="3CE13A63" w14:textId="77777777" w:rsidR="00246545" w:rsidRDefault="00246545" w:rsidP="00246545">
      <w:pPr>
        <w:pStyle w:val="ListParagraph"/>
        <w:pBdr>
          <w:top w:val="single" w:sz="4" w:space="1" w:color="auto"/>
          <w:left w:val="single" w:sz="4" w:space="4" w:color="auto"/>
          <w:bottom w:val="single" w:sz="4" w:space="1" w:color="auto"/>
          <w:right w:val="single" w:sz="4" w:space="4" w:color="auto"/>
        </w:pBdr>
        <w:shd w:val="clear" w:color="auto" w:fill="D9D9D9"/>
        <w:ind w:left="0"/>
        <w:contextualSpacing w:val="0"/>
        <w:rPr>
          <w:rFonts w:ascii="Arial" w:hAnsi="Arial" w:cs="Arial"/>
          <w:sz w:val="24"/>
          <w:szCs w:val="24"/>
        </w:rPr>
      </w:pPr>
      <w:r>
        <w:rPr>
          <w:rFonts w:ascii="Arial" w:hAnsi="Arial" w:cs="Arial"/>
          <w:sz w:val="24"/>
          <w:szCs w:val="24"/>
        </w:rPr>
        <w:t xml:space="preserve">Income from commercial investments is expected to remain below 10% of the Council’s net </w:t>
      </w:r>
      <w:r w:rsidR="00165EFB">
        <w:rPr>
          <w:rFonts w:ascii="Arial" w:hAnsi="Arial" w:cs="Arial"/>
          <w:sz w:val="24"/>
          <w:szCs w:val="24"/>
        </w:rPr>
        <w:t>revenue stream.</w:t>
      </w:r>
    </w:p>
    <w:p w14:paraId="2789B78A" w14:textId="77777777" w:rsidR="00246545" w:rsidRDefault="00246545" w:rsidP="00246545">
      <w:pPr>
        <w:rPr>
          <w:rFonts w:ascii="Arial" w:hAnsi="Arial" w:cs="Arial"/>
          <w:sz w:val="24"/>
          <w:szCs w:val="24"/>
        </w:rPr>
      </w:pPr>
      <w:r w:rsidRPr="00E1158E">
        <w:rPr>
          <w:rFonts w:ascii="Arial" w:hAnsi="Arial" w:cs="Arial"/>
          <w:sz w:val="24"/>
          <w:szCs w:val="24"/>
        </w:rPr>
        <w:t xml:space="preserve">The Council currently builds the following sources of income from investments into its base budget as these sources of income have demonstrated an ability to provide a constant, predicable return over the medium term.  The figures are presented here are a proportion of net </w:t>
      </w:r>
      <w:r>
        <w:rPr>
          <w:rFonts w:ascii="Arial" w:hAnsi="Arial" w:cs="Arial"/>
          <w:sz w:val="24"/>
          <w:szCs w:val="24"/>
        </w:rPr>
        <w:t>cost of</w:t>
      </w:r>
      <w:r w:rsidR="00165EFB">
        <w:rPr>
          <w:rFonts w:ascii="Arial" w:hAnsi="Arial" w:cs="Arial"/>
          <w:sz w:val="24"/>
          <w:szCs w:val="24"/>
        </w:rPr>
        <w:t xml:space="preserve"> net revenue stream as presented in the Council’s financial </w:t>
      </w:r>
      <w:proofErr w:type="gramStart"/>
      <w:r w:rsidR="00165EFB">
        <w:rPr>
          <w:rFonts w:ascii="Arial" w:hAnsi="Arial" w:cs="Arial"/>
          <w:sz w:val="24"/>
          <w:szCs w:val="24"/>
        </w:rPr>
        <w:t>strategy</w:t>
      </w:r>
      <w:proofErr w:type="gramEnd"/>
    </w:p>
    <w:p w14:paraId="6952FF39" w14:textId="77777777" w:rsidR="00246545" w:rsidRDefault="00246545" w:rsidP="00246545">
      <w:pPr>
        <w:rPr>
          <w:rFonts w:ascii="Arial" w:hAnsi="Arial" w:cs="Arial"/>
          <w:sz w:val="24"/>
          <w:szCs w:val="24"/>
        </w:rPr>
      </w:pPr>
    </w:p>
    <w:p w14:paraId="30162299" w14:textId="77777777" w:rsidR="00246545" w:rsidRPr="002E1C30" w:rsidRDefault="00246545" w:rsidP="00246545">
      <w:pPr>
        <w:rPr>
          <w:rFonts w:ascii="Arial" w:hAnsi="Arial" w:cs="Arial"/>
          <w:i/>
          <w:iCs/>
          <w:sz w:val="24"/>
          <w:szCs w:val="24"/>
        </w:rPr>
      </w:pPr>
      <w:r w:rsidRPr="002E1C30">
        <w:rPr>
          <w:rFonts w:ascii="Arial" w:hAnsi="Arial" w:cs="Arial"/>
          <w:i/>
          <w:iCs/>
          <w:sz w:val="24"/>
          <w:szCs w:val="24"/>
        </w:rPr>
        <w:lastRenderedPageBreak/>
        <w:t xml:space="preserve">Table 13: Proportionality of </w:t>
      </w:r>
      <w:r w:rsidR="00E72134">
        <w:rPr>
          <w:rFonts w:ascii="Arial" w:hAnsi="Arial" w:cs="Arial"/>
          <w:i/>
          <w:iCs/>
          <w:sz w:val="24"/>
          <w:szCs w:val="24"/>
        </w:rPr>
        <w:t xml:space="preserve">Commercial </w:t>
      </w:r>
      <w:r w:rsidRPr="002E1C30">
        <w:rPr>
          <w:rFonts w:ascii="Arial" w:hAnsi="Arial" w:cs="Arial"/>
          <w:i/>
          <w:iCs/>
          <w:sz w:val="24"/>
          <w:szCs w:val="24"/>
        </w:rPr>
        <w:t>Investments (£m)</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240"/>
        <w:gridCol w:w="1289"/>
        <w:gridCol w:w="1289"/>
        <w:gridCol w:w="1289"/>
        <w:gridCol w:w="1289"/>
        <w:gridCol w:w="1289"/>
      </w:tblGrid>
      <w:tr w:rsidR="00165EFB" w:rsidRPr="00005F23" w14:paraId="2B5D2F9E" w14:textId="77777777" w:rsidTr="00952D70">
        <w:tc>
          <w:tcPr>
            <w:tcW w:w="2338" w:type="dxa"/>
            <w:shd w:val="clear" w:color="auto" w:fill="auto"/>
          </w:tcPr>
          <w:p w14:paraId="5C3A08D8" w14:textId="77777777" w:rsidR="00165EFB" w:rsidRPr="00005F23" w:rsidRDefault="00165EFB" w:rsidP="00111375">
            <w:pPr>
              <w:spacing w:after="0"/>
              <w:rPr>
                <w:rFonts w:ascii="Arial" w:eastAsia="Times New Roman" w:hAnsi="Arial" w:cs="Arial"/>
                <w:b/>
                <w:sz w:val="24"/>
                <w:szCs w:val="24"/>
              </w:rPr>
            </w:pPr>
            <w:r w:rsidRPr="00E90A71">
              <w:rPr>
                <w:rFonts w:ascii="Arial" w:hAnsi="Arial" w:cs="Arial"/>
                <w:sz w:val="24"/>
                <w:szCs w:val="24"/>
              </w:rPr>
              <w:br/>
            </w:r>
          </w:p>
        </w:tc>
        <w:tc>
          <w:tcPr>
            <w:tcW w:w="1304" w:type="dxa"/>
            <w:shd w:val="clear" w:color="auto" w:fill="auto"/>
          </w:tcPr>
          <w:p w14:paraId="39722853" w14:textId="77777777" w:rsidR="00C214E1" w:rsidRDefault="00165EFB" w:rsidP="00111375">
            <w:pPr>
              <w:spacing w:after="0" w:line="240" w:lineRule="auto"/>
              <w:jc w:val="center"/>
              <w:rPr>
                <w:rFonts w:ascii="Arial" w:eastAsia="Times New Roman" w:hAnsi="Arial" w:cs="Arial"/>
                <w:b/>
                <w:sz w:val="24"/>
                <w:szCs w:val="24"/>
              </w:rPr>
            </w:pPr>
            <w:r w:rsidRPr="00005F23">
              <w:rPr>
                <w:rFonts w:ascii="Arial" w:eastAsia="Times New Roman" w:hAnsi="Arial" w:cs="Arial"/>
                <w:b/>
                <w:sz w:val="24"/>
                <w:szCs w:val="24"/>
              </w:rPr>
              <w:t>202</w:t>
            </w:r>
            <w:r w:rsidR="00161D65">
              <w:rPr>
                <w:rFonts w:ascii="Arial" w:eastAsia="Times New Roman" w:hAnsi="Arial" w:cs="Arial"/>
                <w:b/>
                <w:sz w:val="24"/>
                <w:szCs w:val="24"/>
              </w:rPr>
              <w:t>2-23</w:t>
            </w:r>
            <w:r w:rsidRPr="00005F23">
              <w:rPr>
                <w:rFonts w:ascii="Arial" w:eastAsia="Times New Roman" w:hAnsi="Arial" w:cs="Arial"/>
                <w:b/>
                <w:sz w:val="24"/>
                <w:szCs w:val="24"/>
              </w:rPr>
              <w:t xml:space="preserve"> </w:t>
            </w:r>
          </w:p>
          <w:p w14:paraId="6B81DA88" w14:textId="77777777" w:rsidR="00165EFB" w:rsidRDefault="00165EFB" w:rsidP="00111375">
            <w:pPr>
              <w:spacing w:after="0" w:line="240" w:lineRule="auto"/>
              <w:jc w:val="center"/>
              <w:rPr>
                <w:rFonts w:ascii="Arial" w:eastAsia="Times New Roman" w:hAnsi="Arial" w:cs="Arial"/>
                <w:b/>
                <w:sz w:val="24"/>
                <w:szCs w:val="24"/>
              </w:rPr>
            </w:pPr>
            <w:r w:rsidRPr="00005F23">
              <w:rPr>
                <w:rFonts w:ascii="Arial" w:eastAsia="Times New Roman" w:hAnsi="Arial" w:cs="Arial"/>
                <w:b/>
                <w:sz w:val="24"/>
                <w:szCs w:val="24"/>
              </w:rPr>
              <w:t>Actual</w:t>
            </w:r>
          </w:p>
          <w:p w14:paraId="6FA98033" w14:textId="77777777" w:rsidR="00111375" w:rsidRPr="00005F23" w:rsidRDefault="00111375"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£m</w:t>
            </w:r>
          </w:p>
        </w:tc>
        <w:tc>
          <w:tcPr>
            <w:tcW w:w="1304" w:type="dxa"/>
            <w:shd w:val="clear" w:color="auto" w:fill="FFFFFF"/>
          </w:tcPr>
          <w:p w14:paraId="54A81AD7" w14:textId="77777777" w:rsidR="00C214E1" w:rsidRDefault="00165EFB" w:rsidP="00111375">
            <w:pPr>
              <w:spacing w:after="0" w:line="240" w:lineRule="auto"/>
              <w:jc w:val="center"/>
              <w:rPr>
                <w:rFonts w:ascii="Arial" w:eastAsia="Times New Roman" w:hAnsi="Arial" w:cs="Arial"/>
                <w:b/>
                <w:sz w:val="24"/>
                <w:szCs w:val="24"/>
              </w:rPr>
            </w:pPr>
            <w:r w:rsidRPr="00005F23">
              <w:rPr>
                <w:rFonts w:ascii="Arial" w:eastAsia="Times New Roman" w:hAnsi="Arial" w:cs="Arial"/>
                <w:b/>
                <w:sz w:val="24"/>
                <w:szCs w:val="24"/>
              </w:rPr>
              <w:t>202</w:t>
            </w:r>
            <w:r w:rsidR="00161D65">
              <w:rPr>
                <w:rFonts w:ascii="Arial" w:eastAsia="Times New Roman" w:hAnsi="Arial" w:cs="Arial"/>
                <w:b/>
                <w:sz w:val="24"/>
                <w:szCs w:val="24"/>
              </w:rPr>
              <w:t>3-24</w:t>
            </w:r>
            <w:r w:rsidRPr="00005F23">
              <w:rPr>
                <w:rFonts w:ascii="Arial" w:eastAsia="Times New Roman" w:hAnsi="Arial" w:cs="Arial"/>
                <w:b/>
                <w:sz w:val="24"/>
                <w:szCs w:val="24"/>
              </w:rPr>
              <w:t xml:space="preserve"> </w:t>
            </w:r>
          </w:p>
          <w:p w14:paraId="501A7CC0" w14:textId="77777777" w:rsidR="00165EFB" w:rsidRDefault="00165EFB" w:rsidP="00111375">
            <w:pPr>
              <w:spacing w:after="0" w:line="240" w:lineRule="auto"/>
              <w:jc w:val="center"/>
              <w:rPr>
                <w:rFonts w:ascii="Arial" w:eastAsia="Times New Roman" w:hAnsi="Arial" w:cs="Arial"/>
                <w:b/>
                <w:sz w:val="24"/>
                <w:szCs w:val="24"/>
              </w:rPr>
            </w:pPr>
            <w:r w:rsidRPr="00005F23">
              <w:rPr>
                <w:rFonts w:ascii="Arial" w:eastAsia="Times New Roman" w:hAnsi="Arial" w:cs="Arial"/>
                <w:b/>
                <w:sz w:val="24"/>
                <w:szCs w:val="24"/>
              </w:rPr>
              <w:t>Forecast</w:t>
            </w:r>
          </w:p>
          <w:p w14:paraId="2330B901" w14:textId="77777777" w:rsidR="00111375" w:rsidRPr="00005F23" w:rsidRDefault="00111375"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£m</w:t>
            </w:r>
          </w:p>
        </w:tc>
        <w:tc>
          <w:tcPr>
            <w:tcW w:w="1304" w:type="dxa"/>
            <w:shd w:val="clear" w:color="auto" w:fill="FFFFFF"/>
          </w:tcPr>
          <w:p w14:paraId="1F361A61" w14:textId="77777777" w:rsidR="00165EFB" w:rsidRDefault="00165EFB"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202</w:t>
            </w:r>
            <w:r w:rsidR="00161D65">
              <w:rPr>
                <w:rFonts w:ascii="Arial" w:eastAsia="Times New Roman" w:hAnsi="Arial" w:cs="Arial"/>
                <w:b/>
                <w:sz w:val="24"/>
                <w:szCs w:val="24"/>
              </w:rPr>
              <w:t>4-25</w:t>
            </w:r>
          </w:p>
          <w:p w14:paraId="799ECBDC" w14:textId="77777777" w:rsidR="00165EFB" w:rsidRDefault="00165EFB"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Forecast</w:t>
            </w:r>
          </w:p>
          <w:p w14:paraId="5BFFA1D8" w14:textId="77777777" w:rsidR="00111375" w:rsidRPr="00005F23" w:rsidRDefault="00111375"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£m</w:t>
            </w:r>
          </w:p>
        </w:tc>
        <w:tc>
          <w:tcPr>
            <w:tcW w:w="1304" w:type="dxa"/>
            <w:shd w:val="clear" w:color="auto" w:fill="FFFFFF"/>
          </w:tcPr>
          <w:p w14:paraId="78F0BD19" w14:textId="77777777" w:rsidR="00165EFB" w:rsidRDefault="00165EFB"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202</w:t>
            </w:r>
            <w:r w:rsidR="00161D65">
              <w:rPr>
                <w:rFonts w:ascii="Arial" w:eastAsia="Times New Roman" w:hAnsi="Arial" w:cs="Arial"/>
                <w:b/>
                <w:sz w:val="24"/>
                <w:szCs w:val="24"/>
              </w:rPr>
              <w:t>5-26</w:t>
            </w:r>
          </w:p>
          <w:p w14:paraId="46935BEC" w14:textId="77777777" w:rsidR="00165EFB" w:rsidRDefault="00165EFB"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Forecast</w:t>
            </w:r>
          </w:p>
          <w:p w14:paraId="1E3A3FAF" w14:textId="77777777" w:rsidR="00111375" w:rsidRPr="00005F23" w:rsidRDefault="00111375"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£m</w:t>
            </w:r>
          </w:p>
        </w:tc>
        <w:tc>
          <w:tcPr>
            <w:tcW w:w="1304" w:type="dxa"/>
            <w:shd w:val="clear" w:color="auto" w:fill="FFFFFF"/>
          </w:tcPr>
          <w:p w14:paraId="3BA9D2F9" w14:textId="77777777" w:rsidR="00165EFB" w:rsidRDefault="00165EFB"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202</w:t>
            </w:r>
            <w:r w:rsidR="00161D65">
              <w:rPr>
                <w:rFonts w:ascii="Arial" w:eastAsia="Times New Roman" w:hAnsi="Arial" w:cs="Arial"/>
                <w:b/>
                <w:sz w:val="24"/>
                <w:szCs w:val="24"/>
              </w:rPr>
              <w:t>6-27</w:t>
            </w:r>
          </w:p>
          <w:p w14:paraId="7D0F6F59" w14:textId="77777777" w:rsidR="00165EFB" w:rsidRDefault="00165EFB"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Forecast</w:t>
            </w:r>
          </w:p>
          <w:p w14:paraId="542FA1D1" w14:textId="77777777" w:rsidR="00111375" w:rsidRPr="00005F23" w:rsidRDefault="00111375"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£m</w:t>
            </w:r>
          </w:p>
        </w:tc>
        <w:tc>
          <w:tcPr>
            <w:tcW w:w="1304" w:type="dxa"/>
            <w:shd w:val="clear" w:color="auto" w:fill="FFFFFF"/>
          </w:tcPr>
          <w:p w14:paraId="425FABC3" w14:textId="77777777" w:rsidR="00165EFB" w:rsidRDefault="00165EFB"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202</w:t>
            </w:r>
            <w:r w:rsidR="00161D65">
              <w:rPr>
                <w:rFonts w:ascii="Arial" w:eastAsia="Times New Roman" w:hAnsi="Arial" w:cs="Arial"/>
                <w:b/>
                <w:sz w:val="24"/>
                <w:szCs w:val="24"/>
              </w:rPr>
              <w:t>7-</w:t>
            </w:r>
            <w:r>
              <w:rPr>
                <w:rFonts w:ascii="Arial" w:eastAsia="Times New Roman" w:hAnsi="Arial" w:cs="Arial"/>
                <w:b/>
                <w:sz w:val="24"/>
                <w:szCs w:val="24"/>
              </w:rPr>
              <w:t>2</w:t>
            </w:r>
            <w:r w:rsidR="00161D65">
              <w:rPr>
                <w:rFonts w:ascii="Arial" w:eastAsia="Times New Roman" w:hAnsi="Arial" w:cs="Arial"/>
                <w:b/>
                <w:sz w:val="24"/>
                <w:szCs w:val="24"/>
              </w:rPr>
              <w:t>8</w:t>
            </w:r>
          </w:p>
          <w:p w14:paraId="6B4D33B3" w14:textId="77777777" w:rsidR="00165EFB" w:rsidRDefault="00165EFB"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Forecast</w:t>
            </w:r>
          </w:p>
          <w:p w14:paraId="0BC54E65" w14:textId="77777777" w:rsidR="00111375" w:rsidRPr="00005F23" w:rsidRDefault="00111375" w:rsidP="00111375">
            <w:pPr>
              <w:spacing w:after="0" w:line="240" w:lineRule="auto"/>
              <w:jc w:val="center"/>
              <w:rPr>
                <w:rFonts w:ascii="Arial" w:eastAsia="Times New Roman" w:hAnsi="Arial" w:cs="Arial"/>
                <w:b/>
                <w:sz w:val="24"/>
                <w:szCs w:val="24"/>
              </w:rPr>
            </w:pPr>
            <w:r>
              <w:rPr>
                <w:rFonts w:ascii="Arial" w:eastAsia="Times New Roman" w:hAnsi="Arial" w:cs="Arial"/>
                <w:b/>
                <w:sz w:val="24"/>
                <w:szCs w:val="24"/>
              </w:rPr>
              <w:t>£m</w:t>
            </w:r>
          </w:p>
        </w:tc>
      </w:tr>
      <w:tr w:rsidR="00165EFB" w:rsidRPr="00005F23" w14:paraId="44D86E72" w14:textId="77777777" w:rsidTr="00952D70">
        <w:tc>
          <w:tcPr>
            <w:tcW w:w="2338" w:type="dxa"/>
            <w:shd w:val="clear" w:color="auto" w:fill="auto"/>
          </w:tcPr>
          <w:p w14:paraId="30F87958" w14:textId="77777777" w:rsidR="00165EFB" w:rsidRPr="00005F23" w:rsidRDefault="00165EFB" w:rsidP="00165EFB">
            <w:pPr>
              <w:spacing w:before="60" w:after="60"/>
              <w:rPr>
                <w:rFonts w:ascii="Arial" w:eastAsia="Times New Roman" w:hAnsi="Arial" w:cs="Arial"/>
                <w:sz w:val="24"/>
                <w:szCs w:val="24"/>
              </w:rPr>
            </w:pPr>
            <w:r w:rsidRPr="00005F23">
              <w:rPr>
                <w:rFonts w:ascii="Arial" w:eastAsia="Times New Roman" w:hAnsi="Arial" w:cs="Arial"/>
                <w:sz w:val="24"/>
                <w:szCs w:val="24"/>
              </w:rPr>
              <w:t>Investment income</w:t>
            </w:r>
            <w:r>
              <w:rPr>
                <w:rFonts w:ascii="Arial" w:eastAsia="Times New Roman" w:hAnsi="Arial" w:cs="Arial"/>
                <w:sz w:val="24"/>
                <w:szCs w:val="24"/>
              </w:rPr>
              <w:t xml:space="preserve">* </w:t>
            </w:r>
          </w:p>
        </w:tc>
        <w:tc>
          <w:tcPr>
            <w:tcW w:w="1304" w:type="dxa"/>
            <w:shd w:val="clear" w:color="auto" w:fill="auto"/>
          </w:tcPr>
          <w:p w14:paraId="4754009B" w14:textId="77777777" w:rsidR="00165EFB" w:rsidRPr="00005F23" w:rsidRDefault="00165EFB" w:rsidP="0032323A">
            <w:pPr>
              <w:spacing w:before="60" w:after="60"/>
              <w:jc w:val="center"/>
              <w:rPr>
                <w:rFonts w:ascii="Arial" w:eastAsia="Times New Roman" w:hAnsi="Arial" w:cs="Arial"/>
                <w:sz w:val="24"/>
                <w:szCs w:val="24"/>
              </w:rPr>
            </w:pPr>
            <w:r>
              <w:rPr>
                <w:rFonts w:ascii="Arial" w:eastAsia="Times New Roman" w:hAnsi="Arial" w:cs="Arial"/>
                <w:sz w:val="24"/>
                <w:szCs w:val="24"/>
              </w:rPr>
              <w:t>0.</w:t>
            </w:r>
            <w:r w:rsidR="00952D70">
              <w:rPr>
                <w:rFonts w:ascii="Arial" w:eastAsia="Times New Roman" w:hAnsi="Arial" w:cs="Arial"/>
                <w:sz w:val="24"/>
                <w:szCs w:val="24"/>
              </w:rPr>
              <w:t>89</w:t>
            </w:r>
          </w:p>
        </w:tc>
        <w:tc>
          <w:tcPr>
            <w:tcW w:w="1304" w:type="dxa"/>
            <w:shd w:val="clear" w:color="auto" w:fill="FFFFFF"/>
          </w:tcPr>
          <w:p w14:paraId="7CA819C4" w14:textId="77777777" w:rsidR="00165EFB" w:rsidRPr="00005F23" w:rsidRDefault="00165EFB" w:rsidP="0032323A">
            <w:pPr>
              <w:spacing w:before="60" w:after="60"/>
              <w:jc w:val="center"/>
              <w:rPr>
                <w:rFonts w:ascii="Arial" w:eastAsia="Times New Roman" w:hAnsi="Arial" w:cs="Arial"/>
                <w:sz w:val="24"/>
                <w:szCs w:val="24"/>
              </w:rPr>
            </w:pPr>
            <w:r>
              <w:rPr>
                <w:rFonts w:ascii="Arial" w:eastAsia="Times New Roman" w:hAnsi="Arial" w:cs="Arial"/>
                <w:sz w:val="24"/>
                <w:szCs w:val="24"/>
              </w:rPr>
              <w:t>0.</w:t>
            </w:r>
            <w:r w:rsidR="0024075F">
              <w:rPr>
                <w:rFonts w:ascii="Arial" w:eastAsia="Times New Roman" w:hAnsi="Arial" w:cs="Arial"/>
                <w:sz w:val="24"/>
                <w:szCs w:val="24"/>
              </w:rPr>
              <w:t>90</w:t>
            </w:r>
          </w:p>
        </w:tc>
        <w:tc>
          <w:tcPr>
            <w:tcW w:w="1304" w:type="dxa"/>
            <w:shd w:val="clear" w:color="auto" w:fill="FFFFFF"/>
          </w:tcPr>
          <w:p w14:paraId="57F15DC7" w14:textId="77777777" w:rsidR="00165EFB" w:rsidRDefault="00165EFB" w:rsidP="0032323A">
            <w:pPr>
              <w:spacing w:before="60" w:after="60"/>
              <w:jc w:val="center"/>
              <w:rPr>
                <w:rFonts w:ascii="Arial" w:eastAsia="Times New Roman" w:hAnsi="Arial" w:cs="Arial"/>
                <w:sz w:val="24"/>
                <w:szCs w:val="24"/>
              </w:rPr>
            </w:pPr>
            <w:r>
              <w:rPr>
                <w:rFonts w:ascii="Arial" w:eastAsia="Times New Roman" w:hAnsi="Arial" w:cs="Arial"/>
                <w:sz w:val="24"/>
                <w:szCs w:val="24"/>
              </w:rPr>
              <w:t>0.</w:t>
            </w:r>
            <w:r w:rsidR="00DD4EE0">
              <w:rPr>
                <w:rFonts w:ascii="Arial" w:eastAsia="Times New Roman" w:hAnsi="Arial" w:cs="Arial"/>
                <w:sz w:val="24"/>
                <w:szCs w:val="24"/>
              </w:rPr>
              <w:t>87</w:t>
            </w:r>
          </w:p>
        </w:tc>
        <w:tc>
          <w:tcPr>
            <w:tcW w:w="1304" w:type="dxa"/>
            <w:shd w:val="clear" w:color="auto" w:fill="FFFFFF"/>
          </w:tcPr>
          <w:p w14:paraId="61A77295" w14:textId="77777777" w:rsidR="00165EFB" w:rsidRDefault="00165EFB" w:rsidP="0032323A">
            <w:pPr>
              <w:spacing w:before="60" w:after="60"/>
              <w:jc w:val="center"/>
              <w:rPr>
                <w:rFonts w:ascii="Arial" w:eastAsia="Times New Roman" w:hAnsi="Arial" w:cs="Arial"/>
                <w:sz w:val="24"/>
                <w:szCs w:val="24"/>
              </w:rPr>
            </w:pPr>
            <w:r>
              <w:rPr>
                <w:rFonts w:ascii="Arial" w:eastAsia="Times New Roman" w:hAnsi="Arial" w:cs="Arial"/>
                <w:sz w:val="24"/>
                <w:szCs w:val="24"/>
              </w:rPr>
              <w:t>0.</w:t>
            </w:r>
            <w:r w:rsidR="00DD4EE0">
              <w:rPr>
                <w:rFonts w:ascii="Arial" w:eastAsia="Times New Roman" w:hAnsi="Arial" w:cs="Arial"/>
                <w:sz w:val="24"/>
                <w:szCs w:val="24"/>
              </w:rPr>
              <w:t>87</w:t>
            </w:r>
          </w:p>
        </w:tc>
        <w:tc>
          <w:tcPr>
            <w:tcW w:w="1304" w:type="dxa"/>
            <w:shd w:val="clear" w:color="auto" w:fill="FFFFFF"/>
          </w:tcPr>
          <w:p w14:paraId="6FE3AF6B" w14:textId="77777777" w:rsidR="00165EFB" w:rsidRDefault="00165EFB" w:rsidP="0032323A">
            <w:pPr>
              <w:spacing w:before="60" w:after="60"/>
              <w:jc w:val="center"/>
              <w:rPr>
                <w:rFonts w:ascii="Arial" w:eastAsia="Times New Roman" w:hAnsi="Arial" w:cs="Arial"/>
                <w:sz w:val="24"/>
                <w:szCs w:val="24"/>
              </w:rPr>
            </w:pPr>
            <w:r>
              <w:rPr>
                <w:rFonts w:ascii="Arial" w:eastAsia="Times New Roman" w:hAnsi="Arial" w:cs="Arial"/>
                <w:sz w:val="24"/>
                <w:szCs w:val="24"/>
              </w:rPr>
              <w:t>0.</w:t>
            </w:r>
            <w:r w:rsidR="0024075F">
              <w:rPr>
                <w:rFonts w:ascii="Arial" w:eastAsia="Times New Roman" w:hAnsi="Arial" w:cs="Arial"/>
                <w:sz w:val="24"/>
                <w:szCs w:val="24"/>
              </w:rPr>
              <w:t>87</w:t>
            </w:r>
          </w:p>
        </w:tc>
        <w:tc>
          <w:tcPr>
            <w:tcW w:w="1304" w:type="dxa"/>
            <w:shd w:val="clear" w:color="auto" w:fill="FFFFFF"/>
          </w:tcPr>
          <w:p w14:paraId="0CCD8E4A" w14:textId="77777777" w:rsidR="00165EFB" w:rsidRDefault="00165EFB" w:rsidP="0032323A">
            <w:pPr>
              <w:spacing w:before="60" w:after="60"/>
              <w:jc w:val="center"/>
              <w:rPr>
                <w:rFonts w:ascii="Arial" w:eastAsia="Times New Roman" w:hAnsi="Arial" w:cs="Arial"/>
                <w:sz w:val="24"/>
                <w:szCs w:val="24"/>
              </w:rPr>
            </w:pPr>
            <w:r>
              <w:rPr>
                <w:rFonts w:ascii="Arial" w:eastAsia="Times New Roman" w:hAnsi="Arial" w:cs="Arial"/>
                <w:sz w:val="24"/>
                <w:szCs w:val="24"/>
              </w:rPr>
              <w:t>0.</w:t>
            </w:r>
            <w:r w:rsidR="0024075F">
              <w:rPr>
                <w:rFonts w:ascii="Arial" w:eastAsia="Times New Roman" w:hAnsi="Arial" w:cs="Arial"/>
                <w:sz w:val="24"/>
                <w:szCs w:val="24"/>
              </w:rPr>
              <w:t>87</w:t>
            </w:r>
          </w:p>
        </w:tc>
      </w:tr>
      <w:tr w:rsidR="00165EFB" w:rsidRPr="00005F23" w14:paraId="53A1C046" w14:textId="77777777" w:rsidTr="00952D70">
        <w:tc>
          <w:tcPr>
            <w:tcW w:w="2338" w:type="dxa"/>
            <w:shd w:val="clear" w:color="auto" w:fill="auto"/>
          </w:tcPr>
          <w:p w14:paraId="3E11E2C8" w14:textId="77777777" w:rsidR="00165EFB" w:rsidRPr="00005F23" w:rsidRDefault="00165EFB" w:rsidP="00165EFB">
            <w:pPr>
              <w:spacing w:before="60" w:after="60"/>
              <w:rPr>
                <w:rFonts w:ascii="Arial" w:eastAsia="Times New Roman" w:hAnsi="Arial" w:cs="Arial"/>
                <w:sz w:val="24"/>
                <w:szCs w:val="24"/>
              </w:rPr>
            </w:pPr>
            <w:r w:rsidRPr="00005F23">
              <w:rPr>
                <w:rFonts w:ascii="Arial" w:eastAsia="Times New Roman" w:hAnsi="Arial" w:cs="Arial"/>
                <w:sz w:val="24"/>
                <w:szCs w:val="24"/>
              </w:rPr>
              <w:t xml:space="preserve">Net </w:t>
            </w:r>
            <w:r>
              <w:rPr>
                <w:rFonts w:ascii="Arial" w:eastAsia="Times New Roman" w:hAnsi="Arial" w:cs="Arial"/>
                <w:sz w:val="24"/>
                <w:szCs w:val="24"/>
              </w:rPr>
              <w:t>revenue stream</w:t>
            </w:r>
            <w:r w:rsidR="00952D70">
              <w:rPr>
                <w:rFonts w:ascii="Arial" w:eastAsia="Times New Roman" w:hAnsi="Arial" w:cs="Arial"/>
                <w:sz w:val="24"/>
                <w:szCs w:val="24"/>
              </w:rPr>
              <w:t xml:space="preserve"> </w:t>
            </w:r>
            <w:r>
              <w:rPr>
                <w:rFonts w:ascii="Arial" w:eastAsia="Times New Roman" w:hAnsi="Arial" w:cs="Arial"/>
                <w:sz w:val="24"/>
                <w:szCs w:val="24"/>
              </w:rPr>
              <w:t>**</w:t>
            </w:r>
          </w:p>
        </w:tc>
        <w:tc>
          <w:tcPr>
            <w:tcW w:w="1304" w:type="dxa"/>
            <w:shd w:val="clear" w:color="auto" w:fill="auto"/>
          </w:tcPr>
          <w:p w14:paraId="4F35E48D" w14:textId="77777777" w:rsidR="00165EFB" w:rsidRPr="00952D70" w:rsidRDefault="00165EFB" w:rsidP="0032323A">
            <w:pPr>
              <w:spacing w:before="60" w:after="60"/>
              <w:jc w:val="center"/>
              <w:rPr>
                <w:rFonts w:ascii="Arial" w:eastAsia="Times New Roman" w:hAnsi="Arial" w:cs="Arial"/>
                <w:sz w:val="24"/>
                <w:szCs w:val="24"/>
              </w:rPr>
            </w:pPr>
            <w:r w:rsidRPr="00952D70">
              <w:rPr>
                <w:rFonts w:ascii="Arial" w:eastAsia="Times New Roman" w:hAnsi="Arial" w:cs="Arial"/>
                <w:sz w:val="24"/>
                <w:szCs w:val="24"/>
              </w:rPr>
              <w:t>2</w:t>
            </w:r>
            <w:r w:rsidR="00952D70" w:rsidRPr="00952D70">
              <w:rPr>
                <w:rFonts w:ascii="Arial" w:eastAsia="Times New Roman" w:hAnsi="Arial" w:cs="Arial"/>
                <w:sz w:val="24"/>
                <w:szCs w:val="24"/>
              </w:rPr>
              <w:t>2</w:t>
            </w:r>
            <w:r w:rsidRPr="00952D70">
              <w:rPr>
                <w:rFonts w:ascii="Arial" w:eastAsia="Times New Roman" w:hAnsi="Arial" w:cs="Arial"/>
                <w:sz w:val="24"/>
                <w:szCs w:val="24"/>
              </w:rPr>
              <w:t>.</w:t>
            </w:r>
            <w:r w:rsidR="00952D70" w:rsidRPr="00952D70">
              <w:rPr>
                <w:rFonts w:ascii="Arial" w:eastAsia="Times New Roman" w:hAnsi="Arial" w:cs="Arial"/>
                <w:sz w:val="24"/>
                <w:szCs w:val="24"/>
              </w:rPr>
              <w:t>2</w:t>
            </w:r>
            <w:r w:rsidRPr="00952D70">
              <w:rPr>
                <w:rFonts w:ascii="Arial" w:eastAsia="Times New Roman" w:hAnsi="Arial" w:cs="Arial"/>
                <w:sz w:val="24"/>
                <w:szCs w:val="24"/>
              </w:rPr>
              <w:t>*</w:t>
            </w:r>
          </w:p>
        </w:tc>
        <w:tc>
          <w:tcPr>
            <w:tcW w:w="1304" w:type="dxa"/>
            <w:shd w:val="clear" w:color="auto" w:fill="FFFFFF"/>
          </w:tcPr>
          <w:p w14:paraId="618DE384" w14:textId="77777777" w:rsidR="00165EFB" w:rsidRPr="0032323A" w:rsidRDefault="0024075F" w:rsidP="0032323A">
            <w:pPr>
              <w:spacing w:before="60" w:after="60"/>
              <w:jc w:val="center"/>
              <w:rPr>
                <w:rFonts w:ascii="Arial" w:eastAsia="Times New Roman" w:hAnsi="Arial" w:cs="Arial"/>
                <w:sz w:val="24"/>
                <w:szCs w:val="24"/>
              </w:rPr>
            </w:pPr>
            <w:r w:rsidRPr="0032323A">
              <w:rPr>
                <w:rFonts w:ascii="Arial" w:eastAsia="Times New Roman" w:hAnsi="Arial" w:cs="Arial"/>
                <w:sz w:val="24"/>
                <w:szCs w:val="24"/>
              </w:rPr>
              <w:t>13.3</w:t>
            </w:r>
          </w:p>
        </w:tc>
        <w:tc>
          <w:tcPr>
            <w:tcW w:w="1304" w:type="dxa"/>
            <w:shd w:val="clear" w:color="auto" w:fill="FFFFFF"/>
          </w:tcPr>
          <w:p w14:paraId="1B5E272E" w14:textId="77777777" w:rsidR="00165EFB" w:rsidRPr="0032323A" w:rsidRDefault="00165EFB" w:rsidP="0032323A">
            <w:pPr>
              <w:spacing w:before="60" w:after="60"/>
              <w:jc w:val="center"/>
              <w:rPr>
                <w:rFonts w:ascii="Arial" w:eastAsia="Times New Roman" w:hAnsi="Arial" w:cs="Arial"/>
                <w:sz w:val="24"/>
                <w:szCs w:val="24"/>
              </w:rPr>
            </w:pPr>
            <w:r w:rsidRPr="0032323A">
              <w:rPr>
                <w:rFonts w:ascii="Arial" w:eastAsia="Times New Roman" w:hAnsi="Arial" w:cs="Arial"/>
                <w:sz w:val="24"/>
                <w:szCs w:val="24"/>
              </w:rPr>
              <w:t>1</w:t>
            </w:r>
            <w:r w:rsidR="0032323A" w:rsidRPr="0032323A">
              <w:rPr>
                <w:rFonts w:ascii="Arial" w:eastAsia="Times New Roman" w:hAnsi="Arial" w:cs="Arial"/>
                <w:sz w:val="24"/>
                <w:szCs w:val="24"/>
              </w:rPr>
              <w:t>6</w:t>
            </w:r>
            <w:r w:rsidRPr="0032323A">
              <w:rPr>
                <w:rFonts w:ascii="Arial" w:eastAsia="Times New Roman" w:hAnsi="Arial" w:cs="Arial"/>
                <w:sz w:val="24"/>
                <w:szCs w:val="24"/>
              </w:rPr>
              <w:t>.</w:t>
            </w:r>
            <w:r w:rsidR="0032323A" w:rsidRPr="0032323A">
              <w:rPr>
                <w:rFonts w:ascii="Arial" w:eastAsia="Times New Roman" w:hAnsi="Arial" w:cs="Arial"/>
                <w:sz w:val="24"/>
                <w:szCs w:val="24"/>
              </w:rPr>
              <w:t>2</w:t>
            </w:r>
          </w:p>
        </w:tc>
        <w:tc>
          <w:tcPr>
            <w:tcW w:w="1304" w:type="dxa"/>
            <w:shd w:val="clear" w:color="auto" w:fill="FFFFFF"/>
          </w:tcPr>
          <w:p w14:paraId="0611DC97" w14:textId="77777777" w:rsidR="00165EFB" w:rsidRPr="00111375" w:rsidRDefault="0032323A" w:rsidP="0032323A">
            <w:pPr>
              <w:spacing w:before="60" w:after="60"/>
              <w:jc w:val="center"/>
              <w:rPr>
                <w:rFonts w:ascii="Arial" w:eastAsia="Times New Roman" w:hAnsi="Arial" w:cs="Arial"/>
                <w:sz w:val="24"/>
                <w:szCs w:val="24"/>
              </w:rPr>
            </w:pPr>
            <w:r w:rsidRPr="00111375">
              <w:rPr>
                <w:rFonts w:ascii="Arial" w:eastAsia="Times New Roman" w:hAnsi="Arial" w:cs="Arial"/>
                <w:sz w:val="24"/>
                <w:szCs w:val="24"/>
              </w:rPr>
              <w:t>1</w:t>
            </w:r>
            <w:r w:rsidR="00111375" w:rsidRPr="00111375">
              <w:rPr>
                <w:rFonts w:ascii="Arial" w:eastAsia="Times New Roman" w:hAnsi="Arial" w:cs="Arial"/>
                <w:sz w:val="24"/>
                <w:szCs w:val="24"/>
              </w:rPr>
              <w:t>7</w:t>
            </w:r>
            <w:r w:rsidRPr="00111375">
              <w:rPr>
                <w:rFonts w:ascii="Arial" w:eastAsia="Times New Roman" w:hAnsi="Arial" w:cs="Arial"/>
                <w:sz w:val="24"/>
                <w:szCs w:val="24"/>
              </w:rPr>
              <w:t>.4</w:t>
            </w:r>
          </w:p>
        </w:tc>
        <w:tc>
          <w:tcPr>
            <w:tcW w:w="1304" w:type="dxa"/>
            <w:shd w:val="clear" w:color="auto" w:fill="FFFFFF"/>
          </w:tcPr>
          <w:p w14:paraId="76484E44" w14:textId="77777777" w:rsidR="00165EFB" w:rsidRPr="00111375" w:rsidRDefault="00165EFB" w:rsidP="0032323A">
            <w:pPr>
              <w:spacing w:before="60" w:after="60"/>
              <w:jc w:val="center"/>
              <w:rPr>
                <w:rFonts w:ascii="Arial" w:eastAsia="Times New Roman" w:hAnsi="Arial" w:cs="Arial"/>
                <w:sz w:val="24"/>
                <w:szCs w:val="24"/>
              </w:rPr>
            </w:pPr>
            <w:r w:rsidRPr="00111375">
              <w:rPr>
                <w:rFonts w:ascii="Arial" w:eastAsia="Times New Roman" w:hAnsi="Arial" w:cs="Arial"/>
                <w:sz w:val="24"/>
                <w:szCs w:val="24"/>
              </w:rPr>
              <w:t>1</w:t>
            </w:r>
            <w:r w:rsidR="00111375" w:rsidRPr="00111375">
              <w:rPr>
                <w:rFonts w:ascii="Arial" w:eastAsia="Times New Roman" w:hAnsi="Arial" w:cs="Arial"/>
                <w:sz w:val="24"/>
                <w:szCs w:val="24"/>
              </w:rPr>
              <w:t>8</w:t>
            </w:r>
            <w:r w:rsidRPr="00111375">
              <w:rPr>
                <w:rFonts w:ascii="Arial" w:eastAsia="Times New Roman" w:hAnsi="Arial" w:cs="Arial"/>
                <w:sz w:val="24"/>
                <w:szCs w:val="24"/>
              </w:rPr>
              <w:t>.</w:t>
            </w:r>
            <w:r w:rsidR="003F163E" w:rsidRPr="00111375">
              <w:rPr>
                <w:rFonts w:ascii="Arial" w:eastAsia="Times New Roman" w:hAnsi="Arial" w:cs="Arial"/>
                <w:sz w:val="24"/>
                <w:szCs w:val="24"/>
              </w:rPr>
              <w:t>0</w:t>
            </w:r>
          </w:p>
        </w:tc>
        <w:tc>
          <w:tcPr>
            <w:tcW w:w="1304" w:type="dxa"/>
            <w:shd w:val="clear" w:color="auto" w:fill="FFFFFF"/>
          </w:tcPr>
          <w:p w14:paraId="4EEF767F" w14:textId="77777777" w:rsidR="00165EFB" w:rsidRPr="00111375" w:rsidRDefault="00111375" w:rsidP="0032323A">
            <w:pPr>
              <w:spacing w:before="60" w:after="60"/>
              <w:jc w:val="center"/>
              <w:rPr>
                <w:rFonts w:ascii="Arial" w:eastAsia="Times New Roman" w:hAnsi="Arial" w:cs="Arial"/>
                <w:sz w:val="24"/>
                <w:szCs w:val="24"/>
              </w:rPr>
            </w:pPr>
            <w:r w:rsidRPr="00111375">
              <w:rPr>
                <w:rFonts w:ascii="Arial" w:eastAsia="Times New Roman" w:hAnsi="Arial" w:cs="Arial"/>
                <w:sz w:val="24"/>
                <w:szCs w:val="24"/>
              </w:rPr>
              <w:t>18.4</w:t>
            </w:r>
          </w:p>
        </w:tc>
      </w:tr>
      <w:tr w:rsidR="00165EFB" w:rsidRPr="00005F23" w14:paraId="31F5C30C" w14:textId="77777777" w:rsidTr="00952D70">
        <w:tc>
          <w:tcPr>
            <w:tcW w:w="2338" w:type="dxa"/>
            <w:shd w:val="clear" w:color="auto" w:fill="auto"/>
          </w:tcPr>
          <w:p w14:paraId="7F5A2AF9" w14:textId="77777777" w:rsidR="00165EFB" w:rsidRPr="00005F23" w:rsidRDefault="00165EFB" w:rsidP="00165EFB">
            <w:pPr>
              <w:spacing w:before="60" w:after="60"/>
              <w:rPr>
                <w:rFonts w:ascii="Arial" w:eastAsia="Times New Roman" w:hAnsi="Arial" w:cs="Arial"/>
                <w:sz w:val="24"/>
                <w:szCs w:val="24"/>
              </w:rPr>
            </w:pPr>
            <w:r w:rsidRPr="00005F23">
              <w:rPr>
                <w:rFonts w:ascii="Arial" w:eastAsia="Times New Roman" w:hAnsi="Arial" w:cs="Arial"/>
                <w:sz w:val="24"/>
                <w:szCs w:val="24"/>
              </w:rPr>
              <w:t>Proportion</w:t>
            </w:r>
          </w:p>
        </w:tc>
        <w:tc>
          <w:tcPr>
            <w:tcW w:w="1304" w:type="dxa"/>
            <w:shd w:val="clear" w:color="auto" w:fill="auto"/>
          </w:tcPr>
          <w:p w14:paraId="412F81BA" w14:textId="77777777" w:rsidR="00165EFB" w:rsidRPr="00952D70" w:rsidRDefault="00952D70" w:rsidP="0032323A">
            <w:pPr>
              <w:spacing w:before="60" w:after="60"/>
              <w:jc w:val="center"/>
              <w:rPr>
                <w:rFonts w:ascii="Arial" w:eastAsia="Times New Roman" w:hAnsi="Arial" w:cs="Arial"/>
                <w:sz w:val="24"/>
                <w:szCs w:val="24"/>
              </w:rPr>
            </w:pPr>
            <w:r w:rsidRPr="00952D70">
              <w:rPr>
                <w:rFonts w:ascii="Arial" w:eastAsia="Times New Roman" w:hAnsi="Arial" w:cs="Arial"/>
                <w:sz w:val="24"/>
                <w:szCs w:val="24"/>
              </w:rPr>
              <w:t>4</w:t>
            </w:r>
            <w:r w:rsidR="0024075F" w:rsidRPr="00952D70">
              <w:rPr>
                <w:rFonts w:ascii="Arial" w:eastAsia="Times New Roman" w:hAnsi="Arial" w:cs="Arial"/>
                <w:sz w:val="24"/>
                <w:szCs w:val="24"/>
              </w:rPr>
              <w:t>.</w:t>
            </w:r>
            <w:r w:rsidRPr="00952D70">
              <w:rPr>
                <w:rFonts w:ascii="Arial" w:eastAsia="Times New Roman" w:hAnsi="Arial" w:cs="Arial"/>
                <w:sz w:val="24"/>
                <w:szCs w:val="24"/>
              </w:rPr>
              <w:t>0</w:t>
            </w:r>
            <w:r w:rsidR="00165EFB" w:rsidRPr="00952D70">
              <w:rPr>
                <w:rFonts w:ascii="Arial" w:eastAsia="Times New Roman" w:hAnsi="Arial" w:cs="Arial"/>
                <w:sz w:val="24"/>
                <w:szCs w:val="24"/>
              </w:rPr>
              <w:t>%</w:t>
            </w:r>
          </w:p>
        </w:tc>
        <w:tc>
          <w:tcPr>
            <w:tcW w:w="1304" w:type="dxa"/>
            <w:shd w:val="clear" w:color="auto" w:fill="FFFFFF"/>
          </w:tcPr>
          <w:p w14:paraId="56908C5E" w14:textId="77777777" w:rsidR="00165EFB" w:rsidRPr="0032323A" w:rsidRDefault="0024075F" w:rsidP="0032323A">
            <w:pPr>
              <w:spacing w:before="60" w:after="60"/>
              <w:jc w:val="center"/>
              <w:rPr>
                <w:rFonts w:ascii="Arial" w:eastAsia="Times New Roman" w:hAnsi="Arial" w:cs="Arial"/>
                <w:sz w:val="24"/>
                <w:szCs w:val="24"/>
              </w:rPr>
            </w:pPr>
            <w:r w:rsidRPr="0032323A">
              <w:rPr>
                <w:rFonts w:ascii="Arial" w:eastAsia="Times New Roman" w:hAnsi="Arial" w:cs="Arial"/>
                <w:sz w:val="24"/>
                <w:szCs w:val="24"/>
              </w:rPr>
              <w:t>6</w:t>
            </w:r>
            <w:r w:rsidR="00165EFB" w:rsidRPr="0032323A">
              <w:rPr>
                <w:rFonts w:ascii="Arial" w:eastAsia="Times New Roman" w:hAnsi="Arial" w:cs="Arial"/>
                <w:sz w:val="24"/>
                <w:szCs w:val="24"/>
              </w:rPr>
              <w:t>.8%</w:t>
            </w:r>
          </w:p>
        </w:tc>
        <w:tc>
          <w:tcPr>
            <w:tcW w:w="1304" w:type="dxa"/>
            <w:shd w:val="clear" w:color="auto" w:fill="FFFFFF"/>
          </w:tcPr>
          <w:p w14:paraId="0265DD26" w14:textId="77777777" w:rsidR="00165EFB" w:rsidRPr="0032323A" w:rsidRDefault="0032323A" w:rsidP="0032323A">
            <w:pPr>
              <w:spacing w:before="60" w:after="60"/>
              <w:jc w:val="center"/>
              <w:rPr>
                <w:rFonts w:ascii="Arial" w:eastAsia="Times New Roman" w:hAnsi="Arial" w:cs="Arial"/>
                <w:sz w:val="24"/>
                <w:szCs w:val="24"/>
              </w:rPr>
            </w:pPr>
            <w:r w:rsidRPr="0032323A">
              <w:rPr>
                <w:rFonts w:ascii="Arial" w:eastAsia="Times New Roman" w:hAnsi="Arial" w:cs="Arial"/>
                <w:sz w:val="24"/>
                <w:szCs w:val="24"/>
              </w:rPr>
              <w:t>5.4</w:t>
            </w:r>
            <w:r w:rsidR="00165EFB" w:rsidRPr="0032323A">
              <w:rPr>
                <w:rFonts w:ascii="Arial" w:eastAsia="Times New Roman" w:hAnsi="Arial" w:cs="Arial"/>
                <w:sz w:val="24"/>
                <w:szCs w:val="24"/>
              </w:rPr>
              <w:t>%</w:t>
            </w:r>
          </w:p>
        </w:tc>
        <w:tc>
          <w:tcPr>
            <w:tcW w:w="1304" w:type="dxa"/>
            <w:shd w:val="clear" w:color="auto" w:fill="FFFFFF"/>
          </w:tcPr>
          <w:p w14:paraId="18E1BCF8" w14:textId="77777777" w:rsidR="00165EFB" w:rsidRPr="00111375" w:rsidRDefault="0032323A" w:rsidP="0032323A">
            <w:pPr>
              <w:spacing w:before="60" w:after="60"/>
              <w:jc w:val="center"/>
              <w:rPr>
                <w:rFonts w:ascii="Arial" w:eastAsia="Times New Roman" w:hAnsi="Arial" w:cs="Arial"/>
                <w:sz w:val="24"/>
                <w:szCs w:val="24"/>
              </w:rPr>
            </w:pPr>
            <w:r w:rsidRPr="00111375">
              <w:rPr>
                <w:rFonts w:ascii="Arial" w:eastAsia="Times New Roman" w:hAnsi="Arial" w:cs="Arial"/>
                <w:sz w:val="24"/>
                <w:szCs w:val="24"/>
              </w:rPr>
              <w:t>5.</w:t>
            </w:r>
            <w:r w:rsidR="00111375" w:rsidRPr="00111375">
              <w:rPr>
                <w:rFonts w:ascii="Arial" w:eastAsia="Times New Roman" w:hAnsi="Arial" w:cs="Arial"/>
                <w:sz w:val="24"/>
                <w:szCs w:val="24"/>
              </w:rPr>
              <w:t>0</w:t>
            </w:r>
            <w:r w:rsidR="00165EFB" w:rsidRPr="00111375">
              <w:rPr>
                <w:rFonts w:ascii="Arial" w:eastAsia="Times New Roman" w:hAnsi="Arial" w:cs="Arial"/>
                <w:sz w:val="24"/>
                <w:szCs w:val="24"/>
              </w:rPr>
              <w:t>%</w:t>
            </w:r>
          </w:p>
        </w:tc>
        <w:tc>
          <w:tcPr>
            <w:tcW w:w="1304" w:type="dxa"/>
            <w:shd w:val="clear" w:color="auto" w:fill="FFFFFF"/>
          </w:tcPr>
          <w:p w14:paraId="271B387C" w14:textId="77777777" w:rsidR="00165EFB" w:rsidRPr="00111375" w:rsidRDefault="00111375" w:rsidP="0032323A">
            <w:pPr>
              <w:spacing w:before="60" w:after="60"/>
              <w:jc w:val="center"/>
              <w:rPr>
                <w:rFonts w:ascii="Arial" w:eastAsia="Times New Roman" w:hAnsi="Arial" w:cs="Arial"/>
                <w:sz w:val="24"/>
                <w:szCs w:val="24"/>
              </w:rPr>
            </w:pPr>
            <w:r w:rsidRPr="00111375">
              <w:rPr>
                <w:rFonts w:ascii="Arial" w:eastAsia="Times New Roman" w:hAnsi="Arial" w:cs="Arial"/>
                <w:sz w:val="24"/>
                <w:szCs w:val="24"/>
              </w:rPr>
              <w:t>4.8</w:t>
            </w:r>
            <w:r w:rsidR="00165EFB" w:rsidRPr="00111375">
              <w:rPr>
                <w:rFonts w:ascii="Arial" w:eastAsia="Times New Roman" w:hAnsi="Arial" w:cs="Arial"/>
                <w:sz w:val="24"/>
                <w:szCs w:val="24"/>
              </w:rPr>
              <w:t>%</w:t>
            </w:r>
          </w:p>
        </w:tc>
        <w:tc>
          <w:tcPr>
            <w:tcW w:w="1304" w:type="dxa"/>
            <w:shd w:val="clear" w:color="auto" w:fill="FFFFFF"/>
          </w:tcPr>
          <w:p w14:paraId="5A52B4FA" w14:textId="77777777" w:rsidR="00165EFB" w:rsidRPr="00111375" w:rsidRDefault="00111375" w:rsidP="0032323A">
            <w:pPr>
              <w:spacing w:before="60" w:after="60"/>
              <w:jc w:val="center"/>
              <w:rPr>
                <w:rFonts w:ascii="Arial" w:eastAsia="Times New Roman" w:hAnsi="Arial" w:cs="Arial"/>
                <w:sz w:val="24"/>
                <w:szCs w:val="24"/>
              </w:rPr>
            </w:pPr>
            <w:r w:rsidRPr="00111375">
              <w:rPr>
                <w:rFonts w:ascii="Arial" w:eastAsia="Times New Roman" w:hAnsi="Arial" w:cs="Arial"/>
                <w:sz w:val="24"/>
                <w:szCs w:val="24"/>
              </w:rPr>
              <w:t>4.7</w:t>
            </w:r>
            <w:r w:rsidR="00165EFB" w:rsidRPr="00111375">
              <w:rPr>
                <w:rFonts w:ascii="Arial" w:eastAsia="Times New Roman" w:hAnsi="Arial" w:cs="Arial"/>
                <w:sz w:val="24"/>
                <w:szCs w:val="24"/>
              </w:rPr>
              <w:t>%</w:t>
            </w:r>
          </w:p>
        </w:tc>
      </w:tr>
    </w:tbl>
    <w:p w14:paraId="3C48703D" w14:textId="77777777" w:rsidR="00111375" w:rsidRDefault="00111375" w:rsidP="00246545">
      <w:pPr>
        <w:rPr>
          <w:rFonts w:ascii="Arial" w:hAnsi="Arial" w:cs="Arial"/>
          <w:iCs/>
          <w:sz w:val="24"/>
          <w:szCs w:val="24"/>
        </w:rPr>
      </w:pPr>
    </w:p>
    <w:p w14:paraId="42069593" w14:textId="77777777" w:rsidR="00165EFB" w:rsidRPr="002E1C30" w:rsidRDefault="00246545" w:rsidP="00246545">
      <w:pPr>
        <w:rPr>
          <w:rFonts w:ascii="Arial" w:hAnsi="Arial" w:cs="Arial"/>
          <w:iCs/>
          <w:sz w:val="24"/>
          <w:szCs w:val="24"/>
        </w:rPr>
      </w:pPr>
      <w:r w:rsidRPr="002E1C30">
        <w:rPr>
          <w:rFonts w:ascii="Arial" w:hAnsi="Arial" w:cs="Arial"/>
          <w:iCs/>
          <w:sz w:val="24"/>
          <w:szCs w:val="24"/>
        </w:rPr>
        <w:t>Investment income is net of direct costs but before changes in fair value (</w:t>
      </w:r>
      <w:r w:rsidR="00952D70" w:rsidRPr="002E1C30">
        <w:rPr>
          <w:rFonts w:ascii="Arial" w:hAnsi="Arial" w:cs="Arial"/>
          <w:iCs/>
          <w:sz w:val="24"/>
          <w:szCs w:val="24"/>
        </w:rPr>
        <w:t>i</w:t>
      </w:r>
      <w:r w:rsidR="00952D70">
        <w:rPr>
          <w:rFonts w:ascii="Arial" w:hAnsi="Arial" w:cs="Arial"/>
          <w:iCs/>
          <w:sz w:val="24"/>
          <w:szCs w:val="24"/>
        </w:rPr>
        <w:t>.</w:t>
      </w:r>
      <w:r w:rsidR="00952D70" w:rsidRPr="002E1C30">
        <w:rPr>
          <w:rFonts w:ascii="Arial" w:hAnsi="Arial" w:cs="Arial"/>
          <w:iCs/>
          <w:sz w:val="24"/>
          <w:szCs w:val="24"/>
        </w:rPr>
        <w:t>e</w:t>
      </w:r>
      <w:r w:rsidR="00952D70">
        <w:rPr>
          <w:rFonts w:ascii="Arial" w:hAnsi="Arial" w:cs="Arial"/>
          <w:iCs/>
          <w:sz w:val="24"/>
          <w:szCs w:val="24"/>
        </w:rPr>
        <w:t>.,</w:t>
      </w:r>
      <w:r w:rsidRPr="002E1C30">
        <w:rPr>
          <w:rFonts w:ascii="Arial" w:hAnsi="Arial" w:cs="Arial"/>
          <w:iCs/>
          <w:sz w:val="24"/>
          <w:szCs w:val="24"/>
        </w:rPr>
        <w:t xml:space="preserve"> net operating surplus</w:t>
      </w:r>
      <w:r w:rsidR="00165EFB">
        <w:rPr>
          <w:rFonts w:ascii="Arial" w:hAnsi="Arial" w:cs="Arial"/>
          <w:iCs/>
          <w:sz w:val="24"/>
          <w:szCs w:val="24"/>
        </w:rPr>
        <w:t>.</w:t>
      </w:r>
      <w:r w:rsidR="00952D70">
        <w:rPr>
          <w:rFonts w:ascii="Arial" w:hAnsi="Arial" w:cs="Arial"/>
          <w:iCs/>
          <w:sz w:val="24"/>
          <w:szCs w:val="24"/>
        </w:rPr>
        <w:t>)</w:t>
      </w:r>
    </w:p>
    <w:p w14:paraId="11A4F1D6" w14:textId="77777777" w:rsidR="00161D65" w:rsidRDefault="00161D65" w:rsidP="00161D65">
      <w:pPr>
        <w:rPr>
          <w:rFonts w:ascii="Arial" w:hAnsi="Arial" w:cs="Arial"/>
          <w:iCs/>
          <w:sz w:val="24"/>
          <w:szCs w:val="24"/>
        </w:rPr>
      </w:pPr>
      <w:r>
        <w:rPr>
          <w:rFonts w:ascii="Arial" w:hAnsi="Arial" w:cs="Arial"/>
          <w:iCs/>
          <w:sz w:val="24"/>
          <w:szCs w:val="24"/>
        </w:rPr>
        <w:t xml:space="preserve">** </w:t>
      </w:r>
      <w:r w:rsidR="00165EFB" w:rsidRPr="002E1C30">
        <w:rPr>
          <w:rFonts w:ascii="Arial" w:hAnsi="Arial" w:cs="Arial"/>
          <w:iCs/>
          <w:sz w:val="24"/>
          <w:szCs w:val="24"/>
        </w:rPr>
        <w:t xml:space="preserve">The net revenue stream indicator </w:t>
      </w:r>
      <w:r w:rsidR="00156771">
        <w:rPr>
          <w:rFonts w:ascii="Arial" w:hAnsi="Arial" w:cs="Arial"/>
          <w:iCs/>
          <w:sz w:val="24"/>
          <w:szCs w:val="24"/>
        </w:rPr>
        <w:t>for 2022-23</w:t>
      </w:r>
      <w:r w:rsidR="00165EFB" w:rsidRPr="002E1C30">
        <w:rPr>
          <w:rFonts w:ascii="Arial" w:hAnsi="Arial" w:cs="Arial"/>
          <w:iCs/>
          <w:sz w:val="24"/>
          <w:szCs w:val="24"/>
        </w:rPr>
        <w:t xml:space="preserve"> was based on net cost of services as the Council did not </w:t>
      </w:r>
      <w:r w:rsidR="00E00404">
        <w:rPr>
          <w:rFonts w:ascii="Arial" w:hAnsi="Arial" w:cs="Arial"/>
          <w:iCs/>
          <w:sz w:val="24"/>
          <w:szCs w:val="24"/>
        </w:rPr>
        <w:t xml:space="preserve">previously </w:t>
      </w:r>
      <w:r w:rsidR="00165EFB" w:rsidRPr="002E1C30">
        <w:rPr>
          <w:rFonts w:ascii="Arial" w:hAnsi="Arial" w:cs="Arial"/>
          <w:iCs/>
          <w:sz w:val="24"/>
          <w:szCs w:val="24"/>
        </w:rPr>
        <w:t>calculate this figure as part of its financial strategy. For 202</w:t>
      </w:r>
      <w:r w:rsidR="0024075F">
        <w:rPr>
          <w:rFonts w:ascii="Arial" w:hAnsi="Arial" w:cs="Arial"/>
          <w:iCs/>
          <w:sz w:val="24"/>
          <w:szCs w:val="24"/>
        </w:rPr>
        <w:t>3</w:t>
      </w:r>
      <w:r w:rsidR="00165EFB" w:rsidRPr="002E1C30">
        <w:rPr>
          <w:rFonts w:ascii="Arial" w:hAnsi="Arial" w:cs="Arial"/>
          <w:iCs/>
          <w:sz w:val="24"/>
          <w:szCs w:val="24"/>
        </w:rPr>
        <w:t>-2</w:t>
      </w:r>
      <w:r w:rsidR="0024075F">
        <w:rPr>
          <w:rFonts w:ascii="Arial" w:hAnsi="Arial" w:cs="Arial"/>
          <w:iCs/>
          <w:sz w:val="24"/>
          <w:szCs w:val="24"/>
        </w:rPr>
        <w:t>4 and beyond</w:t>
      </w:r>
      <w:r w:rsidR="00165EFB" w:rsidRPr="002E1C30">
        <w:rPr>
          <w:rFonts w:ascii="Arial" w:hAnsi="Arial" w:cs="Arial"/>
          <w:iCs/>
          <w:sz w:val="24"/>
          <w:szCs w:val="24"/>
        </w:rPr>
        <w:t xml:space="preserve"> this indicator is based on net revenue stream projections which are now prepared as part of the Council’s financial strategy.</w:t>
      </w:r>
    </w:p>
    <w:p w14:paraId="7FDE5284" w14:textId="77777777" w:rsidR="00EB215E" w:rsidRDefault="00161D65" w:rsidP="00161D65">
      <w:pPr>
        <w:rPr>
          <w:rFonts w:ascii="Arial" w:hAnsi="Arial" w:cs="Arial"/>
          <w:iCs/>
          <w:sz w:val="24"/>
          <w:szCs w:val="24"/>
        </w:rPr>
      </w:pPr>
      <w:r>
        <w:rPr>
          <w:rFonts w:ascii="Arial" w:hAnsi="Arial" w:cs="Arial"/>
          <w:iCs/>
          <w:sz w:val="24"/>
          <w:szCs w:val="24"/>
        </w:rPr>
        <w:t xml:space="preserve">* </w:t>
      </w:r>
      <w:r w:rsidR="00165EFB" w:rsidRPr="002E1C30">
        <w:rPr>
          <w:rFonts w:ascii="Arial" w:hAnsi="Arial" w:cs="Arial"/>
          <w:iCs/>
          <w:sz w:val="24"/>
          <w:szCs w:val="24"/>
        </w:rPr>
        <w:t>F</w:t>
      </w:r>
      <w:r w:rsidR="00246545" w:rsidRPr="002E1C30">
        <w:rPr>
          <w:rFonts w:ascii="Arial" w:hAnsi="Arial" w:cs="Arial"/>
          <w:iCs/>
          <w:sz w:val="24"/>
          <w:szCs w:val="24"/>
        </w:rPr>
        <w:t>orecast commercial income levels for 202</w:t>
      </w:r>
      <w:r>
        <w:rPr>
          <w:rFonts w:ascii="Arial" w:hAnsi="Arial" w:cs="Arial"/>
          <w:iCs/>
          <w:sz w:val="24"/>
          <w:szCs w:val="24"/>
        </w:rPr>
        <w:t>4</w:t>
      </w:r>
      <w:r w:rsidR="00246545" w:rsidRPr="002E1C30">
        <w:rPr>
          <w:rFonts w:ascii="Arial" w:hAnsi="Arial" w:cs="Arial"/>
          <w:iCs/>
          <w:sz w:val="24"/>
          <w:szCs w:val="24"/>
        </w:rPr>
        <w:t>-2</w:t>
      </w:r>
      <w:r>
        <w:rPr>
          <w:rFonts w:ascii="Arial" w:hAnsi="Arial" w:cs="Arial"/>
          <w:iCs/>
          <w:sz w:val="24"/>
          <w:szCs w:val="24"/>
        </w:rPr>
        <w:t>5</w:t>
      </w:r>
      <w:r w:rsidR="00246545" w:rsidRPr="002E1C30">
        <w:rPr>
          <w:rFonts w:ascii="Arial" w:hAnsi="Arial" w:cs="Arial"/>
          <w:iCs/>
          <w:sz w:val="24"/>
          <w:szCs w:val="24"/>
        </w:rPr>
        <w:t xml:space="preserve"> and future years are not available at </w:t>
      </w:r>
      <w:r w:rsidR="00E72134">
        <w:rPr>
          <w:rFonts w:ascii="Arial" w:hAnsi="Arial" w:cs="Arial"/>
          <w:iCs/>
          <w:sz w:val="24"/>
          <w:szCs w:val="24"/>
        </w:rPr>
        <w:t xml:space="preserve">the date of </w:t>
      </w:r>
      <w:r w:rsidR="00246545" w:rsidRPr="002E1C30">
        <w:rPr>
          <w:rFonts w:ascii="Arial" w:hAnsi="Arial" w:cs="Arial"/>
          <w:iCs/>
          <w:sz w:val="24"/>
          <w:szCs w:val="24"/>
        </w:rPr>
        <w:t xml:space="preserve">writing this strategy. The figures are based on best estimates assuming ‘no change’. </w:t>
      </w:r>
      <w:bookmarkStart w:id="61" w:name="_Toc87966938"/>
      <w:bookmarkStart w:id="62" w:name="_Toc115768690"/>
    </w:p>
    <w:p w14:paraId="0F107F80" w14:textId="77777777" w:rsidR="000E6916" w:rsidRPr="00EB215E" w:rsidRDefault="000F696B" w:rsidP="00EB215E">
      <w:pPr>
        <w:pStyle w:val="Heading1"/>
        <w:rPr>
          <w:rFonts w:ascii="Arial" w:hAnsi="Arial" w:cs="Arial"/>
          <w:color w:val="auto"/>
        </w:rPr>
      </w:pPr>
      <w:r w:rsidRPr="00EB215E">
        <w:rPr>
          <w:rFonts w:ascii="Arial" w:hAnsi="Arial" w:cs="Arial"/>
          <w:color w:val="auto"/>
        </w:rPr>
        <w:t xml:space="preserve">Part 3 - </w:t>
      </w:r>
      <w:r w:rsidR="000E6916" w:rsidRPr="00EB215E">
        <w:rPr>
          <w:rFonts w:ascii="Arial" w:hAnsi="Arial" w:cs="Arial"/>
          <w:color w:val="auto"/>
        </w:rPr>
        <w:t>Service Investments</w:t>
      </w:r>
      <w:bookmarkEnd w:id="61"/>
      <w:bookmarkEnd w:id="62"/>
      <w:r w:rsidR="000E6916" w:rsidRPr="00EB215E">
        <w:rPr>
          <w:rFonts w:ascii="Arial" w:hAnsi="Arial" w:cs="Arial"/>
          <w:color w:val="auto"/>
        </w:rPr>
        <w:br/>
      </w:r>
    </w:p>
    <w:p w14:paraId="06F81A8F" w14:textId="77777777" w:rsidR="000E6916" w:rsidRPr="00E1158E" w:rsidRDefault="000E6916" w:rsidP="000E6916">
      <w:pPr>
        <w:pBdr>
          <w:top w:val="single" w:sz="4" w:space="1" w:color="auto"/>
          <w:left w:val="single" w:sz="4" w:space="4" w:color="auto"/>
          <w:bottom w:val="single" w:sz="4" w:space="1" w:color="auto"/>
          <w:right w:val="single" w:sz="4" w:space="4" w:color="auto"/>
        </w:pBdr>
        <w:shd w:val="clear" w:color="auto" w:fill="D9D9D9"/>
        <w:rPr>
          <w:rFonts w:ascii="Arial" w:hAnsi="Arial" w:cs="Arial"/>
          <w:sz w:val="24"/>
          <w:szCs w:val="24"/>
        </w:rPr>
      </w:pPr>
      <w:r w:rsidRPr="00E1158E">
        <w:rPr>
          <w:rFonts w:ascii="Arial" w:hAnsi="Arial" w:cs="Arial"/>
          <w:sz w:val="24"/>
          <w:szCs w:val="24"/>
        </w:rPr>
        <w:t xml:space="preserve">The Council may choose to make loans or provide guarantees to local enterprises, local </w:t>
      </w:r>
      <w:proofErr w:type="gramStart"/>
      <w:r w:rsidRPr="00E1158E">
        <w:rPr>
          <w:rFonts w:ascii="Arial" w:hAnsi="Arial" w:cs="Arial"/>
          <w:sz w:val="24"/>
          <w:szCs w:val="24"/>
        </w:rPr>
        <w:t>charities</w:t>
      </w:r>
      <w:proofErr w:type="gramEnd"/>
      <w:r w:rsidRPr="00E1158E">
        <w:rPr>
          <w:rFonts w:ascii="Arial" w:hAnsi="Arial" w:cs="Arial"/>
          <w:sz w:val="24"/>
          <w:szCs w:val="24"/>
        </w:rPr>
        <w:t xml:space="preserve"> and other entities as part of a wider strategy for local economic growth</w:t>
      </w:r>
      <w:r>
        <w:rPr>
          <w:rFonts w:ascii="Arial" w:hAnsi="Arial" w:cs="Arial"/>
          <w:sz w:val="24"/>
          <w:szCs w:val="24"/>
        </w:rPr>
        <w:t xml:space="preserve"> and to support its Corporate Priorities.</w:t>
      </w:r>
    </w:p>
    <w:p w14:paraId="771F973E" w14:textId="77777777" w:rsidR="00382797" w:rsidRDefault="00382797" w:rsidP="00382797">
      <w:pPr>
        <w:rPr>
          <w:rFonts w:ascii="Arial" w:hAnsi="Arial" w:cs="Arial"/>
          <w:sz w:val="24"/>
          <w:szCs w:val="24"/>
        </w:rPr>
      </w:pPr>
      <w:r w:rsidRPr="00382797">
        <w:rPr>
          <w:rFonts w:ascii="Arial" w:hAnsi="Arial" w:cs="Arial"/>
          <w:sz w:val="24"/>
          <w:szCs w:val="24"/>
        </w:rPr>
        <w:t xml:space="preserve">‘Investments for service purposes’ (or service investments) are taken or held primarily and directly for the delivery of public services (including housing, </w:t>
      </w:r>
      <w:proofErr w:type="gramStart"/>
      <w:r w:rsidRPr="00382797">
        <w:rPr>
          <w:rFonts w:ascii="Arial" w:hAnsi="Arial" w:cs="Arial"/>
          <w:sz w:val="24"/>
          <w:szCs w:val="24"/>
        </w:rPr>
        <w:t>regeneration</w:t>
      </w:r>
      <w:proofErr w:type="gramEnd"/>
      <w:r w:rsidRPr="00382797">
        <w:rPr>
          <w:rFonts w:ascii="Arial" w:hAnsi="Arial" w:cs="Arial"/>
          <w:sz w:val="24"/>
          <w:szCs w:val="24"/>
        </w:rPr>
        <w:t xml:space="preserve"> and local infrastructure) or in support of joint working with others to deliver such services.   The Council has also determined that loans made to employees under the Council’s employment terms and conditions also falls within this category of investment.</w:t>
      </w:r>
    </w:p>
    <w:p w14:paraId="11FA27AD" w14:textId="77777777" w:rsidR="00382797" w:rsidRPr="002E1C30" w:rsidRDefault="00382797" w:rsidP="00382797">
      <w:pPr>
        <w:rPr>
          <w:rFonts w:ascii="Arial" w:hAnsi="Arial" w:cs="Arial"/>
          <w:sz w:val="24"/>
          <w:szCs w:val="24"/>
        </w:rPr>
      </w:pPr>
      <w:r w:rsidRPr="002E1C30">
        <w:rPr>
          <w:rFonts w:ascii="Arial" w:hAnsi="Arial" w:cs="Arial"/>
          <w:sz w:val="24"/>
          <w:szCs w:val="24"/>
        </w:rPr>
        <w:t>They are distinct from treasury investments in that:</w:t>
      </w:r>
    </w:p>
    <w:p w14:paraId="44D0DEF4" w14:textId="77777777" w:rsidR="00382797" w:rsidRPr="002E1C30" w:rsidRDefault="00382797" w:rsidP="002E1C30">
      <w:pPr>
        <w:pStyle w:val="ListParagraph"/>
        <w:numPr>
          <w:ilvl w:val="0"/>
          <w:numId w:val="36"/>
        </w:numPr>
        <w:rPr>
          <w:rFonts w:ascii="Arial" w:hAnsi="Arial" w:cs="Arial"/>
          <w:sz w:val="24"/>
          <w:szCs w:val="24"/>
        </w:rPr>
      </w:pPr>
      <w:r w:rsidRPr="002E1C30">
        <w:rPr>
          <w:rFonts w:ascii="Arial" w:hAnsi="Arial" w:cs="Arial"/>
          <w:sz w:val="24"/>
          <w:szCs w:val="24"/>
        </w:rPr>
        <w:t>They are not principally made to manage the Council’s short term and surplus cash balances;</w:t>
      </w:r>
      <w:r w:rsidRPr="002E1C30">
        <w:rPr>
          <w:rFonts w:ascii="Arial" w:hAnsi="Arial" w:cs="Arial"/>
          <w:sz w:val="24"/>
          <w:szCs w:val="24"/>
        </w:rPr>
        <w:br/>
      </w:r>
    </w:p>
    <w:p w14:paraId="1C061EF1" w14:textId="77777777" w:rsidR="00382797" w:rsidRPr="002E1C30" w:rsidRDefault="00382797" w:rsidP="002E1C30">
      <w:pPr>
        <w:pStyle w:val="ListParagraph"/>
        <w:numPr>
          <w:ilvl w:val="0"/>
          <w:numId w:val="36"/>
        </w:numPr>
        <w:rPr>
          <w:rFonts w:ascii="Arial" w:hAnsi="Arial" w:cs="Arial"/>
          <w:sz w:val="24"/>
          <w:szCs w:val="24"/>
        </w:rPr>
      </w:pPr>
      <w:r w:rsidRPr="002E1C30">
        <w:rPr>
          <w:rFonts w:ascii="Arial" w:hAnsi="Arial" w:cs="Arial"/>
          <w:sz w:val="24"/>
          <w:szCs w:val="24"/>
        </w:rPr>
        <w:t>They may or may not involve financial returns; however, primary purposes of these investments are their contribution to the Council’s corporate objectives and statutory responsibilities.</w:t>
      </w:r>
    </w:p>
    <w:p w14:paraId="31DDD766" w14:textId="77777777" w:rsidR="00382797" w:rsidRPr="002E1C30" w:rsidRDefault="00382797" w:rsidP="00382797">
      <w:pPr>
        <w:rPr>
          <w:rFonts w:ascii="Arial" w:hAnsi="Arial" w:cs="Arial"/>
          <w:sz w:val="24"/>
          <w:szCs w:val="24"/>
        </w:rPr>
      </w:pPr>
      <w:r w:rsidRPr="002E1C30">
        <w:rPr>
          <w:rFonts w:ascii="Arial" w:hAnsi="Arial" w:cs="Arial"/>
          <w:sz w:val="24"/>
          <w:szCs w:val="24"/>
        </w:rPr>
        <w:lastRenderedPageBreak/>
        <w:t>Service investments are non-specified investments, and this requires the council to determine:</w:t>
      </w:r>
    </w:p>
    <w:p w14:paraId="269D2159" w14:textId="77777777" w:rsidR="00382797" w:rsidRPr="002E1C30" w:rsidRDefault="00382797" w:rsidP="00382797">
      <w:pPr>
        <w:pStyle w:val="ListParagraph"/>
        <w:numPr>
          <w:ilvl w:val="0"/>
          <w:numId w:val="32"/>
        </w:numPr>
        <w:rPr>
          <w:rFonts w:ascii="Arial" w:hAnsi="Arial" w:cs="Arial"/>
          <w:sz w:val="24"/>
          <w:szCs w:val="24"/>
        </w:rPr>
      </w:pPr>
      <w:r w:rsidRPr="002E1C30">
        <w:rPr>
          <w:rFonts w:ascii="Arial" w:hAnsi="Arial" w:cs="Arial"/>
          <w:sz w:val="24"/>
          <w:szCs w:val="24"/>
        </w:rPr>
        <w:t>procedures for determining which categories of investments may be prudently used</w:t>
      </w:r>
      <w:r w:rsidRPr="002E1C30">
        <w:rPr>
          <w:rFonts w:ascii="Arial" w:hAnsi="Arial" w:cs="Arial"/>
          <w:sz w:val="24"/>
          <w:szCs w:val="24"/>
        </w:rPr>
        <w:br/>
      </w:r>
    </w:p>
    <w:p w14:paraId="75151D22" w14:textId="77777777" w:rsidR="00382797" w:rsidRPr="002E1C30" w:rsidRDefault="00382797" w:rsidP="00382797">
      <w:pPr>
        <w:pStyle w:val="ListParagraph"/>
        <w:numPr>
          <w:ilvl w:val="0"/>
          <w:numId w:val="32"/>
        </w:numPr>
        <w:rPr>
          <w:rFonts w:ascii="Arial" w:hAnsi="Arial" w:cs="Arial"/>
          <w:sz w:val="24"/>
          <w:szCs w:val="24"/>
        </w:rPr>
      </w:pPr>
      <w:r w:rsidRPr="002E1C30">
        <w:rPr>
          <w:rFonts w:ascii="Arial" w:hAnsi="Arial" w:cs="Arial"/>
          <w:sz w:val="24"/>
          <w:szCs w:val="24"/>
        </w:rPr>
        <w:t xml:space="preserve">which categories of investments have been defined as suitable for </w:t>
      </w:r>
      <w:proofErr w:type="gramStart"/>
      <w:r w:rsidRPr="002E1C30">
        <w:rPr>
          <w:rFonts w:ascii="Arial" w:hAnsi="Arial" w:cs="Arial"/>
          <w:sz w:val="24"/>
          <w:szCs w:val="24"/>
        </w:rPr>
        <w:t>use;</w:t>
      </w:r>
      <w:proofErr w:type="gramEnd"/>
    </w:p>
    <w:p w14:paraId="460B9E55" w14:textId="77777777" w:rsidR="00382797" w:rsidRPr="007B4BAC" w:rsidRDefault="00382797" w:rsidP="002E1C30">
      <w:pPr>
        <w:numPr>
          <w:ilvl w:val="0"/>
          <w:numId w:val="32"/>
        </w:numPr>
        <w:rPr>
          <w:rFonts w:ascii="Arial" w:hAnsi="Arial" w:cs="Arial"/>
          <w:sz w:val="24"/>
          <w:szCs w:val="24"/>
        </w:rPr>
      </w:pPr>
      <w:r w:rsidRPr="002E1C30">
        <w:rPr>
          <w:rFonts w:ascii="Arial" w:hAnsi="Arial" w:cs="Arial"/>
          <w:sz w:val="24"/>
          <w:szCs w:val="24"/>
        </w:rPr>
        <w:t>the upper limits for the maximum amounts, both individually and cumulatively, that may be held in each identified category, and the overall amount held in non-specified investments, including confirmation that investments made have remained within those limits</w:t>
      </w:r>
      <w:r w:rsidR="00B33950">
        <w:rPr>
          <w:rFonts w:ascii="Arial" w:hAnsi="Arial" w:cs="Arial"/>
          <w:sz w:val="24"/>
          <w:szCs w:val="24"/>
        </w:rPr>
        <w:t>.</w:t>
      </w:r>
    </w:p>
    <w:p w14:paraId="46C5FBD2" w14:textId="77777777" w:rsidR="00382797" w:rsidRPr="002E1C30" w:rsidRDefault="00382797" w:rsidP="007B4BAC">
      <w:pPr>
        <w:pStyle w:val="Heading2"/>
        <w:rPr>
          <w:rFonts w:ascii="Arial" w:hAnsi="Arial" w:cs="Arial"/>
          <w:color w:val="auto"/>
        </w:rPr>
      </w:pPr>
      <w:bookmarkStart w:id="63" w:name="_Toc115768691"/>
      <w:r w:rsidRPr="002E1C30">
        <w:rPr>
          <w:rFonts w:ascii="Arial" w:hAnsi="Arial" w:cs="Arial"/>
          <w:color w:val="auto"/>
        </w:rPr>
        <w:t>Governance and suitability</w:t>
      </w:r>
      <w:bookmarkEnd w:id="63"/>
      <w:r w:rsidRPr="002E1C30">
        <w:rPr>
          <w:rFonts w:ascii="Arial" w:hAnsi="Arial" w:cs="Arial"/>
          <w:color w:val="auto"/>
        </w:rPr>
        <w:br/>
      </w:r>
    </w:p>
    <w:p w14:paraId="345A7212" w14:textId="77777777" w:rsidR="00382797" w:rsidRPr="002E1C30" w:rsidRDefault="00382797" w:rsidP="00382797">
      <w:pPr>
        <w:rPr>
          <w:rFonts w:ascii="Arial" w:hAnsi="Arial" w:cs="Arial"/>
          <w:sz w:val="24"/>
          <w:szCs w:val="24"/>
        </w:rPr>
      </w:pPr>
      <w:r w:rsidRPr="002E1C30">
        <w:rPr>
          <w:rFonts w:ascii="Arial" w:hAnsi="Arial" w:cs="Arial"/>
          <w:sz w:val="24"/>
          <w:szCs w:val="24"/>
        </w:rPr>
        <w:t>All service investments must demonstrate a clear contribution towards the Council’s strategic objectives or delivery of statutory responsibilities.</w:t>
      </w:r>
    </w:p>
    <w:p w14:paraId="0CD6DAA8" w14:textId="77777777" w:rsidR="00382797" w:rsidRPr="002E1C30" w:rsidRDefault="00382797" w:rsidP="00382797">
      <w:pPr>
        <w:rPr>
          <w:rFonts w:ascii="Arial" w:hAnsi="Arial" w:cs="Arial"/>
          <w:sz w:val="24"/>
          <w:szCs w:val="24"/>
        </w:rPr>
      </w:pPr>
      <w:r w:rsidRPr="002E1C30">
        <w:rPr>
          <w:rFonts w:ascii="Arial" w:hAnsi="Arial" w:cs="Arial"/>
          <w:sz w:val="24"/>
          <w:szCs w:val="24"/>
        </w:rPr>
        <w:t xml:space="preserve">Governance arrangements for any new investments will be subject to the processes set out in the Council’s constitution, including any delegation arrangements provided in that document.  </w:t>
      </w:r>
    </w:p>
    <w:p w14:paraId="298F28C3" w14:textId="77777777" w:rsidR="003A1E19" w:rsidRPr="00783B5F" w:rsidRDefault="00382797" w:rsidP="003A1E19">
      <w:pPr>
        <w:rPr>
          <w:rFonts w:ascii="Arial" w:hAnsi="Arial" w:cs="Arial"/>
          <w:sz w:val="24"/>
          <w:szCs w:val="24"/>
        </w:rPr>
      </w:pPr>
      <w:r w:rsidRPr="002E1C30">
        <w:rPr>
          <w:rFonts w:ascii="Arial" w:hAnsi="Arial" w:cs="Arial"/>
          <w:sz w:val="24"/>
          <w:szCs w:val="24"/>
        </w:rPr>
        <w:t xml:space="preserve">Any fundamentally new or additional </w:t>
      </w:r>
      <w:r w:rsidR="000F696B">
        <w:rPr>
          <w:rFonts w:ascii="Arial" w:hAnsi="Arial" w:cs="Arial"/>
          <w:sz w:val="24"/>
          <w:szCs w:val="24"/>
        </w:rPr>
        <w:t>significant</w:t>
      </w:r>
      <w:r w:rsidRPr="002E1C30">
        <w:rPr>
          <w:rFonts w:ascii="Arial" w:hAnsi="Arial" w:cs="Arial"/>
          <w:sz w:val="24"/>
          <w:szCs w:val="24"/>
        </w:rPr>
        <w:t xml:space="preserve"> service investment outside those specified </w:t>
      </w:r>
      <w:r w:rsidR="003A1E19">
        <w:rPr>
          <w:rFonts w:ascii="Arial" w:hAnsi="Arial" w:cs="Arial"/>
          <w:sz w:val="24"/>
          <w:szCs w:val="24"/>
        </w:rPr>
        <w:t>as approved investment vehicles below</w:t>
      </w:r>
      <w:r w:rsidRPr="002E1C30">
        <w:rPr>
          <w:rFonts w:ascii="Arial" w:hAnsi="Arial" w:cs="Arial"/>
          <w:sz w:val="24"/>
          <w:szCs w:val="24"/>
        </w:rPr>
        <w:t xml:space="preserve"> will be required to have direct Council approval. </w:t>
      </w:r>
      <w:r w:rsidR="008B226B">
        <w:rPr>
          <w:rFonts w:ascii="Arial" w:hAnsi="Arial" w:cs="Arial"/>
          <w:sz w:val="24"/>
          <w:szCs w:val="24"/>
        </w:rPr>
        <w:t xml:space="preserve">Any such approval will require </w:t>
      </w:r>
      <w:r w:rsidR="003A1E19" w:rsidRPr="00783B5F">
        <w:rPr>
          <w:rFonts w:ascii="Arial" w:hAnsi="Arial" w:cs="Arial"/>
          <w:sz w:val="24"/>
          <w:szCs w:val="24"/>
        </w:rPr>
        <w:t xml:space="preserve">the </w:t>
      </w:r>
      <w:r w:rsidR="003A1E19">
        <w:rPr>
          <w:rFonts w:ascii="Arial" w:hAnsi="Arial" w:cs="Arial"/>
          <w:sz w:val="24"/>
          <w:szCs w:val="24"/>
        </w:rPr>
        <w:t xml:space="preserve">Council’s </w:t>
      </w:r>
      <w:r w:rsidR="003A1E19" w:rsidRPr="00783B5F">
        <w:rPr>
          <w:rFonts w:ascii="Arial" w:hAnsi="Arial" w:cs="Arial"/>
          <w:sz w:val="24"/>
          <w:szCs w:val="24"/>
        </w:rPr>
        <w:t xml:space="preserve">s.151 </w:t>
      </w:r>
      <w:r w:rsidR="008B226B">
        <w:rPr>
          <w:rFonts w:ascii="Arial" w:hAnsi="Arial" w:cs="Arial"/>
          <w:sz w:val="24"/>
          <w:szCs w:val="24"/>
        </w:rPr>
        <w:t>to</w:t>
      </w:r>
      <w:r w:rsidR="003A1E19">
        <w:rPr>
          <w:rFonts w:ascii="Arial" w:hAnsi="Arial" w:cs="Arial"/>
          <w:sz w:val="24"/>
          <w:szCs w:val="24"/>
        </w:rPr>
        <w:t>:</w:t>
      </w:r>
    </w:p>
    <w:p w14:paraId="741B907C" w14:textId="77777777" w:rsidR="003A1E19" w:rsidRPr="00783B5F" w:rsidRDefault="000F696B" w:rsidP="003A1E19">
      <w:pPr>
        <w:pStyle w:val="ListParagraph"/>
        <w:numPr>
          <w:ilvl w:val="0"/>
          <w:numId w:val="38"/>
        </w:numPr>
        <w:rPr>
          <w:rFonts w:ascii="Arial" w:hAnsi="Arial" w:cs="Arial"/>
          <w:sz w:val="24"/>
          <w:szCs w:val="24"/>
        </w:rPr>
      </w:pPr>
      <w:r>
        <w:rPr>
          <w:rFonts w:ascii="Arial" w:hAnsi="Arial" w:cs="Arial"/>
          <w:sz w:val="24"/>
          <w:szCs w:val="24"/>
        </w:rPr>
        <w:t>c</w:t>
      </w:r>
      <w:r w:rsidR="003A1E19" w:rsidRPr="00783B5F">
        <w:rPr>
          <w:rFonts w:ascii="Arial" w:hAnsi="Arial" w:cs="Arial"/>
          <w:sz w:val="24"/>
          <w:szCs w:val="24"/>
        </w:rPr>
        <w:t xml:space="preserve">onfirm </w:t>
      </w:r>
      <w:r w:rsidR="008B226B">
        <w:rPr>
          <w:rFonts w:ascii="Arial" w:hAnsi="Arial" w:cs="Arial"/>
          <w:sz w:val="24"/>
          <w:szCs w:val="24"/>
        </w:rPr>
        <w:t xml:space="preserve">(after </w:t>
      </w:r>
      <w:r w:rsidR="005E6289">
        <w:rPr>
          <w:rFonts w:ascii="Arial" w:hAnsi="Arial" w:cs="Arial"/>
          <w:sz w:val="24"/>
          <w:szCs w:val="24"/>
        </w:rPr>
        <w:t>seeking</w:t>
      </w:r>
      <w:r w:rsidR="008B226B">
        <w:rPr>
          <w:rFonts w:ascii="Arial" w:hAnsi="Arial" w:cs="Arial"/>
          <w:sz w:val="24"/>
          <w:szCs w:val="24"/>
        </w:rPr>
        <w:t xml:space="preserve"> advice from the Council’s Monitor Officer) </w:t>
      </w:r>
      <w:r w:rsidR="003A1E19" w:rsidRPr="00783B5F">
        <w:rPr>
          <w:rFonts w:ascii="Arial" w:hAnsi="Arial" w:cs="Arial"/>
          <w:sz w:val="24"/>
          <w:szCs w:val="24"/>
        </w:rPr>
        <w:t xml:space="preserve">the legality of the </w:t>
      </w:r>
      <w:r w:rsidR="003A1E19">
        <w:rPr>
          <w:rFonts w:ascii="Arial" w:hAnsi="Arial" w:cs="Arial"/>
          <w:sz w:val="24"/>
          <w:szCs w:val="24"/>
        </w:rPr>
        <w:t>proposed investment</w:t>
      </w:r>
      <w:r w:rsidR="003A1E19" w:rsidRPr="00783B5F">
        <w:rPr>
          <w:rFonts w:ascii="Arial" w:hAnsi="Arial" w:cs="Arial"/>
          <w:sz w:val="24"/>
          <w:szCs w:val="24"/>
        </w:rPr>
        <w:t xml:space="preserve"> and the nature of the transaction, and that all authorities to proceed have been obtained</w:t>
      </w:r>
      <w:r>
        <w:rPr>
          <w:rFonts w:ascii="Arial" w:hAnsi="Arial" w:cs="Arial"/>
          <w:sz w:val="24"/>
          <w:szCs w:val="24"/>
        </w:rPr>
        <w:t>;</w:t>
      </w:r>
      <w:r w:rsidR="003A1E19">
        <w:rPr>
          <w:rFonts w:ascii="Arial" w:hAnsi="Arial" w:cs="Arial"/>
          <w:sz w:val="24"/>
          <w:szCs w:val="24"/>
        </w:rPr>
        <w:br/>
      </w:r>
    </w:p>
    <w:p w14:paraId="6082E878" w14:textId="77777777" w:rsidR="003A1E19" w:rsidRPr="00783B5F" w:rsidRDefault="000F696B" w:rsidP="003A1E19">
      <w:pPr>
        <w:pStyle w:val="ListParagraph"/>
        <w:numPr>
          <w:ilvl w:val="0"/>
          <w:numId w:val="38"/>
        </w:numPr>
        <w:rPr>
          <w:rFonts w:ascii="Arial" w:hAnsi="Arial" w:cs="Arial"/>
          <w:sz w:val="24"/>
          <w:szCs w:val="24"/>
        </w:rPr>
      </w:pPr>
      <w:r>
        <w:rPr>
          <w:rFonts w:ascii="Arial" w:hAnsi="Arial" w:cs="Arial"/>
          <w:sz w:val="24"/>
          <w:szCs w:val="24"/>
        </w:rPr>
        <w:t>s</w:t>
      </w:r>
      <w:r w:rsidR="003A1E19" w:rsidRPr="00783B5F">
        <w:rPr>
          <w:rFonts w:ascii="Arial" w:hAnsi="Arial" w:cs="Arial"/>
          <w:sz w:val="24"/>
          <w:szCs w:val="24"/>
        </w:rPr>
        <w:t>atisfy themselves that the documentation is adequate both to deliver the organisation’s objectives and protect the organisation’s interests</w:t>
      </w:r>
      <w:r>
        <w:rPr>
          <w:rFonts w:ascii="Arial" w:hAnsi="Arial" w:cs="Arial"/>
          <w:sz w:val="24"/>
          <w:szCs w:val="24"/>
        </w:rPr>
        <w:t>;</w:t>
      </w:r>
      <w:r w:rsidR="003A1E19">
        <w:rPr>
          <w:rFonts w:ascii="Arial" w:hAnsi="Arial" w:cs="Arial"/>
          <w:sz w:val="24"/>
          <w:szCs w:val="24"/>
        </w:rPr>
        <w:br/>
      </w:r>
    </w:p>
    <w:p w14:paraId="191D3483" w14:textId="77777777" w:rsidR="003A1E19" w:rsidRPr="00783B5F" w:rsidRDefault="003A1E19" w:rsidP="003A1E19">
      <w:pPr>
        <w:pStyle w:val="ListParagraph"/>
        <w:numPr>
          <w:ilvl w:val="0"/>
          <w:numId w:val="38"/>
        </w:numPr>
        <w:rPr>
          <w:rFonts w:ascii="Arial" w:hAnsi="Arial" w:cs="Arial"/>
          <w:sz w:val="24"/>
          <w:szCs w:val="24"/>
        </w:rPr>
      </w:pPr>
      <w:r w:rsidRPr="00783B5F">
        <w:rPr>
          <w:rFonts w:ascii="Arial" w:hAnsi="Arial" w:cs="Arial"/>
          <w:sz w:val="24"/>
          <w:szCs w:val="24"/>
        </w:rPr>
        <w:t>ensure that relevant due diligence has taken place</w:t>
      </w:r>
      <w:r w:rsidR="000F696B">
        <w:rPr>
          <w:rFonts w:ascii="Arial" w:hAnsi="Arial" w:cs="Arial"/>
          <w:sz w:val="24"/>
          <w:szCs w:val="24"/>
        </w:rPr>
        <w:t>;</w:t>
      </w:r>
      <w:r>
        <w:rPr>
          <w:rFonts w:ascii="Arial" w:hAnsi="Arial" w:cs="Arial"/>
          <w:sz w:val="24"/>
          <w:szCs w:val="24"/>
        </w:rPr>
        <w:br/>
      </w:r>
    </w:p>
    <w:p w14:paraId="1074552B" w14:textId="77777777" w:rsidR="003A1E19" w:rsidRPr="00783B5F" w:rsidRDefault="003A1E19" w:rsidP="003A1E19">
      <w:pPr>
        <w:pStyle w:val="ListParagraph"/>
        <w:numPr>
          <w:ilvl w:val="0"/>
          <w:numId w:val="38"/>
        </w:numPr>
        <w:rPr>
          <w:rFonts w:ascii="Arial" w:hAnsi="Arial" w:cs="Arial"/>
          <w:sz w:val="24"/>
          <w:szCs w:val="24"/>
        </w:rPr>
      </w:pPr>
      <w:r w:rsidRPr="00783B5F">
        <w:rPr>
          <w:rFonts w:ascii="Arial" w:hAnsi="Arial" w:cs="Arial"/>
          <w:sz w:val="24"/>
          <w:szCs w:val="24"/>
        </w:rPr>
        <w:t>ensure that counterparties are judged satisfactory in the context of the organisation’s creditworthiness policies and that limits have not been exceeded</w:t>
      </w:r>
      <w:r w:rsidR="000F696B">
        <w:rPr>
          <w:rFonts w:ascii="Arial" w:hAnsi="Arial" w:cs="Arial"/>
          <w:sz w:val="24"/>
          <w:szCs w:val="24"/>
        </w:rPr>
        <w:t>; and,</w:t>
      </w:r>
    </w:p>
    <w:p w14:paraId="59F40259" w14:textId="77777777" w:rsidR="003A1E19" w:rsidRPr="00783B5F" w:rsidRDefault="003A1E19" w:rsidP="003A1E19">
      <w:pPr>
        <w:numPr>
          <w:ilvl w:val="0"/>
          <w:numId w:val="38"/>
        </w:numPr>
        <w:rPr>
          <w:rFonts w:ascii="Arial" w:hAnsi="Arial" w:cs="Arial"/>
          <w:sz w:val="24"/>
          <w:szCs w:val="24"/>
        </w:rPr>
      </w:pPr>
      <w:r w:rsidRPr="00783B5F">
        <w:rPr>
          <w:rFonts w:ascii="Arial" w:hAnsi="Arial" w:cs="Arial"/>
          <w:sz w:val="24"/>
          <w:szCs w:val="24"/>
        </w:rPr>
        <w:t>be content that the terms of any transactions have been fully checked against the market and have been found to be competitive, or that there are sufficient and valid reasons for the Council to depart from market competitive rates</w:t>
      </w:r>
      <w:r w:rsidR="000F696B">
        <w:rPr>
          <w:rFonts w:ascii="Arial" w:hAnsi="Arial" w:cs="Arial"/>
          <w:sz w:val="24"/>
          <w:szCs w:val="24"/>
        </w:rPr>
        <w:t>.</w:t>
      </w:r>
    </w:p>
    <w:p w14:paraId="010B0539" w14:textId="77777777" w:rsidR="00382797" w:rsidRPr="002E1C30" w:rsidRDefault="00382797" w:rsidP="00382797">
      <w:pPr>
        <w:rPr>
          <w:rFonts w:ascii="Arial" w:hAnsi="Arial" w:cs="Arial"/>
          <w:sz w:val="24"/>
          <w:szCs w:val="24"/>
        </w:rPr>
      </w:pPr>
      <w:r w:rsidRPr="002E1C30">
        <w:rPr>
          <w:rFonts w:ascii="Arial" w:hAnsi="Arial" w:cs="Arial"/>
          <w:sz w:val="24"/>
          <w:szCs w:val="24"/>
        </w:rPr>
        <w:t>Outside of this, the section 151 officer has delegated authority to implement this investment strategy, subject to the following overarching responsibilities:</w:t>
      </w:r>
    </w:p>
    <w:p w14:paraId="1ED41CF9" w14:textId="77777777" w:rsidR="00382797" w:rsidRDefault="00382797" w:rsidP="002E1C30">
      <w:pPr>
        <w:pStyle w:val="ListParagraph"/>
        <w:numPr>
          <w:ilvl w:val="0"/>
          <w:numId w:val="35"/>
        </w:numPr>
        <w:rPr>
          <w:rFonts w:ascii="Arial" w:hAnsi="Arial" w:cs="Arial"/>
          <w:sz w:val="24"/>
          <w:szCs w:val="24"/>
        </w:rPr>
      </w:pPr>
      <w:r w:rsidRPr="00382797">
        <w:rPr>
          <w:rFonts w:ascii="Arial" w:hAnsi="Arial" w:cs="Arial"/>
          <w:sz w:val="24"/>
          <w:szCs w:val="24"/>
        </w:rPr>
        <w:lastRenderedPageBreak/>
        <w:t xml:space="preserve">the total exposure </w:t>
      </w:r>
      <w:r>
        <w:rPr>
          <w:rFonts w:ascii="Arial" w:hAnsi="Arial" w:cs="Arial"/>
          <w:sz w:val="24"/>
          <w:szCs w:val="24"/>
        </w:rPr>
        <w:t>is</w:t>
      </w:r>
      <w:r w:rsidRPr="00382797">
        <w:rPr>
          <w:rFonts w:ascii="Arial" w:hAnsi="Arial" w:cs="Arial"/>
          <w:sz w:val="24"/>
          <w:szCs w:val="24"/>
        </w:rPr>
        <w:t xml:space="preserve"> limited to the funding approved for this purpose in advance by the Council’s Cabinet</w:t>
      </w:r>
      <w:r>
        <w:rPr>
          <w:rFonts w:ascii="Arial" w:hAnsi="Arial" w:cs="Arial"/>
          <w:sz w:val="24"/>
          <w:szCs w:val="24"/>
        </w:rPr>
        <w:t>;</w:t>
      </w:r>
      <w:r>
        <w:rPr>
          <w:rFonts w:ascii="Arial" w:hAnsi="Arial" w:cs="Arial"/>
          <w:sz w:val="24"/>
          <w:szCs w:val="24"/>
        </w:rPr>
        <w:br/>
      </w:r>
      <w:r w:rsidRPr="00382797">
        <w:rPr>
          <w:rFonts w:ascii="Arial" w:hAnsi="Arial" w:cs="Arial"/>
          <w:sz w:val="24"/>
          <w:szCs w:val="24"/>
        </w:rPr>
        <w:t>.</w:t>
      </w:r>
    </w:p>
    <w:p w14:paraId="4A6837F3" w14:textId="77777777" w:rsidR="00382797" w:rsidRPr="002E1C30" w:rsidRDefault="00382797" w:rsidP="002E1C30">
      <w:pPr>
        <w:pStyle w:val="ListParagraph"/>
        <w:numPr>
          <w:ilvl w:val="0"/>
          <w:numId w:val="35"/>
        </w:numPr>
        <w:rPr>
          <w:rFonts w:ascii="Arial" w:hAnsi="Arial" w:cs="Arial"/>
          <w:sz w:val="24"/>
          <w:szCs w:val="24"/>
        </w:rPr>
      </w:pPr>
      <w:r w:rsidRPr="002E1C30">
        <w:rPr>
          <w:rFonts w:ascii="Arial" w:hAnsi="Arial" w:cs="Arial"/>
          <w:sz w:val="24"/>
          <w:szCs w:val="24"/>
        </w:rPr>
        <w:t>appropriate due diligence is carried out on service investment proposals in accordance with the risk appetite of the authority and the requirements of Statutory Codes and Regulations</w:t>
      </w:r>
      <w:r w:rsidR="000F696B">
        <w:rPr>
          <w:rFonts w:ascii="Arial" w:hAnsi="Arial" w:cs="Arial"/>
          <w:sz w:val="24"/>
          <w:szCs w:val="24"/>
        </w:rPr>
        <w:t>;</w:t>
      </w:r>
      <w:r w:rsidRPr="002E1C30">
        <w:rPr>
          <w:rFonts w:ascii="Arial" w:hAnsi="Arial" w:cs="Arial"/>
          <w:sz w:val="24"/>
          <w:szCs w:val="24"/>
        </w:rPr>
        <w:br/>
      </w:r>
    </w:p>
    <w:p w14:paraId="1B37532A" w14:textId="77777777" w:rsidR="00382797" w:rsidRPr="002E1C30" w:rsidRDefault="00382797" w:rsidP="002E1C30">
      <w:pPr>
        <w:pStyle w:val="ListParagraph"/>
        <w:numPr>
          <w:ilvl w:val="0"/>
          <w:numId w:val="35"/>
        </w:numPr>
        <w:rPr>
          <w:rFonts w:ascii="Arial" w:hAnsi="Arial" w:cs="Arial"/>
          <w:sz w:val="24"/>
          <w:szCs w:val="24"/>
        </w:rPr>
      </w:pPr>
      <w:r w:rsidRPr="002E1C30">
        <w:rPr>
          <w:rFonts w:ascii="Arial" w:hAnsi="Arial" w:cs="Arial"/>
          <w:sz w:val="24"/>
          <w:szCs w:val="24"/>
        </w:rPr>
        <w:t xml:space="preserve">the </w:t>
      </w:r>
      <w:r>
        <w:rPr>
          <w:rFonts w:ascii="Arial" w:hAnsi="Arial" w:cs="Arial"/>
          <w:sz w:val="24"/>
          <w:szCs w:val="24"/>
        </w:rPr>
        <w:t xml:space="preserve">total investment is </w:t>
      </w:r>
      <w:r w:rsidRPr="002E1C30">
        <w:rPr>
          <w:rFonts w:ascii="Arial" w:hAnsi="Arial" w:cs="Arial"/>
          <w:sz w:val="24"/>
          <w:szCs w:val="24"/>
        </w:rPr>
        <w:t>proportiona</w:t>
      </w:r>
      <w:r>
        <w:rPr>
          <w:rFonts w:ascii="Arial" w:hAnsi="Arial" w:cs="Arial"/>
          <w:sz w:val="24"/>
          <w:szCs w:val="24"/>
        </w:rPr>
        <w:t>te to the Council’s available financial resources</w:t>
      </w:r>
      <w:r w:rsidR="00881C63">
        <w:rPr>
          <w:rFonts w:ascii="Arial" w:hAnsi="Arial" w:cs="Arial"/>
          <w:sz w:val="24"/>
          <w:szCs w:val="24"/>
        </w:rPr>
        <w:t xml:space="preserve"> (see ‘</w:t>
      </w:r>
      <w:r w:rsidR="00651FB5">
        <w:rPr>
          <w:rFonts w:ascii="Arial" w:hAnsi="Arial" w:cs="Arial"/>
          <w:sz w:val="24"/>
          <w:szCs w:val="24"/>
        </w:rPr>
        <w:t>proportionality -</w:t>
      </w:r>
      <w:r w:rsidR="00881C63">
        <w:rPr>
          <w:rFonts w:ascii="Arial" w:hAnsi="Arial" w:cs="Arial"/>
          <w:sz w:val="24"/>
          <w:szCs w:val="24"/>
        </w:rPr>
        <w:t xml:space="preserve"> service investments’, below)</w:t>
      </w:r>
      <w:r w:rsidR="000F696B">
        <w:rPr>
          <w:rFonts w:ascii="Arial" w:hAnsi="Arial" w:cs="Arial"/>
          <w:sz w:val="24"/>
          <w:szCs w:val="24"/>
        </w:rPr>
        <w:t xml:space="preserve">; </w:t>
      </w:r>
      <w:proofErr w:type="gramStart"/>
      <w:r w:rsidR="000F696B">
        <w:rPr>
          <w:rFonts w:ascii="Arial" w:hAnsi="Arial" w:cs="Arial"/>
          <w:sz w:val="24"/>
          <w:szCs w:val="24"/>
        </w:rPr>
        <w:t>and,</w:t>
      </w:r>
      <w:proofErr w:type="gramEnd"/>
      <w:r w:rsidRPr="002E1C30">
        <w:rPr>
          <w:rFonts w:ascii="Arial" w:hAnsi="Arial" w:cs="Arial"/>
          <w:sz w:val="24"/>
          <w:szCs w:val="24"/>
        </w:rPr>
        <w:br/>
      </w:r>
    </w:p>
    <w:p w14:paraId="347E2104" w14:textId="77777777" w:rsidR="00382797" w:rsidRPr="002E1C30" w:rsidRDefault="00382797" w:rsidP="002E1C30">
      <w:pPr>
        <w:pStyle w:val="ListParagraph"/>
        <w:numPr>
          <w:ilvl w:val="0"/>
          <w:numId w:val="35"/>
        </w:numPr>
        <w:rPr>
          <w:rFonts w:ascii="Arial" w:hAnsi="Arial" w:cs="Arial"/>
          <w:sz w:val="24"/>
          <w:szCs w:val="24"/>
        </w:rPr>
      </w:pPr>
      <w:r w:rsidRPr="002E1C30">
        <w:rPr>
          <w:rFonts w:ascii="Arial" w:hAnsi="Arial" w:cs="Arial"/>
          <w:sz w:val="24"/>
          <w:szCs w:val="24"/>
        </w:rPr>
        <w:t xml:space="preserve">proportionate and adequate governance process is in place for the approval, monitoring, and ongoing risk management of </w:t>
      </w:r>
      <w:r>
        <w:rPr>
          <w:rFonts w:ascii="Arial" w:hAnsi="Arial" w:cs="Arial"/>
          <w:sz w:val="24"/>
          <w:szCs w:val="24"/>
        </w:rPr>
        <w:t xml:space="preserve">the </w:t>
      </w:r>
      <w:r w:rsidRPr="002E1C30">
        <w:rPr>
          <w:rFonts w:ascii="Arial" w:hAnsi="Arial" w:cs="Arial"/>
          <w:sz w:val="24"/>
          <w:szCs w:val="24"/>
        </w:rPr>
        <w:t>investment.</w:t>
      </w:r>
    </w:p>
    <w:p w14:paraId="65C5571D" w14:textId="77777777" w:rsidR="00036FBC" w:rsidRDefault="003A1E19" w:rsidP="005547B2">
      <w:pPr>
        <w:pStyle w:val="Heading2"/>
        <w:spacing w:line="480" w:lineRule="auto"/>
        <w:rPr>
          <w:rFonts w:ascii="Arial" w:hAnsi="Arial" w:cs="Arial"/>
          <w:color w:val="auto"/>
          <w:szCs w:val="24"/>
        </w:rPr>
      </w:pPr>
      <w:bookmarkStart w:id="64" w:name="_Toc115768692"/>
      <w:r w:rsidRPr="002E1C30">
        <w:rPr>
          <w:rFonts w:ascii="Arial" w:hAnsi="Arial" w:cs="Arial"/>
          <w:color w:val="auto"/>
          <w:szCs w:val="24"/>
        </w:rPr>
        <w:t>Approved Service Investment</w:t>
      </w:r>
      <w:r w:rsidR="00036FBC">
        <w:rPr>
          <w:rFonts w:ascii="Arial" w:hAnsi="Arial" w:cs="Arial"/>
          <w:color w:val="auto"/>
          <w:szCs w:val="24"/>
        </w:rPr>
        <w:t>s</w:t>
      </w:r>
      <w:bookmarkEnd w:id="64"/>
    </w:p>
    <w:p w14:paraId="5EABEA5F" w14:textId="77777777" w:rsidR="003A1E19" w:rsidRPr="002E1C30" w:rsidRDefault="003A1E19" w:rsidP="003A1E19">
      <w:pPr>
        <w:pStyle w:val="ListParagraph"/>
        <w:numPr>
          <w:ilvl w:val="0"/>
          <w:numId w:val="39"/>
        </w:numPr>
        <w:rPr>
          <w:rFonts w:ascii="Arial" w:hAnsi="Arial" w:cs="Arial"/>
          <w:sz w:val="24"/>
          <w:szCs w:val="24"/>
        </w:rPr>
      </w:pPr>
      <w:r w:rsidRPr="002E1C30">
        <w:rPr>
          <w:rFonts w:ascii="Arial" w:hAnsi="Arial" w:cs="Arial"/>
          <w:b/>
          <w:bCs/>
          <w:sz w:val="24"/>
          <w:szCs w:val="24"/>
        </w:rPr>
        <w:t>Company and Entity Loans</w:t>
      </w:r>
      <w:r w:rsidRPr="002E1C30">
        <w:rPr>
          <w:rFonts w:ascii="Arial" w:hAnsi="Arial" w:cs="Arial"/>
          <w:sz w:val="24"/>
          <w:szCs w:val="24"/>
        </w:rPr>
        <w:t xml:space="preserve">.   Loans to external companies, other entities (charities, voluntary associations etc) and non-incorporated entities will only be made for Capital purposes and not to support any revenue expenditure of the borrower.  No loan will be made to any entity or organisation who </w:t>
      </w:r>
      <w:r w:rsidR="00F16802">
        <w:rPr>
          <w:rFonts w:ascii="Arial" w:hAnsi="Arial" w:cs="Arial"/>
          <w:sz w:val="24"/>
          <w:szCs w:val="24"/>
        </w:rPr>
        <w:t>does not make a significant contribution to the local economy.</w:t>
      </w:r>
      <w:r w:rsidRPr="002E1C30">
        <w:rPr>
          <w:rFonts w:ascii="Arial" w:hAnsi="Arial" w:cs="Arial"/>
          <w:sz w:val="24"/>
          <w:szCs w:val="24"/>
        </w:rPr>
        <w:br/>
      </w:r>
    </w:p>
    <w:p w14:paraId="044B1B80" w14:textId="77777777" w:rsidR="003A1E19" w:rsidRPr="002E1C30" w:rsidRDefault="003A1E19" w:rsidP="003A1E19">
      <w:pPr>
        <w:pStyle w:val="ListParagraph"/>
        <w:numPr>
          <w:ilvl w:val="0"/>
          <w:numId w:val="39"/>
        </w:numPr>
        <w:rPr>
          <w:rFonts w:ascii="Arial" w:hAnsi="Arial" w:cs="Arial"/>
          <w:sz w:val="24"/>
          <w:szCs w:val="24"/>
        </w:rPr>
      </w:pPr>
      <w:r w:rsidRPr="002E1C30">
        <w:rPr>
          <w:rFonts w:ascii="Arial" w:hAnsi="Arial" w:cs="Arial"/>
          <w:b/>
          <w:bCs/>
          <w:sz w:val="24"/>
          <w:szCs w:val="24"/>
        </w:rPr>
        <w:t>Loans to local individuals</w:t>
      </w:r>
      <w:r w:rsidRPr="002E1C30">
        <w:rPr>
          <w:rFonts w:ascii="Arial" w:hAnsi="Arial" w:cs="Arial"/>
          <w:sz w:val="24"/>
          <w:szCs w:val="24"/>
        </w:rPr>
        <w:t xml:space="preserve">. These will only be made to current residents of the </w:t>
      </w:r>
      <w:r w:rsidR="005F655C" w:rsidRPr="002E1C30">
        <w:rPr>
          <w:rFonts w:ascii="Arial" w:hAnsi="Arial" w:cs="Arial"/>
          <w:sz w:val="24"/>
          <w:szCs w:val="24"/>
        </w:rPr>
        <w:t>district</w:t>
      </w:r>
      <w:r w:rsidRPr="002E1C30">
        <w:rPr>
          <w:rFonts w:ascii="Arial" w:hAnsi="Arial" w:cs="Arial"/>
          <w:sz w:val="24"/>
          <w:szCs w:val="24"/>
        </w:rPr>
        <w:t xml:space="preserve"> and must relate to the furtherance of Council priorities and objectives, or the proper discharge of the Council’s functions.  For soft loans secured by a charge against the property asset, the Council’s loan and the mainstream lender’s loan will not, as a combined sum, exceed 95% of the property value.</w:t>
      </w:r>
      <w:r w:rsidRPr="002E1C30">
        <w:rPr>
          <w:rFonts w:ascii="Arial" w:hAnsi="Arial" w:cs="Arial"/>
          <w:sz w:val="24"/>
          <w:szCs w:val="24"/>
        </w:rPr>
        <w:br/>
      </w:r>
    </w:p>
    <w:p w14:paraId="506AC0EF" w14:textId="77777777" w:rsidR="003A1E19" w:rsidRDefault="003A1E19" w:rsidP="003A1E19">
      <w:pPr>
        <w:pStyle w:val="ListParagraph"/>
        <w:numPr>
          <w:ilvl w:val="0"/>
          <w:numId w:val="39"/>
        </w:numPr>
        <w:rPr>
          <w:rFonts w:ascii="Arial" w:hAnsi="Arial" w:cs="Arial"/>
          <w:sz w:val="24"/>
          <w:szCs w:val="24"/>
        </w:rPr>
      </w:pPr>
      <w:r w:rsidRPr="002E1C30">
        <w:rPr>
          <w:rFonts w:ascii="Arial" w:hAnsi="Arial" w:cs="Arial"/>
          <w:b/>
          <w:bCs/>
          <w:sz w:val="24"/>
          <w:szCs w:val="24"/>
        </w:rPr>
        <w:t>Loans to employees</w:t>
      </w:r>
      <w:r w:rsidRPr="002E1C30">
        <w:rPr>
          <w:rFonts w:ascii="Arial" w:hAnsi="Arial" w:cs="Arial"/>
          <w:sz w:val="24"/>
          <w:szCs w:val="24"/>
        </w:rPr>
        <w:t xml:space="preserve">.  There will only be made to individuals who have a current employment contract with the District </w:t>
      </w:r>
      <w:r w:rsidR="000C44D1">
        <w:rPr>
          <w:rFonts w:ascii="Arial" w:hAnsi="Arial" w:cs="Arial"/>
          <w:sz w:val="24"/>
          <w:szCs w:val="24"/>
        </w:rPr>
        <w:t>C</w:t>
      </w:r>
      <w:r w:rsidRPr="002E1C30">
        <w:rPr>
          <w:rFonts w:ascii="Arial" w:hAnsi="Arial" w:cs="Arial"/>
          <w:sz w:val="24"/>
          <w:szCs w:val="24"/>
        </w:rPr>
        <w:t xml:space="preserve">ouncil and for purposes agreed </w:t>
      </w:r>
      <w:r w:rsidR="000C44D1">
        <w:rPr>
          <w:rFonts w:ascii="Arial" w:hAnsi="Arial" w:cs="Arial"/>
          <w:sz w:val="24"/>
          <w:szCs w:val="24"/>
        </w:rPr>
        <w:t>by management</w:t>
      </w:r>
      <w:r w:rsidRPr="002E1C30">
        <w:rPr>
          <w:rFonts w:ascii="Arial" w:hAnsi="Arial" w:cs="Arial"/>
          <w:sz w:val="24"/>
          <w:szCs w:val="24"/>
        </w:rPr>
        <w:t>.</w:t>
      </w:r>
      <w:r w:rsidR="00DA4358">
        <w:rPr>
          <w:rFonts w:ascii="Arial" w:hAnsi="Arial" w:cs="Arial"/>
          <w:sz w:val="24"/>
          <w:szCs w:val="24"/>
        </w:rPr>
        <w:br/>
      </w:r>
    </w:p>
    <w:p w14:paraId="2A787CF3" w14:textId="77777777" w:rsidR="00B25383" w:rsidRPr="002E1C30" w:rsidRDefault="00DA4358" w:rsidP="002E1C30">
      <w:pPr>
        <w:pStyle w:val="ListParagraph"/>
        <w:numPr>
          <w:ilvl w:val="0"/>
          <w:numId w:val="39"/>
        </w:numPr>
        <w:rPr>
          <w:rFonts w:ascii="Arial" w:hAnsi="Arial" w:cs="Arial"/>
          <w:sz w:val="24"/>
          <w:szCs w:val="24"/>
        </w:rPr>
      </w:pPr>
      <w:r w:rsidRPr="002E1C30">
        <w:rPr>
          <w:rFonts w:ascii="Arial" w:hAnsi="Arial" w:cs="Arial"/>
          <w:b/>
          <w:bCs/>
          <w:sz w:val="24"/>
          <w:szCs w:val="24"/>
        </w:rPr>
        <w:t>Loan Commitments and Guarantees</w:t>
      </w:r>
      <w:r w:rsidRPr="009468AE">
        <w:rPr>
          <w:rFonts w:ascii="Arial" w:hAnsi="Arial" w:cs="Arial"/>
          <w:sz w:val="24"/>
          <w:szCs w:val="24"/>
        </w:rPr>
        <w:t xml:space="preserve">: </w:t>
      </w:r>
      <w:r w:rsidRPr="00E738FA">
        <w:rPr>
          <w:rFonts w:ascii="Arial" w:hAnsi="Arial" w:cs="Arial"/>
          <w:sz w:val="24"/>
          <w:szCs w:val="24"/>
        </w:rPr>
        <w:t xml:space="preserve">The Authority </w:t>
      </w:r>
      <w:r w:rsidRPr="009262F5">
        <w:rPr>
          <w:rFonts w:ascii="Arial" w:hAnsi="Arial" w:cs="Arial"/>
          <w:sz w:val="24"/>
          <w:szCs w:val="24"/>
        </w:rPr>
        <w:t xml:space="preserve">may </w:t>
      </w:r>
      <w:r w:rsidRPr="002E1C30">
        <w:rPr>
          <w:rFonts w:ascii="Arial" w:hAnsi="Arial" w:cs="Arial"/>
          <w:sz w:val="24"/>
          <w:szCs w:val="24"/>
        </w:rPr>
        <w:t xml:space="preserve">provide </w:t>
      </w:r>
      <w:r w:rsidRPr="009468AE">
        <w:rPr>
          <w:rFonts w:ascii="Arial" w:hAnsi="Arial" w:cs="Arial"/>
          <w:sz w:val="24"/>
          <w:szCs w:val="24"/>
        </w:rPr>
        <w:t>guarantee</w:t>
      </w:r>
      <w:r w:rsidRPr="002E1C30">
        <w:rPr>
          <w:rFonts w:ascii="Arial" w:hAnsi="Arial" w:cs="Arial"/>
          <w:sz w:val="24"/>
          <w:szCs w:val="24"/>
        </w:rPr>
        <w:t xml:space="preserve">s in very limited </w:t>
      </w:r>
      <w:r w:rsidRPr="009468AE">
        <w:rPr>
          <w:rFonts w:ascii="Arial" w:hAnsi="Arial" w:cs="Arial"/>
          <w:sz w:val="24"/>
          <w:szCs w:val="24"/>
        </w:rPr>
        <w:t>cir</w:t>
      </w:r>
      <w:r w:rsidRPr="00E738FA">
        <w:rPr>
          <w:rFonts w:ascii="Arial" w:hAnsi="Arial" w:cs="Arial"/>
          <w:sz w:val="24"/>
          <w:szCs w:val="24"/>
        </w:rPr>
        <w:t>c</w:t>
      </w:r>
      <w:r w:rsidRPr="009262F5">
        <w:rPr>
          <w:rFonts w:ascii="Arial" w:hAnsi="Arial" w:cs="Arial"/>
          <w:sz w:val="24"/>
          <w:szCs w:val="24"/>
        </w:rPr>
        <w:t>umstances</w:t>
      </w:r>
      <w:r w:rsidRPr="002E1C30">
        <w:rPr>
          <w:rFonts w:ascii="Arial" w:hAnsi="Arial" w:cs="Arial"/>
          <w:sz w:val="24"/>
          <w:szCs w:val="24"/>
        </w:rPr>
        <w:t xml:space="preserve">. </w:t>
      </w:r>
      <w:r w:rsidR="000C44D1" w:rsidRPr="002E1C30">
        <w:rPr>
          <w:rFonts w:ascii="Arial" w:hAnsi="Arial" w:cs="Arial"/>
          <w:sz w:val="24"/>
          <w:szCs w:val="24"/>
        </w:rPr>
        <w:t>In the exceptional circumstance that the Council provides a financial guarantee, this will be in accordance with the Council’s constitution.</w:t>
      </w:r>
    </w:p>
    <w:p w14:paraId="6B5E2DDF" w14:textId="77777777" w:rsidR="00DA4358" w:rsidRPr="002E1C30" w:rsidRDefault="00DA4358" w:rsidP="002E1C30">
      <w:pPr>
        <w:rPr>
          <w:rFonts w:ascii="Arial" w:hAnsi="Arial" w:cs="Arial"/>
          <w:sz w:val="24"/>
          <w:szCs w:val="24"/>
        </w:rPr>
      </w:pPr>
      <w:r w:rsidRPr="002E1C30">
        <w:rPr>
          <w:rFonts w:ascii="Arial" w:hAnsi="Arial" w:cs="Arial"/>
          <w:sz w:val="24"/>
          <w:szCs w:val="24"/>
        </w:rPr>
        <w:t xml:space="preserve">The most likely </w:t>
      </w:r>
      <w:r w:rsidR="00B25383">
        <w:rPr>
          <w:rFonts w:ascii="Arial" w:hAnsi="Arial" w:cs="Arial"/>
          <w:sz w:val="24"/>
          <w:szCs w:val="24"/>
        </w:rPr>
        <w:t>g</w:t>
      </w:r>
      <w:r w:rsidR="000C44D1" w:rsidRPr="002E1C30">
        <w:rPr>
          <w:rFonts w:ascii="Arial" w:hAnsi="Arial" w:cs="Arial"/>
          <w:sz w:val="24"/>
          <w:szCs w:val="24"/>
        </w:rPr>
        <w:t xml:space="preserve">uarantee provided by the Council is </w:t>
      </w:r>
      <w:r w:rsidRPr="002E1C30">
        <w:rPr>
          <w:rFonts w:ascii="Arial" w:hAnsi="Arial" w:cs="Arial"/>
          <w:sz w:val="24"/>
          <w:szCs w:val="24"/>
        </w:rPr>
        <w:t>for</w:t>
      </w:r>
      <w:r w:rsidRPr="009468AE">
        <w:rPr>
          <w:rFonts w:ascii="Arial" w:hAnsi="Arial" w:cs="Arial"/>
          <w:sz w:val="24"/>
          <w:szCs w:val="24"/>
        </w:rPr>
        <w:t xml:space="preserve"> pension li</w:t>
      </w:r>
      <w:r w:rsidRPr="00E738FA">
        <w:rPr>
          <w:rFonts w:ascii="Arial" w:hAnsi="Arial" w:cs="Arial"/>
          <w:sz w:val="24"/>
          <w:szCs w:val="24"/>
        </w:rPr>
        <w:t xml:space="preserve">abilities associated </w:t>
      </w:r>
      <w:r w:rsidRPr="009262F5">
        <w:rPr>
          <w:rFonts w:ascii="Arial" w:hAnsi="Arial" w:cs="Arial"/>
          <w:sz w:val="24"/>
          <w:szCs w:val="24"/>
        </w:rPr>
        <w:t xml:space="preserve">with TUPE and other transfers of staff from public to private sector where staff have remained within the Local Government Pension Scheme (LGPS). </w:t>
      </w:r>
      <w:r w:rsidRPr="002E1C30">
        <w:rPr>
          <w:rFonts w:ascii="Arial" w:hAnsi="Arial" w:cs="Arial"/>
          <w:sz w:val="24"/>
          <w:szCs w:val="24"/>
        </w:rPr>
        <w:t xml:space="preserve">These guarantees are not </w:t>
      </w:r>
      <w:r w:rsidR="000C44D1" w:rsidRPr="002E1C30">
        <w:rPr>
          <w:rFonts w:ascii="Arial" w:hAnsi="Arial" w:cs="Arial"/>
          <w:sz w:val="24"/>
          <w:szCs w:val="24"/>
        </w:rPr>
        <w:t>financial guarantees linked to an underlying debt instrument and</w:t>
      </w:r>
      <w:r w:rsidR="00D82A68">
        <w:rPr>
          <w:rFonts w:ascii="Arial" w:hAnsi="Arial" w:cs="Arial"/>
          <w:sz w:val="24"/>
          <w:szCs w:val="24"/>
        </w:rPr>
        <w:t>,</w:t>
      </w:r>
      <w:r w:rsidR="000C44D1" w:rsidRPr="002E1C30">
        <w:rPr>
          <w:rFonts w:ascii="Arial" w:hAnsi="Arial" w:cs="Arial"/>
          <w:sz w:val="24"/>
          <w:szCs w:val="24"/>
        </w:rPr>
        <w:t xml:space="preserve"> </w:t>
      </w:r>
      <w:r w:rsidR="00D82A68">
        <w:rPr>
          <w:rFonts w:ascii="Arial" w:hAnsi="Arial" w:cs="Arial"/>
          <w:sz w:val="24"/>
          <w:szCs w:val="24"/>
        </w:rPr>
        <w:t>a</w:t>
      </w:r>
      <w:r w:rsidR="000C44D1" w:rsidRPr="002E1C30">
        <w:rPr>
          <w:rFonts w:ascii="Arial" w:hAnsi="Arial" w:cs="Arial"/>
          <w:sz w:val="24"/>
          <w:szCs w:val="24"/>
        </w:rPr>
        <w:t xml:space="preserve">s such, they are </w:t>
      </w:r>
      <w:r w:rsidR="00B25383">
        <w:rPr>
          <w:rFonts w:ascii="Arial" w:hAnsi="Arial" w:cs="Arial"/>
          <w:sz w:val="24"/>
          <w:szCs w:val="24"/>
        </w:rPr>
        <w:t xml:space="preserve">not </w:t>
      </w:r>
      <w:r w:rsidR="000C44D1" w:rsidRPr="002E1C30">
        <w:rPr>
          <w:rFonts w:ascii="Arial" w:hAnsi="Arial" w:cs="Arial"/>
          <w:sz w:val="24"/>
          <w:szCs w:val="24"/>
        </w:rPr>
        <w:t xml:space="preserve">deemed to be </w:t>
      </w:r>
      <w:r w:rsidR="00B25383">
        <w:rPr>
          <w:rFonts w:ascii="Arial" w:hAnsi="Arial" w:cs="Arial"/>
          <w:sz w:val="24"/>
          <w:szCs w:val="24"/>
        </w:rPr>
        <w:t>a s</w:t>
      </w:r>
      <w:r w:rsidR="000C44D1" w:rsidRPr="002E1C30">
        <w:rPr>
          <w:rFonts w:ascii="Arial" w:hAnsi="Arial" w:cs="Arial"/>
          <w:sz w:val="24"/>
          <w:szCs w:val="24"/>
        </w:rPr>
        <w:t>ervice investment.</w:t>
      </w:r>
    </w:p>
    <w:p w14:paraId="1712BBAD" w14:textId="77777777" w:rsidR="003A1E19" w:rsidRPr="002E1C30" w:rsidRDefault="003A1E19" w:rsidP="002E1C30">
      <w:pPr>
        <w:pStyle w:val="Heading2"/>
        <w:rPr>
          <w:rFonts w:ascii="Arial" w:hAnsi="Arial" w:cs="Arial"/>
          <w:color w:val="auto"/>
        </w:rPr>
      </w:pPr>
      <w:bookmarkStart w:id="65" w:name="_Toc115768693"/>
      <w:r w:rsidRPr="002E1C30">
        <w:rPr>
          <w:rFonts w:ascii="Arial" w:hAnsi="Arial" w:cs="Arial"/>
          <w:color w:val="auto"/>
        </w:rPr>
        <w:lastRenderedPageBreak/>
        <w:t>Risk Management</w:t>
      </w:r>
      <w:bookmarkEnd w:id="65"/>
    </w:p>
    <w:p w14:paraId="44B69278" w14:textId="77777777" w:rsidR="003A1E19" w:rsidRPr="003A1E19" w:rsidRDefault="003A1E19" w:rsidP="003A1E19">
      <w:pPr>
        <w:pStyle w:val="Heading2"/>
        <w:rPr>
          <w:rFonts w:ascii="Arial" w:eastAsia="Calibri" w:hAnsi="Arial" w:cs="Arial"/>
          <w:b w:val="0"/>
          <w:bCs w:val="0"/>
          <w:iCs w:val="0"/>
          <w:color w:val="auto"/>
          <w:szCs w:val="24"/>
        </w:rPr>
      </w:pPr>
      <w:bookmarkStart w:id="66" w:name="_Toc114728933"/>
      <w:bookmarkStart w:id="67" w:name="_Toc114729271"/>
      <w:bookmarkStart w:id="68" w:name="_Toc114729331"/>
      <w:bookmarkStart w:id="69" w:name="_Toc115768467"/>
      <w:bookmarkStart w:id="70" w:name="_Toc115768694"/>
      <w:r w:rsidRPr="003A1E19">
        <w:rPr>
          <w:rFonts w:ascii="Arial" w:eastAsia="Calibri" w:hAnsi="Arial" w:cs="Arial"/>
          <w:b w:val="0"/>
          <w:bCs w:val="0"/>
          <w:iCs w:val="0"/>
          <w:color w:val="auto"/>
          <w:szCs w:val="24"/>
        </w:rPr>
        <w:t>Any particular investment will carry its own risks, and therefore this strategy determines individual limits on service investment categories based on potential risk.</w:t>
      </w:r>
      <w:bookmarkEnd w:id="66"/>
      <w:bookmarkEnd w:id="67"/>
      <w:bookmarkEnd w:id="68"/>
      <w:bookmarkEnd w:id="69"/>
      <w:bookmarkEnd w:id="70"/>
      <w:r w:rsidRPr="003A1E19">
        <w:rPr>
          <w:rFonts w:ascii="Arial" w:eastAsia="Calibri" w:hAnsi="Arial" w:cs="Arial"/>
          <w:b w:val="0"/>
          <w:bCs w:val="0"/>
          <w:iCs w:val="0"/>
          <w:color w:val="auto"/>
          <w:szCs w:val="24"/>
        </w:rPr>
        <w:t xml:space="preserve">  </w:t>
      </w:r>
    </w:p>
    <w:p w14:paraId="2B1DEF65" w14:textId="77777777" w:rsidR="003A1E19" w:rsidRPr="007B4BAC" w:rsidRDefault="003A1E19" w:rsidP="003A1E19">
      <w:pPr>
        <w:rPr>
          <w:rFonts w:ascii="Arial" w:hAnsi="Arial" w:cs="Arial"/>
          <w:sz w:val="24"/>
          <w:szCs w:val="24"/>
        </w:rPr>
      </w:pPr>
      <w:r w:rsidRPr="002E1C30">
        <w:rPr>
          <w:rFonts w:ascii="Arial" w:hAnsi="Arial" w:cs="Arial"/>
          <w:sz w:val="24"/>
          <w:szCs w:val="24"/>
        </w:rPr>
        <w:t>For any investment, there is always the risk that the original investment may not be repaid.  In this respect service investments, by their nature, are not the same as Treasury investments, and therefore the objective isn’t to prioritise security above all other considerations or even to the same extent as for Treasury investments. A balanced view will be taken that considered the overall public good against the risk of loss of public funds.</w:t>
      </w:r>
    </w:p>
    <w:p w14:paraId="3675BB73" w14:textId="77777777" w:rsidR="000E6916" w:rsidRPr="002E1C30" w:rsidRDefault="00881C63" w:rsidP="002E1C30">
      <w:pPr>
        <w:pStyle w:val="Heading2"/>
        <w:rPr>
          <w:rFonts w:ascii="Arial" w:hAnsi="Arial" w:cs="Arial"/>
          <w:color w:val="auto"/>
        </w:rPr>
      </w:pPr>
      <w:bookmarkStart w:id="71" w:name="_Toc115768695"/>
      <w:r>
        <w:rPr>
          <w:rFonts w:ascii="Arial" w:hAnsi="Arial" w:cs="Arial"/>
          <w:color w:val="auto"/>
        </w:rPr>
        <w:t>Proportionality – Service investments</w:t>
      </w:r>
      <w:bookmarkEnd w:id="71"/>
      <w:r>
        <w:rPr>
          <w:rFonts w:ascii="Arial" w:hAnsi="Arial" w:cs="Arial"/>
          <w:color w:val="auto"/>
        </w:rPr>
        <w:br/>
      </w:r>
    </w:p>
    <w:p w14:paraId="5DA508BC" w14:textId="77777777" w:rsidR="003A1E19" w:rsidRPr="003A1E19" w:rsidRDefault="003A1E19" w:rsidP="003A1E19">
      <w:pPr>
        <w:rPr>
          <w:rFonts w:ascii="Arial" w:hAnsi="Arial" w:cs="Arial"/>
          <w:sz w:val="24"/>
          <w:szCs w:val="24"/>
        </w:rPr>
      </w:pPr>
      <w:r w:rsidRPr="003A1E19">
        <w:rPr>
          <w:rFonts w:ascii="Arial" w:hAnsi="Arial" w:cs="Arial"/>
          <w:sz w:val="24"/>
          <w:szCs w:val="24"/>
        </w:rPr>
        <w:t>This investment strategy determines limits for each category of approved service investment and sets an overall ceiling for service investment a</w:t>
      </w:r>
      <w:r w:rsidR="00881C63">
        <w:rPr>
          <w:rFonts w:ascii="Arial" w:hAnsi="Arial" w:cs="Arial"/>
          <w:sz w:val="24"/>
          <w:szCs w:val="24"/>
        </w:rPr>
        <w:t>s</w:t>
      </w:r>
      <w:r w:rsidRPr="003A1E19">
        <w:rPr>
          <w:rFonts w:ascii="Arial" w:hAnsi="Arial" w:cs="Arial"/>
          <w:sz w:val="24"/>
          <w:szCs w:val="24"/>
        </w:rPr>
        <w:t xml:space="preserve"> required by the Regulations.</w:t>
      </w:r>
    </w:p>
    <w:p w14:paraId="1F4D0BF6" w14:textId="77777777" w:rsidR="003A1E19" w:rsidRDefault="003A1E19" w:rsidP="003A1E19">
      <w:pPr>
        <w:rPr>
          <w:rFonts w:ascii="Arial" w:hAnsi="Arial" w:cs="Arial"/>
          <w:sz w:val="24"/>
          <w:szCs w:val="24"/>
        </w:rPr>
      </w:pPr>
      <w:r w:rsidRPr="003A1E19">
        <w:rPr>
          <w:rFonts w:ascii="Arial" w:hAnsi="Arial" w:cs="Arial"/>
          <w:sz w:val="24"/>
          <w:szCs w:val="24"/>
        </w:rPr>
        <w:t>The Council’s Financial strategy sets out the extent to which the overall Council budget is supported by income from non-Treasury investments.  Apart from this, the Council’s revenue budget is also exposed to the risk of impairment losses from service investments.</w:t>
      </w:r>
    </w:p>
    <w:p w14:paraId="69D092EA" w14:textId="77777777" w:rsidR="000E6916" w:rsidRDefault="000E6916" w:rsidP="000E6916">
      <w:pPr>
        <w:rPr>
          <w:rFonts w:ascii="Arial" w:hAnsi="Arial" w:cs="Arial"/>
          <w:sz w:val="24"/>
          <w:szCs w:val="24"/>
        </w:rPr>
      </w:pPr>
      <w:r w:rsidRPr="00005F23">
        <w:rPr>
          <w:rFonts w:ascii="Arial" w:hAnsi="Arial" w:cs="Arial"/>
          <w:sz w:val="24"/>
          <w:szCs w:val="24"/>
        </w:rPr>
        <w:t>The Council only includes debt taken on formal loan terms in the figures below. It excludes monies owed as part of its normal operational activities, for example trade debtors, monies owed for other operational purposes, such as Council Tax and Business rates arrears, and monies owned under leasing agreements.</w:t>
      </w:r>
    </w:p>
    <w:p w14:paraId="01A0FDD8" w14:textId="77777777" w:rsidR="003A1E19" w:rsidRPr="00220D51" w:rsidRDefault="003A1E19" w:rsidP="000E6916">
      <w:pPr>
        <w:rPr>
          <w:rFonts w:ascii="Arial" w:hAnsi="Arial" w:cs="Arial"/>
          <w:sz w:val="24"/>
          <w:szCs w:val="24"/>
        </w:rPr>
      </w:pPr>
      <w:r w:rsidRPr="003A1E19">
        <w:rPr>
          <w:rFonts w:ascii="Arial" w:hAnsi="Arial" w:cs="Arial"/>
          <w:sz w:val="24"/>
          <w:szCs w:val="24"/>
        </w:rPr>
        <w:t xml:space="preserve">The percentage limits set below are based on a proportion of the Council’s </w:t>
      </w:r>
      <w:r w:rsidR="00E72134">
        <w:rPr>
          <w:rFonts w:ascii="Arial" w:hAnsi="Arial" w:cs="Arial"/>
          <w:sz w:val="24"/>
          <w:szCs w:val="24"/>
        </w:rPr>
        <w:t>average net revenue stream, estimated at £1</w:t>
      </w:r>
      <w:r w:rsidR="006D37D9">
        <w:rPr>
          <w:rFonts w:ascii="Arial" w:hAnsi="Arial" w:cs="Arial"/>
          <w:sz w:val="24"/>
          <w:szCs w:val="24"/>
        </w:rPr>
        <w:t>7</w:t>
      </w:r>
      <w:r w:rsidR="00E72134">
        <w:rPr>
          <w:rFonts w:ascii="Arial" w:hAnsi="Arial" w:cs="Arial"/>
          <w:sz w:val="24"/>
          <w:szCs w:val="24"/>
        </w:rPr>
        <w:t>.</w:t>
      </w:r>
      <w:r w:rsidR="006D37D9">
        <w:rPr>
          <w:rFonts w:ascii="Arial" w:hAnsi="Arial" w:cs="Arial"/>
          <w:sz w:val="24"/>
          <w:szCs w:val="24"/>
        </w:rPr>
        <w:t>05</w:t>
      </w:r>
      <w:r w:rsidR="00E72134">
        <w:rPr>
          <w:rFonts w:ascii="Arial" w:hAnsi="Arial" w:cs="Arial"/>
          <w:sz w:val="24"/>
          <w:szCs w:val="24"/>
        </w:rPr>
        <w:t xml:space="preserve">m over the next five years </w:t>
      </w:r>
      <w:r w:rsidR="00225E5C">
        <w:rPr>
          <w:rFonts w:ascii="Arial" w:hAnsi="Arial" w:cs="Arial"/>
          <w:sz w:val="24"/>
          <w:szCs w:val="24"/>
        </w:rPr>
        <w:t xml:space="preserve">in </w:t>
      </w:r>
      <w:r w:rsidR="00E72134">
        <w:rPr>
          <w:rFonts w:ascii="Arial" w:hAnsi="Arial" w:cs="Arial"/>
          <w:sz w:val="24"/>
          <w:szCs w:val="24"/>
        </w:rPr>
        <w:t>the Council’s financial strategy.</w:t>
      </w:r>
    </w:p>
    <w:p w14:paraId="1836EAFD" w14:textId="77777777" w:rsidR="000E6916" w:rsidRDefault="000E6916" w:rsidP="000E6916">
      <w:pPr>
        <w:contextualSpacing/>
        <w:rPr>
          <w:rFonts w:ascii="Arial" w:hAnsi="Arial" w:cs="Arial"/>
          <w:i/>
          <w:sz w:val="24"/>
          <w:szCs w:val="24"/>
        </w:rPr>
      </w:pPr>
      <w:r w:rsidRPr="00005F23">
        <w:rPr>
          <w:rFonts w:ascii="Arial" w:hAnsi="Arial" w:cs="Arial"/>
          <w:i/>
          <w:sz w:val="24"/>
          <w:szCs w:val="24"/>
        </w:rPr>
        <w:t xml:space="preserve">Table </w:t>
      </w:r>
      <w:r w:rsidR="00DA56C3">
        <w:rPr>
          <w:rFonts w:ascii="Arial" w:hAnsi="Arial" w:cs="Arial"/>
          <w:i/>
          <w:sz w:val="24"/>
          <w:szCs w:val="24"/>
        </w:rPr>
        <w:t>1</w:t>
      </w:r>
      <w:r w:rsidR="00246545">
        <w:rPr>
          <w:rFonts w:ascii="Arial" w:hAnsi="Arial" w:cs="Arial"/>
          <w:i/>
          <w:sz w:val="24"/>
          <w:szCs w:val="24"/>
        </w:rPr>
        <w:t>4</w:t>
      </w:r>
      <w:r w:rsidRPr="00005F23">
        <w:rPr>
          <w:rFonts w:ascii="Arial" w:hAnsi="Arial" w:cs="Arial"/>
          <w:i/>
          <w:sz w:val="24"/>
          <w:szCs w:val="24"/>
        </w:rPr>
        <w:t>: Loans for service purposes</w:t>
      </w:r>
      <w:r w:rsidR="00881C63">
        <w:rPr>
          <w:rFonts w:ascii="Arial" w:hAnsi="Arial" w:cs="Arial"/>
          <w:i/>
          <w:sz w:val="24"/>
          <w:szCs w:val="24"/>
        </w:rPr>
        <w:t xml:space="preserve"> – annual limits to 202</w:t>
      </w:r>
      <w:r w:rsidR="001C2F0C">
        <w:rPr>
          <w:rFonts w:ascii="Arial" w:hAnsi="Arial" w:cs="Arial"/>
          <w:i/>
          <w:sz w:val="24"/>
          <w:szCs w:val="24"/>
        </w:rPr>
        <w:t>7</w:t>
      </w:r>
      <w:r w:rsidR="006D37D9">
        <w:rPr>
          <w:rFonts w:ascii="Arial" w:hAnsi="Arial" w:cs="Arial"/>
          <w:i/>
          <w:sz w:val="24"/>
          <w:szCs w:val="24"/>
        </w:rPr>
        <w:t>-</w:t>
      </w:r>
      <w:r w:rsidR="00881C63">
        <w:rPr>
          <w:rFonts w:ascii="Arial" w:hAnsi="Arial" w:cs="Arial"/>
          <w:i/>
          <w:sz w:val="24"/>
          <w:szCs w:val="24"/>
        </w:rPr>
        <w:t>2</w:t>
      </w:r>
      <w:r w:rsidR="001C2F0C">
        <w:rPr>
          <w:rFonts w:ascii="Arial" w:hAnsi="Arial" w:cs="Arial"/>
          <w:i/>
          <w:sz w:val="24"/>
          <w:szCs w:val="24"/>
        </w:rPr>
        <w:t>8</w:t>
      </w:r>
    </w:p>
    <w:p w14:paraId="0DE1A323" w14:textId="77777777" w:rsidR="00B33950" w:rsidRDefault="00B33950" w:rsidP="000E6916">
      <w:pPr>
        <w:contextualSpacing/>
        <w:rPr>
          <w:rFonts w:ascii="Arial" w:hAnsi="Arial" w:cs="Arial"/>
          <w:i/>
          <w:sz w:val="24"/>
          <w:szCs w:val="24"/>
        </w:rPr>
      </w:pPr>
    </w:p>
    <w:tbl>
      <w:tblPr>
        <w:tblW w:w="96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1732"/>
        <w:gridCol w:w="1418"/>
        <w:gridCol w:w="1134"/>
        <w:gridCol w:w="1559"/>
      </w:tblGrid>
      <w:tr w:rsidR="00881C63" w:rsidRPr="002E1C30" w14:paraId="43729D80" w14:textId="77777777" w:rsidTr="00B33950">
        <w:tc>
          <w:tcPr>
            <w:tcW w:w="3813" w:type="dxa"/>
            <w:shd w:val="clear" w:color="auto" w:fill="D9D9D9"/>
          </w:tcPr>
          <w:p w14:paraId="243C2FAD" w14:textId="77777777" w:rsidR="00881C63" w:rsidRPr="009468AE" w:rsidRDefault="00881C63" w:rsidP="006D37D9">
            <w:pPr>
              <w:spacing w:after="0"/>
              <w:rPr>
                <w:rFonts w:ascii="Arial" w:eastAsia="Times New Roman" w:hAnsi="Arial" w:cs="Arial"/>
              </w:rPr>
            </w:pPr>
            <w:r w:rsidRPr="007B4BAC">
              <w:rPr>
                <w:rFonts w:ascii="Arial" w:eastAsia="Times New Roman" w:hAnsi="Arial" w:cs="Arial"/>
              </w:rPr>
              <w:t>Cate</w:t>
            </w:r>
            <w:r w:rsidRPr="004F7B57">
              <w:rPr>
                <w:rFonts w:ascii="Arial" w:eastAsia="Times New Roman" w:hAnsi="Arial" w:cs="Arial"/>
              </w:rPr>
              <w:t>gory</w:t>
            </w:r>
          </w:p>
        </w:tc>
        <w:tc>
          <w:tcPr>
            <w:tcW w:w="1732" w:type="dxa"/>
            <w:shd w:val="clear" w:color="auto" w:fill="D9D9D9"/>
          </w:tcPr>
          <w:p w14:paraId="33FDB349" w14:textId="77777777" w:rsidR="00881C63" w:rsidRPr="009262F5" w:rsidRDefault="00881C63" w:rsidP="006D37D9">
            <w:pPr>
              <w:spacing w:after="0" w:line="240" w:lineRule="auto"/>
              <w:jc w:val="center"/>
              <w:rPr>
                <w:rFonts w:ascii="Arial" w:eastAsia="Times New Roman" w:hAnsi="Arial" w:cs="Arial"/>
              </w:rPr>
            </w:pPr>
            <w:r w:rsidRPr="00E738FA">
              <w:rPr>
                <w:rFonts w:ascii="Arial" w:eastAsia="Times New Roman" w:hAnsi="Arial" w:cs="Arial"/>
              </w:rPr>
              <w:t>202</w:t>
            </w:r>
            <w:r w:rsidR="00F60D80">
              <w:rPr>
                <w:rFonts w:ascii="Arial" w:eastAsia="Times New Roman" w:hAnsi="Arial" w:cs="Arial"/>
              </w:rPr>
              <w:t>2</w:t>
            </w:r>
            <w:r w:rsidR="006D37D9">
              <w:rPr>
                <w:rFonts w:ascii="Arial" w:eastAsia="Times New Roman" w:hAnsi="Arial" w:cs="Arial"/>
              </w:rPr>
              <w:t>-</w:t>
            </w:r>
            <w:r w:rsidRPr="00E738FA">
              <w:rPr>
                <w:rFonts w:ascii="Arial" w:eastAsia="Times New Roman" w:hAnsi="Arial" w:cs="Arial"/>
              </w:rPr>
              <w:t>2</w:t>
            </w:r>
            <w:r w:rsidR="00F60D80">
              <w:rPr>
                <w:rFonts w:ascii="Arial" w:eastAsia="Times New Roman" w:hAnsi="Arial" w:cs="Arial"/>
              </w:rPr>
              <w:t>3</w:t>
            </w:r>
          </w:p>
          <w:p w14:paraId="26D3D8E4" w14:textId="77777777" w:rsidR="00881C63" w:rsidRDefault="00881C63" w:rsidP="006D37D9">
            <w:pPr>
              <w:spacing w:after="0" w:line="240" w:lineRule="auto"/>
              <w:jc w:val="center"/>
              <w:rPr>
                <w:rFonts w:ascii="Arial" w:eastAsia="Times New Roman" w:hAnsi="Arial" w:cs="Arial"/>
              </w:rPr>
            </w:pPr>
            <w:r w:rsidRPr="009262F5">
              <w:rPr>
                <w:rFonts w:ascii="Arial" w:eastAsia="Times New Roman" w:hAnsi="Arial" w:cs="Arial"/>
              </w:rPr>
              <w:t>Actual</w:t>
            </w:r>
          </w:p>
          <w:p w14:paraId="28346B19" w14:textId="77777777" w:rsidR="006D37D9" w:rsidRDefault="00881C63" w:rsidP="006D37D9">
            <w:pPr>
              <w:spacing w:after="0" w:line="240" w:lineRule="auto"/>
              <w:jc w:val="center"/>
              <w:rPr>
                <w:rFonts w:ascii="Arial" w:eastAsia="Times New Roman" w:hAnsi="Arial" w:cs="Arial"/>
              </w:rPr>
            </w:pPr>
            <w:r>
              <w:rPr>
                <w:rFonts w:ascii="Arial" w:eastAsia="Times New Roman" w:hAnsi="Arial" w:cs="Arial"/>
              </w:rPr>
              <w:t xml:space="preserve">Income </w:t>
            </w:r>
          </w:p>
          <w:p w14:paraId="7DFD6C1E" w14:textId="77777777" w:rsidR="00881C63" w:rsidRPr="009468AE" w:rsidRDefault="00881C63" w:rsidP="006D37D9">
            <w:pPr>
              <w:spacing w:after="0" w:line="240" w:lineRule="auto"/>
              <w:jc w:val="center"/>
              <w:rPr>
                <w:rFonts w:ascii="Arial" w:eastAsia="Times New Roman" w:hAnsi="Arial" w:cs="Arial"/>
              </w:rPr>
            </w:pPr>
            <w:r>
              <w:rPr>
                <w:rFonts w:ascii="Arial" w:eastAsia="Times New Roman" w:hAnsi="Arial" w:cs="Arial"/>
              </w:rPr>
              <w:t>%</w:t>
            </w:r>
          </w:p>
        </w:tc>
        <w:tc>
          <w:tcPr>
            <w:tcW w:w="1418" w:type="dxa"/>
            <w:shd w:val="clear" w:color="auto" w:fill="D9D9D9"/>
          </w:tcPr>
          <w:p w14:paraId="7E29AEC6" w14:textId="77777777" w:rsidR="00881C63" w:rsidRDefault="00881C63" w:rsidP="006D37D9">
            <w:pPr>
              <w:spacing w:after="0" w:line="240" w:lineRule="auto"/>
              <w:jc w:val="center"/>
              <w:rPr>
                <w:rFonts w:ascii="Arial" w:eastAsia="Times New Roman" w:hAnsi="Arial" w:cs="Arial"/>
              </w:rPr>
            </w:pPr>
            <w:r>
              <w:rPr>
                <w:rFonts w:ascii="Arial" w:eastAsia="Times New Roman" w:hAnsi="Arial" w:cs="Arial"/>
              </w:rPr>
              <w:t>20</w:t>
            </w:r>
            <w:r w:rsidRPr="009468AE">
              <w:rPr>
                <w:rFonts w:ascii="Arial" w:eastAsia="Times New Roman" w:hAnsi="Arial" w:cs="Arial"/>
              </w:rPr>
              <w:t>2</w:t>
            </w:r>
            <w:r w:rsidR="00F60D80">
              <w:rPr>
                <w:rFonts w:ascii="Arial" w:eastAsia="Times New Roman" w:hAnsi="Arial" w:cs="Arial"/>
              </w:rPr>
              <w:t>3</w:t>
            </w:r>
            <w:r w:rsidR="006D37D9">
              <w:rPr>
                <w:rFonts w:ascii="Arial" w:eastAsia="Times New Roman" w:hAnsi="Arial" w:cs="Arial"/>
              </w:rPr>
              <w:t>-</w:t>
            </w:r>
            <w:r>
              <w:rPr>
                <w:rFonts w:ascii="Arial" w:eastAsia="Times New Roman" w:hAnsi="Arial" w:cs="Arial"/>
              </w:rPr>
              <w:t>2</w:t>
            </w:r>
            <w:r w:rsidR="00F60D80">
              <w:rPr>
                <w:rFonts w:ascii="Arial" w:eastAsia="Times New Roman" w:hAnsi="Arial" w:cs="Arial"/>
              </w:rPr>
              <w:t>4</w:t>
            </w:r>
            <w:r>
              <w:rPr>
                <w:rFonts w:ascii="Arial" w:eastAsia="Times New Roman" w:hAnsi="Arial" w:cs="Arial"/>
              </w:rPr>
              <w:t xml:space="preserve"> to</w:t>
            </w:r>
          </w:p>
          <w:p w14:paraId="2022CB82" w14:textId="77777777" w:rsidR="00881C63" w:rsidRPr="00E738FA" w:rsidRDefault="00881C63" w:rsidP="006D37D9">
            <w:pPr>
              <w:spacing w:after="0" w:line="240" w:lineRule="auto"/>
              <w:jc w:val="center"/>
              <w:rPr>
                <w:rFonts w:ascii="Arial" w:eastAsia="Times New Roman" w:hAnsi="Arial" w:cs="Arial"/>
              </w:rPr>
            </w:pPr>
            <w:r>
              <w:rPr>
                <w:rFonts w:ascii="Arial" w:eastAsia="Times New Roman" w:hAnsi="Arial" w:cs="Arial"/>
              </w:rPr>
              <w:t>2</w:t>
            </w:r>
            <w:r w:rsidRPr="009468AE">
              <w:rPr>
                <w:rFonts w:ascii="Arial" w:eastAsia="Times New Roman" w:hAnsi="Arial" w:cs="Arial"/>
              </w:rPr>
              <w:t>02</w:t>
            </w:r>
            <w:r w:rsidR="00F60D80">
              <w:rPr>
                <w:rFonts w:ascii="Arial" w:eastAsia="Times New Roman" w:hAnsi="Arial" w:cs="Arial"/>
              </w:rPr>
              <w:t>7</w:t>
            </w:r>
            <w:r w:rsidR="006D37D9">
              <w:rPr>
                <w:rFonts w:ascii="Arial" w:eastAsia="Times New Roman" w:hAnsi="Arial" w:cs="Arial"/>
              </w:rPr>
              <w:t>-</w:t>
            </w:r>
            <w:r w:rsidRPr="009468AE">
              <w:rPr>
                <w:rFonts w:ascii="Arial" w:eastAsia="Times New Roman" w:hAnsi="Arial" w:cs="Arial"/>
              </w:rPr>
              <w:t>2</w:t>
            </w:r>
            <w:r w:rsidR="00F60D80">
              <w:rPr>
                <w:rFonts w:ascii="Arial" w:eastAsia="Times New Roman" w:hAnsi="Arial" w:cs="Arial"/>
              </w:rPr>
              <w:t>8</w:t>
            </w:r>
          </w:p>
          <w:p w14:paraId="71E5EB27" w14:textId="77777777" w:rsidR="006D37D9" w:rsidRDefault="00881C63" w:rsidP="006D37D9">
            <w:pPr>
              <w:spacing w:after="0" w:line="240" w:lineRule="auto"/>
              <w:jc w:val="center"/>
              <w:rPr>
                <w:rFonts w:ascii="Arial" w:eastAsia="Times New Roman" w:hAnsi="Arial" w:cs="Arial"/>
              </w:rPr>
            </w:pPr>
            <w:r>
              <w:rPr>
                <w:rFonts w:ascii="Arial" w:eastAsia="Times New Roman" w:hAnsi="Arial" w:cs="Arial"/>
              </w:rPr>
              <w:t xml:space="preserve">Income </w:t>
            </w:r>
          </w:p>
          <w:p w14:paraId="1C7B2876" w14:textId="77777777" w:rsidR="00881C63" w:rsidRPr="009468AE" w:rsidRDefault="00881C63" w:rsidP="006D37D9">
            <w:pPr>
              <w:spacing w:after="0" w:line="240" w:lineRule="auto"/>
              <w:jc w:val="center"/>
              <w:rPr>
                <w:rFonts w:ascii="Arial" w:eastAsia="Times New Roman" w:hAnsi="Arial" w:cs="Arial"/>
              </w:rPr>
            </w:pPr>
            <w:r>
              <w:rPr>
                <w:rFonts w:ascii="Arial" w:eastAsia="Times New Roman" w:hAnsi="Arial" w:cs="Arial"/>
              </w:rPr>
              <w:t>%</w:t>
            </w:r>
          </w:p>
        </w:tc>
        <w:tc>
          <w:tcPr>
            <w:tcW w:w="1134" w:type="dxa"/>
            <w:shd w:val="clear" w:color="auto" w:fill="D9D9D9"/>
          </w:tcPr>
          <w:p w14:paraId="3BCC02EC" w14:textId="77777777" w:rsidR="00881C63" w:rsidRPr="009262F5" w:rsidRDefault="00881C63" w:rsidP="006D37D9">
            <w:pPr>
              <w:spacing w:after="0" w:line="240" w:lineRule="auto"/>
              <w:jc w:val="center"/>
              <w:rPr>
                <w:rFonts w:ascii="Arial" w:eastAsia="Times New Roman" w:hAnsi="Arial" w:cs="Arial"/>
              </w:rPr>
            </w:pPr>
            <w:r w:rsidRPr="00E738FA">
              <w:rPr>
                <w:rFonts w:ascii="Arial" w:eastAsia="Times New Roman" w:hAnsi="Arial" w:cs="Arial"/>
              </w:rPr>
              <w:t>Income</w:t>
            </w:r>
          </w:p>
          <w:p w14:paraId="1C98D939" w14:textId="77777777" w:rsidR="00881C63" w:rsidRDefault="00881C63" w:rsidP="006D37D9">
            <w:pPr>
              <w:spacing w:after="0" w:line="240" w:lineRule="auto"/>
              <w:jc w:val="center"/>
              <w:rPr>
                <w:rFonts w:ascii="Arial" w:eastAsia="Times New Roman" w:hAnsi="Arial" w:cs="Arial"/>
              </w:rPr>
            </w:pPr>
            <w:r w:rsidRPr="009262F5">
              <w:rPr>
                <w:rFonts w:ascii="Arial" w:eastAsia="Times New Roman" w:hAnsi="Arial" w:cs="Arial"/>
              </w:rPr>
              <w:t>Limit</w:t>
            </w:r>
            <w:r>
              <w:rPr>
                <w:rFonts w:ascii="Arial" w:eastAsia="Times New Roman" w:hAnsi="Arial" w:cs="Arial"/>
              </w:rPr>
              <w:t xml:space="preserve"> p.a</w:t>
            </w:r>
          </w:p>
          <w:p w14:paraId="2ED2301B" w14:textId="77777777" w:rsidR="006D37D9" w:rsidRDefault="006D37D9" w:rsidP="006D37D9">
            <w:pPr>
              <w:spacing w:after="0" w:line="240" w:lineRule="auto"/>
              <w:jc w:val="center"/>
              <w:rPr>
                <w:rFonts w:ascii="Arial" w:eastAsia="Times New Roman" w:hAnsi="Arial" w:cs="Arial"/>
              </w:rPr>
            </w:pPr>
          </w:p>
          <w:p w14:paraId="508C51D3" w14:textId="77777777" w:rsidR="00881C63" w:rsidRPr="00E738FA" w:rsidRDefault="006D37D9" w:rsidP="006D37D9">
            <w:pPr>
              <w:spacing w:after="0" w:line="240" w:lineRule="auto"/>
              <w:jc w:val="center"/>
              <w:rPr>
                <w:rFonts w:ascii="Arial" w:eastAsia="Times New Roman" w:hAnsi="Arial" w:cs="Arial"/>
              </w:rPr>
            </w:pPr>
            <w:r>
              <w:rPr>
                <w:rFonts w:ascii="Arial" w:eastAsia="Times New Roman" w:hAnsi="Arial" w:cs="Arial"/>
              </w:rPr>
              <w:t>£’000</w:t>
            </w:r>
          </w:p>
        </w:tc>
        <w:tc>
          <w:tcPr>
            <w:tcW w:w="1559" w:type="dxa"/>
            <w:shd w:val="clear" w:color="auto" w:fill="D9D9D9"/>
          </w:tcPr>
          <w:p w14:paraId="322BF993" w14:textId="77777777" w:rsidR="00881C63" w:rsidRDefault="00881C63" w:rsidP="006D37D9">
            <w:pPr>
              <w:spacing w:after="0" w:line="240" w:lineRule="auto"/>
              <w:jc w:val="center"/>
              <w:rPr>
                <w:rFonts w:ascii="Arial" w:eastAsia="Times New Roman" w:hAnsi="Arial" w:cs="Arial"/>
              </w:rPr>
            </w:pPr>
            <w:r w:rsidRPr="009262F5">
              <w:rPr>
                <w:rFonts w:ascii="Arial" w:eastAsia="Times New Roman" w:hAnsi="Arial" w:cs="Arial"/>
              </w:rPr>
              <w:t>Upper</w:t>
            </w:r>
            <w:r w:rsidRPr="004E134D">
              <w:rPr>
                <w:rFonts w:ascii="Arial" w:eastAsia="Times New Roman" w:hAnsi="Arial" w:cs="Arial"/>
              </w:rPr>
              <w:t xml:space="preserve"> l</w:t>
            </w:r>
            <w:r w:rsidRPr="007B4BAC">
              <w:rPr>
                <w:rFonts w:ascii="Arial" w:eastAsia="Times New Roman" w:hAnsi="Arial" w:cs="Arial"/>
              </w:rPr>
              <w:t xml:space="preserve">ending </w:t>
            </w:r>
            <w:r w:rsidRPr="004F7B57">
              <w:rPr>
                <w:rFonts w:ascii="Arial" w:eastAsia="Times New Roman" w:hAnsi="Arial" w:cs="Arial"/>
              </w:rPr>
              <w:t>Limit</w:t>
            </w:r>
            <w:r w:rsidRPr="009468AE">
              <w:rPr>
                <w:rFonts w:ascii="Arial" w:eastAsia="Times New Roman" w:hAnsi="Arial" w:cs="Arial"/>
              </w:rPr>
              <w:t xml:space="preserve"> TOTAL</w:t>
            </w:r>
          </w:p>
          <w:p w14:paraId="5C1241C9" w14:textId="77777777" w:rsidR="00881C63" w:rsidRPr="009262F5" w:rsidRDefault="006D37D9" w:rsidP="006D37D9">
            <w:pPr>
              <w:spacing w:after="0" w:line="240" w:lineRule="auto"/>
              <w:jc w:val="center"/>
              <w:rPr>
                <w:rFonts w:ascii="Arial" w:eastAsia="Times New Roman" w:hAnsi="Arial" w:cs="Arial"/>
              </w:rPr>
            </w:pPr>
            <w:r>
              <w:rPr>
                <w:rFonts w:ascii="Arial" w:eastAsia="Times New Roman" w:hAnsi="Arial" w:cs="Arial"/>
              </w:rPr>
              <w:t>£’000</w:t>
            </w:r>
          </w:p>
        </w:tc>
      </w:tr>
      <w:tr w:rsidR="00881C63" w:rsidRPr="002E1C30" w14:paraId="6DE3CE43" w14:textId="77777777" w:rsidTr="00B33950">
        <w:tc>
          <w:tcPr>
            <w:tcW w:w="3813" w:type="dxa"/>
            <w:shd w:val="clear" w:color="auto" w:fill="auto"/>
          </w:tcPr>
          <w:p w14:paraId="1F111D68" w14:textId="77777777" w:rsidR="00881C63" w:rsidRPr="002E1C30" w:rsidRDefault="00881C63" w:rsidP="004E134D">
            <w:pPr>
              <w:rPr>
                <w:rFonts w:ascii="Arial" w:eastAsia="Times New Roman" w:hAnsi="Arial" w:cs="Arial"/>
              </w:rPr>
            </w:pPr>
            <w:r w:rsidRPr="002E1C30">
              <w:rPr>
                <w:rFonts w:ascii="Arial" w:eastAsia="Times New Roman" w:hAnsi="Arial" w:cs="Arial"/>
              </w:rPr>
              <w:t>Company and Entity Loans</w:t>
            </w:r>
          </w:p>
        </w:tc>
        <w:tc>
          <w:tcPr>
            <w:tcW w:w="1732" w:type="dxa"/>
            <w:shd w:val="clear" w:color="auto" w:fill="auto"/>
          </w:tcPr>
          <w:p w14:paraId="6EA1D374" w14:textId="77777777" w:rsidR="00881C63" w:rsidRPr="002E1C30" w:rsidRDefault="00881C63" w:rsidP="009F2F78">
            <w:pPr>
              <w:jc w:val="center"/>
              <w:rPr>
                <w:rFonts w:ascii="Arial" w:eastAsia="Times New Roman" w:hAnsi="Arial" w:cs="Arial"/>
              </w:rPr>
            </w:pPr>
            <w:r w:rsidRPr="002E1C30">
              <w:rPr>
                <w:rFonts w:ascii="Arial" w:eastAsia="Times New Roman" w:hAnsi="Arial" w:cs="Arial"/>
              </w:rPr>
              <w:t>NIL</w:t>
            </w:r>
          </w:p>
        </w:tc>
        <w:tc>
          <w:tcPr>
            <w:tcW w:w="1418" w:type="dxa"/>
            <w:shd w:val="clear" w:color="auto" w:fill="auto"/>
          </w:tcPr>
          <w:p w14:paraId="5139FD94" w14:textId="77777777" w:rsidR="00881C63" w:rsidRPr="002E1C30" w:rsidRDefault="00225E5C" w:rsidP="009F2F78">
            <w:pPr>
              <w:jc w:val="center"/>
              <w:rPr>
                <w:rFonts w:ascii="Arial" w:eastAsia="Times New Roman" w:hAnsi="Arial" w:cs="Arial"/>
              </w:rPr>
            </w:pPr>
            <w:r>
              <w:rPr>
                <w:rFonts w:ascii="Arial" w:eastAsia="Times New Roman" w:hAnsi="Arial" w:cs="Arial"/>
              </w:rPr>
              <w:t>&lt;1</w:t>
            </w:r>
          </w:p>
        </w:tc>
        <w:tc>
          <w:tcPr>
            <w:tcW w:w="1134" w:type="dxa"/>
            <w:shd w:val="clear" w:color="auto" w:fill="D9D9D9"/>
          </w:tcPr>
          <w:p w14:paraId="38C1FB18" w14:textId="77777777" w:rsidR="00881C63" w:rsidRPr="00E738FA" w:rsidRDefault="00225E5C" w:rsidP="00B33950">
            <w:pPr>
              <w:jc w:val="center"/>
              <w:rPr>
                <w:rFonts w:ascii="Arial" w:eastAsia="Times New Roman" w:hAnsi="Arial" w:cs="Arial"/>
              </w:rPr>
            </w:pPr>
            <w:r>
              <w:rPr>
                <w:rFonts w:ascii="Arial" w:eastAsia="Times New Roman" w:hAnsi="Arial" w:cs="Arial"/>
              </w:rPr>
              <w:t>145</w:t>
            </w:r>
          </w:p>
        </w:tc>
        <w:tc>
          <w:tcPr>
            <w:tcW w:w="1559" w:type="dxa"/>
            <w:shd w:val="clear" w:color="auto" w:fill="D9D9D9"/>
          </w:tcPr>
          <w:p w14:paraId="04CAA9E1" w14:textId="77777777" w:rsidR="00881C63" w:rsidRPr="00E738FA" w:rsidRDefault="00225E5C" w:rsidP="00B33950">
            <w:pPr>
              <w:jc w:val="center"/>
              <w:rPr>
                <w:rFonts w:ascii="Arial" w:eastAsia="Times New Roman" w:hAnsi="Arial" w:cs="Arial"/>
              </w:rPr>
            </w:pPr>
            <w:r>
              <w:rPr>
                <w:rFonts w:ascii="Arial" w:eastAsia="Times New Roman" w:hAnsi="Arial" w:cs="Arial"/>
              </w:rPr>
              <w:t>1,000</w:t>
            </w:r>
          </w:p>
        </w:tc>
      </w:tr>
      <w:tr w:rsidR="00881C63" w:rsidRPr="002E1C30" w14:paraId="00B6899B" w14:textId="77777777" w:rsidTr="00B33950">
        <w:tc>
          <w:tcPr>
            <w:tcW w:w="3813" w:type="dxa"/>
            <w:shd w:val="clear" w:color="auto" w:fill="auto"/>
          </w:tcPr>
          <w:p w14:paraId="576CE304" w14:textId="77777777" w:rsidR="00881C63" w:rsidRPr="002E1C30" w:rsidRDefault="00881C63" w:rsidP="004E134D">
            <w:pPr>
              <w:rPr>
                <w:rFonts w:ascii="Arial" w:eastAsia="Times New Roman" w:hAnsi="Arial" w:cs="Arial"/>
              </w:rPr>
            </w:pPr>
            <w:r w:rsidRPr="002E1C30">
              <w:rPr>
                <w:rFonts w:ascii="Arial" w:eastAsia="Times New Roman" w:hAnsi="Arial" w:cs="Arial"/>
              </w:rPr>
              <w:t>Loans to local individuals</w:t>
            </w:r>
          </w:p>
        </w:tc>
        <w:tc>
          <w:tcPr>
            <w:tcW w:w="1732" w:type="dxa"/>
            <w:shd w:val="clear" w:color="auto" w:fill="auto"/>
          </w:tcPr>
          <w:p w14:paraId="074DE1E7" w14:textId="77777777" w:rsidR="00881C63" w:rsidRPr="002E1C30" w:rsidRDefault="00225E5C" w:rsidP="009F2F78">
            <w:pPr>
              <w:jc w:val="center"/>
              <w:rPr>
                <w:rFonts w:ascii="Arial" w:eastAsia="Times New Roman" w:hAnsi="Arial" w:cs="Arial"/>
              </w:rPr>
            </w:pPr>
            <w:r>
              <w:rPr>
                <w:rFonts w:ascii="Arial" w:eastAsia="Times New Roman" w:hAnsi="Arial" w:cs="Arial"/>
              </w:rPr>
              <w:t>&lt;1</w:t>
            </w:r>
          </w:p>
        </w:tc>
        <w:tc>
          <w:tcPr>
            <w:tcW w:w="1418" w:type="dxa"/>
            <w:shd w:val="clear" w:color="auto" w:fill="auto"/>
          </w:tcPr>
          <w:p w14:paraId="51E01F67" w14:textId="77777777" w:rsidR="00881C63" w:rsidRPr="002E1C30" w:rsidRDefault="00225E5C" w:rsidP="009F2F78">
            <w:pPr>
              <w:jc w:val="center"/>
              <w:rPr>
                <w:rFonts w:ascii="Arial" w:eastAsia="Times New Roman" w:hAnsi="Arial" w:cs="Arial"/>
              </w:rPr>
            </w:pPr>
            <w:r>
              <w:rPr>
                <w:rFonts w:ascii="Arial" w:eastAsia="Times New Roman" w:hAnsi="Arial" w:cs="Arial"/>
              </w:rPr>
              <w:t>&lt;1</w:t>
            </w:r>
          </w:p>
        </w:tc>
        <w:tc>
          <w:tcPr>
            <w:tcW w:w="1134" w:type="dxa"/>
            <w:shd w:val="clear" w:color="auto" w:fill="D9D9D9"/>
          </w:tcPr>
          <w:p w14:paraId="1E218D02" w14:textId="77777777" w:rsidR="00881C63" w:rsidRPr="009468AE" w:rsidRDefault="00225E5C" w:rsidP="00B33950">
            <w:pPr>
              <w:jc w:val="center"/>
              <w:rPr>
                <w:rFonts w:ascii="Arial" w:eastAsia="Times New Roman" w:hAnsi="Arial" w:cs="Arial"/>
              </w:rPr>
            </w:pPr>
            <w:r>
              <w:rPr>
                <w:rFonts w:ascii="Arial" w:eastAsia="Times New Roman" w:hAnsi="Arial" w:cs="Arial"/>
              </w:rPr>
              <w:t>145</w:t>
            </w:r>
          </w:p>
        </w:tc>
        <w:tc>
          <w:tcPr>
            <w:tcW w:w="1559" w:type="dxa"/>
            <w:shd w:val="clear" w:color="auto" w:fill="D9D9D9"/>
          </w:tcPr>
          <w:p w14:paraId="082B505C" w14:textId="77777777" w:rsidR="00881C63" w:rsidRPr="009262F5" w:rsidRDefault="00225E5C" w:rsidP="00B33950">
            <w:pPr>
              <w:jc w:val="center"/>
              <w:rPr>
                <w:rFonts w:ascii="Arial" w:eastAsia="Times New Roman" w:hAnsi="Arial" w:cs="Arial"/>
              </w:rPr>
            </w:pPr>
            <w:r>
              <w:rPr>
                <w:rFonts w:ascii="Arial" w:eastAsia="Times New Roman" w:hAnsi="Arial" w:cs="Arial"/>
              </w:rPr>
              <w:t>1,000</w:t>
            </w:r>
          </w:p>
        </w:tc>
      </w:tr>
      <w:tr w:rsidR="00881C63" w:rsidRPr="002E1C30" w14:paraId="63433356" w14:textId="77777777" w:rsidTr="00B33950">
        <w:tc>
          <w:tcPr>
            <w:tcW w:w="3813" w:type="dxa"/>
            <w:shd w:val="clear" w:color="auto" w:fill="auto"/>
          </w:tcPr>
          <w:p w14:paraId="75C9AAEA" w14:textId="77777777" w:rsidR="00881C63" w:rsidRPr="002E1C30" w:rsidRDefault="00881C63" w:rsidP="004E134D">
            <w:pPr>
              <w:rPr>
                <w:rFonts w:ascii="Arial" w:eastAsia="Times New Roman" w:hAnsi="Arial" w:cs="Arial"/>
              </w:rPr>
            </w:pPr>
            <w:r w:rsidRPr="002E1C30">
              <w:rPr>
                <w:rFonts w:ascii="Arial" w:eastAsia="Times New Roman" w:hAnsi="Arial" w:cs="Arial"/>
              </w:rPr>
              <w:t>Loans to employees</w:t>
            </w:r>
          </w:p>
        </w:tc>
        <w:tc>
          <w:tcPr>
            <w:tcW w:w="1732" w:type="dxa"/>
            <w:shd w:val="clear" w:color="auto" w:fill="auto"/>
          </w:tcPr>
          <w:p w14:paraId="54AEC845" w14:textId="77777777" w:rsidR="00881C63" w:rsidRPr="002E1C30" w:rsidRDefault="00225E5C" w:rsidP="009F2F78">
            <w:pPr>
              <w:jc w:val="center"/>
              <w:rPr>
                <w:rFonts w:ascii="Arial" w:eastAsia="Times New Roman" w:hAnsi="Arial" w:cs="Arial"/>
              </w:rPr>
            </w:pPr>
            <w:r>
              <w:rPr>
                <w:rFonts w:ascii="Arial" w:eastAsia="Times New Roman" w:hAnsi="Arial" w:cs="Arial"/>
              </w:rPr>
              <w:t>&lt;1</w:t>
            </w:r>
          </w:p>
        </w:tc>
        <w:tc>
          <w:tcPr>
            <w:tcW w:w="1418" w:type="dxa"/>
            <w:shd w:val="clear" w:color="auto" w:fill="auto"/>
          </w:tcPr>
          <w:p w14:paraId="5045EEC9" w14:textId="77777777" w:rsidR="00881C63" w:rsidRPr="002E1C30" w:rsidRDefault="00225E5C" w:rsidP="009F2F78">
            <w:pPr>
              <w:jc w:val="center"/>
              <w:rPr>
                <w:rFonts w:ascii="Arial" w:eastAsia="Times New Roman" w:hAnsi="Arial" w:cs="Arial"/>
              </w:rPr>
            </w:pPr>
            <w:r>
              <w:rPr>
                <w:rFonts w:ascii="Arial" w:eastAsia="Times New Roman" w:hAnsi="Arial" w:cs="Arial"/>
              </w:rPr>
              <w:t>&lt;1</w:t>
            </w:r>
          </w:p>
        </w:tc>
        <w:tc>
          <w:tcPr>
            <w:tcW w:w="1134" w:type="dxa"/>
            <w:shd w:val="clear" w:color="auto" w:fill="D9D9D9"/>
          </w:tcPr>
          <w:p w14:paraId="25E66831" w14:textId="77777777" w:rsidR="00881C63" w:rsidRPr="009468AE" w:rsidRDefault="00225E5C" w:rsidP="00B33950">
            <w:pPr>
              <w:jc w:val="center"/>
              <w:rPr>
                <w:rFonts w:ascii="Arial" w:eastAsia="Times New Roman" w:hAnsi="Arial" w:cs="Arial"/>
              </w:rPr>
            </w:pPr>
            <w:r>
              <w:rPr>
                <w:rFonts w:ascii="Arial" w:eastAsia="Times New Roman" w:hAnsi="Arial" w:cs="Arial"/>
              </w:rPr>
              <w:t>75</w:t>
            </w:r>
          </w:p>
        </w:tc>
        <w:tc>
          <w:tcPr>
            <w:tcW w:w="1559" w:type="dxa"/>
            <w:shd w:val="clear" w:color="auto" w:fill="D9D9D9"/>
          </w:tcPr>
          <w:p w14:paraId="1337EB1B" w14:textId="77777777" w:rsidR="00881C63" w:rsidRPr="009262F5" w:rsidRDefault="00225E5C" w:rsidP="00B33950">
            <w:pPr>
              <w:jc w:val="center"/>
              <w:rPr>
                <w:rFonts w:ascii="Arial" w:eastAsia="Times New Roman" w:hAnsi="Arial" w:cs="Arial"/>
              </w:rPr>
            </w:pPr>
            <w:r>
              <w:rPr>
                <w:rFonts w:ascii="Arial" w:eastAsia="Times New Roman" w:hAnsi="Arial" w:cs="Arial"/>
              </w:rPr>
              <w:t>500</w:t>
            </w:r>
          </w:p>
        </w:tc>
      </w:tr>
      <w:tr w:rsidR="00DA4358" w:rsidRPr="002E1C30" w14:paraId="67B038C6" w14:textId="77777777" w:rsidTr="00B33950">
        <w:tc>
          <w:tcPr>
            <w:tcW w:w="3813" w:type="dxa"/>
            <w:shd w:val="clear" w:color="auto" w:fill="auto"/>
          </w:tcPr>
          <w:p w14:paraId="241563DA" w14:textId="77777777" w:rsidR="00DA4358" w:rsidRPr="009468AE" w:rsidRDefault="00DA4358" w:rsidP="004E134D">
            <w:pPr>
              <w:rPr>
                <w:rFonts w:ascii="Arial" w:eastAsia="Times New Roman" w:hAnsi="Arial" w:cs="Arial"/>
              </w:rPr>
            </w:pPr>
            <w:r>
              <w:rPr>
                <w:rFonts w:ascii="Arial" w:eastAsia="Times New Roman" w:hAnsi="Arial" w:cs="Arial"/>
              </w:rPr>
              <w:t>Financial Guarantees</w:t>
            </w:r>
          </w:p>
        </w:tc>
        <w:tc>
          <w:tcPr>
            <w:tcW w:w="1732" w:type="dxa"/>
            <w:shd w:val="clear" w:color="auto" w:fill="auto"/>
          </w:tcPr>
          <w:p w14:paraId="63A47477" w14:textId="77777777" w:rsidR="00DA4358" w:rsidRPr="009468AE" w:rsidRDefault="00DA4358" w:rsidP="009F2F78">
            <w:pPr>
              <w:jc w:val="center"/>
              <w:rPr>
                <w:rFonts w:ascii="Arial" w:eastAsia="Times New Roman" w:hAnsi="Arial" w:cs="Arial"/>
              </w:rPr>
            </w:pPr>
            <w:r>
              <w:rPr>
                <w:rFonts w:ascii="Arial" w:eastAsia="Times New Roman" w:hAnsi="Arial" w:cs="Arial"/>
              </w:rPr>
              <w:t>N/A</w:t>
            </w:r>
          </w:p>
        </w:tc>
        <w:tc>
          <w:tcPr>
            <w:tcW w:w="1418" w:type="dxa"/>
            <w:shd w:val="clear" w:color="auto" w:fill="auto"/>
          </w:tcPr>
          <w:p w14:paraId="3714E401" w14:textId="77777777" w:rsidR="00DA4358" w:rsidRPr="009468AE" w:rsidRDefault="00DA4358" w:rsidP="009F2F78">
            <w:pPr>
              <w:jc w:val="center"/>
              <w:rPr>
                <w:rFonts w:ascii="Arial" w:eastAsia="Times New Roman" w:hAnsi="Arial" w:cs="Arial"/>
              </w:rPr>
            </w:pPr>
            <w:r>
              <w:rPr>
                <w:rFonts w:ascii="Arial" w:eastAsia="Times New Roman" w:hAnsi="Arial" w:cs="Arial"/>
              </w:rPr>
              <w:t>N/A</w:t>
            </w:r>
          </w:p>
        </w:tc>
        <w:tc>
          <w:tcPr>
            <w:tcW w:w="1134" w:type="dxa"/>
            <w:shd w:val="clear" w:color="auto" w:fill="D9D9D9"/>
          </w:tcPr>
          <w:p w14:paraId="377BCDFC" w14:textId="77777777" w:rsidR="00DA4358" w:rsidRDefault="00DA4358" w:rsidP="00B33950">
            <w:pPr>
              <w:jc w:val="center"/>
              <w:rPr>
                <w:rFonts w:ascii="Arial" w:eastAsia="Times New Roman" w:hAnsi="Arial" w:cs="Arial"/>
              </w:rPr>
            </w:pPr>
            <w:r>
              <w:rPr>
                <w:rFonts w:ascii="Arial" w:eastAsia="Times New Roman" w:hAnsi="Arial" w:cs="Arial"/>
              </w:rPr>
              <w:t>N/A</w:t>
            </w:r>
          </w:p>
        </w:tc>
        <w:tc>
          <w:tcPr>
            <w:tcW w:w="1559" w:type="dxa"/>
            <w:shd w:val="clear" w:color="auto" w:fill="D9D9D9"/>
          </w:tcPr>
          <w:p w14:paraId="239A0B4C" w14:textId="77777777" w:rsidR="00DA4358" w:rsidRPr="002E1C30" w:rsidRDefault="00DA4358" w:rsidP="00B33950">
            <w:pPr>
              <w:jc w:val="center"/>
              <w:rPr>
                <w:rFonts w:ascii="Arial" w:eastAsia="Times New Roman" w:hAnsi="Arial" w:cs="Arial"/>
                <w:sz w:val="16"/>
                <w:szCs w:val="16"/>
              </w:rPr>
            </w:pPr>
            <w:r>
              <w:rPr>
                <w:rFonts w:ascii="Arial" w:eastAsia="Times New Roman" w:hAnsi="Arial" w:cs="Arial"/>
                <w:sz w:val="16"/>
                <w:szCs w:val="16"/>
              </w:rPr>
              <w:t>See below</w:t>
            </w:r>
          </w:p>
        </w:tc>
      </w:tr>
      <w:tr w:rsidR="00881C63" w:rsidRPr="002E1C30" w14:paraId="79EC97FB" w14:textId="77777777" w:rsidTr="00B33950">
        <w:tc>
          <w:tcPr>
            <w:tcW w:w="3813" w:type="dxa"/>
            <w:shd w:val="clear" w:color="auto" w:fill="auto"/>
          </w:tcPr>
          <w:p w14:paraId="6E7EFFC9" w14:textId="77777777" w:rsidR="00881C63" w:rsidRPr="002E1C30" w:rsidRDefault="00881C63" w:rsidP="004E134D">
            <w:pPr>
              <w:rPr>
                <w:rFonts w:ascii="Arial" w:eastAsia="Times New Roman" w:hAnsi="Arial" w:cs="Arial"/>
              </w:rPr>
            </w:pPr>
            <w:r w:rsidRPr="002E1C30">
              <w:rPr>
                <w:rFonts w:ascii="Arial" w:eastAsia="Times New Roman" w:hAnsi="Arial" w:cs="Arial"/>
              </w:rPr>
              <w:t>Overall</w:t>
            </w:r>
          </w:p>
        </w:tc>
        <w:tc>
          <w:tcPr>
            <w:tcW w:w="1732" w:type="dxa"/>
            <w:shd w:val="clear" w:color="auto" w:fill="auto"/>
          </w:tcPr>
          <w:p w14:paraId="1927A587" w14:textId="77777777" w:rsidR="00881C63" w:rsidRPr="002E1C30" w:rsidRDefault="00881C63" w:rsidP="009F2F78">
            <w:pPr>
              <w:jc w:val="center"/>
              <w:rPr>
                <w:rFonts w:ascii="Arial" w:eastAsia="Times New Roman" w:hAnsi="Arial" w:cs="Arial"/>
              </w:rPr>
            </w:pPr>
          </w:p>
        </w:tc>
        <w:tc>
          <w:tcPr>
            <w:tcW w:w="1418" w:type="dxa"/>
            <w:shd w:val="clear" w:color="auto" w:fill="auto"/>
          </w:tcPr>
          <w:p w14:paraId="2105E7EA" w14:textId="77777777" w:rsidR="00881C63" w:rsidRPr="002E1C30" w:rsidRDefault="00881C63" w:rsidP="009F2F78">
            <w:pPr>
              <w:jc w:val="center"/>
              <w:rPr>
                <w:rFonts w:ascii="Arial" w:eastAsia="Times New Roman" w:hAnsi="Arial" w:cs="Arial"/>
              </w:rPr>
            </w:pPr>
          </w:p>
        </w:tc>
        <w:tc>
          <w:tcPr>
            <w:tcW w:w="1134" w:type="dxa"/>
            <w:shd w:val="clear" w:color="auto" w:fill="D9D9D9"/>
          </w:tcPr>
          <w:p w14:paraId="7A9EB480" w14:textId="77777777" w:rsidR="00881C63" w:rsidRPr="002E1C30" w:rsidRDefault="00225E5C" w:rsidP="00B33950">
            <w:pPr>
              <w:jc w:val="center"/>
              <w:rPr>
                <w:rFonts w:ascii="Arial" w:eastAsia="Times New Roman" w:hAnsi="Arial" w:cs="Arial"/>
              </w:rPr>
            </w:pPr>
            <w:r>
              <w:rPr>
                <w:rFonts w:ascii="Arial" w:eastAsia="Times New Roman" w:hAnsi="Arial" w:cs="Arial"/>
              </w:rPr>
              <w:t>365</w:t>
            </w:r>
          </w:p>
        </w:tc>
        <w:tc>
          <w:tcPr>
            <w:tcW w:w="1559" w:type="dxa"/>
            <w:shd w:val="clear" w:color="auto" w:fill="D9D9D9"/>
          </w:tcPr>
          <w:p w14:paraId="357F910E" w14:textId="77777777" w:rsidR="00881C63" w:rsidRPr="00E738FA" w:rsidRDefault="00225E5C" w:rsidP="00B33950">
            <w:pPr>
              <w:jc w:val="center"/>
              <w:rPr>
                <w:rFonts w:ascii="Arial" w:eastAsia="Times New Roman" w:hAnsi="Arial" w:cs="Arial"/>
              </w:rPr>
            </w:pPr>
            <w:r>
              <w:rPr>
                <w:rFonts w:ascii="Arial" w:eastAsia="Times New Roman" w:hAnsi="Arial" w:cs="Arial"/>
              </w:rPr>
              <w:t>2,500</w:t>
            </w:r>
          </w:p>
        </w:tc>
      </w:tr>
    </w:tbl>
    <w:p w14:paraId="048F667B" w14:textId="77777777" w:rsidR="00DA4358" w:rsidRDefault="00DA4358" w:rsidP="000E6916">
      <w:pPr>
        <w:contextualSpacing/>
        <w:rPr>
          <w:rFonts w:ascii="Arial" w:hAnsi="Arial" w:cs="Arial"/>
          <w:i/>
          <w:sz w:val="24"/>
          <w:szCs w:val="24"/>
        </w:rPr>
      </w:pPr>
    </w:p>
    <w:p w14:paraId="0C5B3E8D" w14:textId="77777777" w:rsidR="003A1E19" w:rsidRPr="002E1C30" w:rsidRDefault="00DA4358" w:rsidP="000E6916">
      <w:pPr>
        <w:contextualSpacing/>
        <w:rPr>
          <w:rFonts w:ascii="Arial" w:hAnsi="Arial" w:cs="Arial"/>
          <w:iCs/>
          <w:sz w:val="24"/>
          <w:szCs w:val="24"/>
        </w:rPr>
      </w:pPr>
      <w:r>
        <w:rPr>
          <w:rFonts w:ascii="Arial" w:hAnsi="Arial" w:cs="Arial"/>
          <w:iCs/>
          <w:sz w:val="24"/>
          <w:szCs w:val="24"/>
        </w:rPr>
        <w:t>I</w:t>
      </w:r>
      <w:r w:rsidRPr="002E1C30">
        <w:rPr>
          <w:rFonts w:ascii="Arial" w:hAnsi="Arial" w:cs="Arial"/>
          <w:iCs/>
          <w:sz w:val="24"/>
          <w:szCs w:val="24"/>
        </w:rPr>
        <w:t xml:space="preserve">t is not possible to determine a limit for </w:t>
      </w:r>
      <w:r>
        <w:rPr>
          <w:rFonts w:ascii="Arial" w:hAnsi="Arial" w:cs="Arial"/>
          <w:iCs/>
          <w:sz w:val="24"/>
          <w:szCs w:val="24"/>
        </w:rPr>
        <w:t xml:space="preserve">any financial guarantees in </w:t>
      </w:r>
      <w:r w:rsidRPr="002E1C30">
        <w:rPr>
          <w:rFonts w:ascii="Arial" w:hAnsi="Arial" w:cs="Arial"/>
          <w:iCs/>
          <w:sz w:val="24"/>
          <w:szCs w:val="24"/>
        </w:rPr>
        <w:t xml:space="preserve">advance however no guarantee will be entered into without explicit consideration of the requirements of the </w:t>
      </w:r>
      <w:r w:rsidRPr="002E1C30">
        <w:rPr>
          <w:rFonts w:ascii="Arial" w:hAnsi="Arial" w:cs="Arial"/>
          <w:iCs/>
          <w:sz w:val="24"/>
          <w:szCs w:val="24"/>
        </w:rPr>
        <w:lastRenderedPageBreak/>
        <w:t>Prudential Code and approval by both the s.151 officer and that required by the Council’s constitution.</w:t>
      </w:r>
    </w:p>
    <w:p w14:paraId="237B4DBD" w14:textId="77777777" w:rsidR="000E6916" w:rsidRPr="003745C6" w:rsidRDefault="00147015" w:rsidP="002E1C30">
      <w:pPr>
        <w:pStyle w:val="Heading1"/>
        <w:rPr>
          <w:color w:val="auto"/>
        </w:rPr>
      </w:pPr>
      <w:bookmarkStart w:id="72" w:name="_Toc115768696"/>
      <w:r w:rsidRPr="002E1C30">
        <w:rPr>
          <w:rFonts w:ascii="Arial" w:hAnsi="Arial" w:cs="Arial"/>
          <w:color w:val="auto"/>
        </w:rPr>
        <w:t xml:space="preserve">Part 4 - </w:t>
      </w:r>
      <w:bookmarkStart w:id="73" w:name="_Toc87966941"/>
      <w:r w:rsidR="000C44D1" w:rsidRPr="00E738FA">
        <w:rPr>
          <w:rFonts w:ascii="Arial" w:hAnsi="Arial" w:cs="Arial"/>
          <w:color w:val="auto"/>
        </w:rPr>
        <w:t>N</w:t>
      </w:r>
      <w:r w:rsidR="000E6916" w:rsidRPr="009262F5">
        <w:rPr>
          <w:rFonts w:ascii="Arial" w:hAnsi="Arial" w:cs="Arial"/>
          <w:color w:val="auto"/>
        </w:rPr>
        <w:t>on-Specified Investments</w:t>
      </w:r>
      <w:bookmarkEnd w:id="72"/>
      <w:bookmarkEnd w:id="73"/>
      <w:r w:rsidR="000E6916" w:rsidRPr="009262F5">
        <w:rPr>
          <w:rFonts w:ascii="Arial" w:hAnsi="Arial" w:cs="Arial"/>
          <w:color w:val="auto"/>
        </w:rPr>
        <w:t xml:space="preserve"> </w:t>
      </w:r>
      <w:r w:rsidR="000E6916" w:rsidRPr="009262F5">
        <w:rPr>
          <w:rFonts w:ascii="Arial" w:hAnsi="Arial" w:cs="Arial"/>
          <w:color w:val="auto"/>
        </w:rPr>
        <w:br/>
      </w:r>
    </w:p>
    <w:p w14:paraId="4C620D12" w14:textId="77777777" w:rsidR="000E6916" w:rsidRPr="00E1158E" w:rsidRDefault="000E6916" w:rsidP="000E6916">
      <w:pPr>
        <w:rPr>
          <w:rFonts w:ascii="Arial" w:hAnsi="Arial" w:cs="Arial"/>
          <w:sz w:val="24"/>
          <w:szCs w:val="24"/>
        </w:rPr>
      </w:pPr>
      <w:r w:rsidRPr="00E1158E">
        <w:rPr>
          <w:rFonts w:ascii="Arial" w:hAnsi="Arial" w:cs="Arial"/>
          <w:sz w:val="24"/>
          <w:szCs w:val="24"/>
        </w:rPr>
        <w:t>The Guidance defines non-specified investments as any non-treasury investment that does not meet the following criteria:</w:t>
      </w:r>
    </w:p>
    <w:p w14:paraId="689C5B54" w14:textId="77777777" w:rsidR="000E6916" w:rsidRPr="00E1158E" w:rsidRDefault="000E6916" w:rsidP="000E6916">
      <w:pPr>
        <w:numPr>
          <w:ilvl w:val="0"/>
          <w:numId w:val="2"/>
        </w:numPr>
        <w:spacing w:after="0"/>
        <w:ind w:left="720"/>
        <w:rPr>
          <w:rFonts w:ascii="Arial" w:hAnsi="Arial" w:cs="Arial"/>
          <w:sz w:val="24"/>
          <w:szCs w:val="24"/>
        </w:rPr>
      </w:pPr>
      <w:r w:rsidRPr="00E1158E">
        <w:rPr>
          <w:rFonts w:ascii="Arial" w:hAnsi="Arial" w:cs="Arial"/>
          <w:sz w:val="24"/>
          <w:szCs w:val="24"/>
        </w:rPr>
        <w:t>denominated in pound sterling,</w:t>
      </w:r>
    </w:p>
    <w:p w14:paraId="5168A604" w14:textId="77777777" w:rsidR="000E6916" w:rsidRPr="00E1158E" w:rsidRDefault="000E6916" w:rsidP="000E6916">
      <w:pPr>
        <w:numPr>
          <w:ilvl w:val="0"/>
          <w:numId w:val="2"/>
        </w:numPr>
        <w:spacing w:after="0"/>
        <w:ind w:left="720"/>
        <w:rPr>
          <w:rFonts w:ascii="Arial" w:hAnsi="Arial" w:cs="Arial"/>
          <w:sz w:val="24"/>
          <w:szCs w:val="24"/>
        </w:rPr>
      </w:pPr>
      <w:r w:rsidRPr="00E1158E">
        <w:rPr>
          <w:rFonts w:ascii="Arial" w:hAnsi="Arial" w:cs="Arial"/>
          <w:sz w:val="24"/>
          <w:szCs w:val="24"/>
        </w:rPr>
        <w:t>due to be repaid within 12 months of arrangement,</w:t>
      </w:r>
    </w:p>
    <w:p w14:paraId="36B5D500" w14:textId="77777777" w:rsidR="000E6916" w:rsidRPr="00E1158E" w:rsidRDefault="000E6916" w:rsidP="000E6916">
      <w:pPr>
        <w:numPr>
          <w:ilvl w:val="0"/>
          <w:numId w:val="2"/>
        </w:numPr>
        <w:spacing w:after="0"/>
        <w:ind w:left="720"/>
        <w:rPr>
          <w:rFonts w:ascii="Arial" w:hAnsi="Arial" w:cs="Arial"/>
          <w:sz w:val="24"/>
          <w:szCs w:val="24"/>
        </w:rPr>
      </w:pPr>
      <w:r w:rsidRPr="00E1158E">
        <w:rPr>
          <w:rFonts w:ascii="Arial" w:hAnsi="Arial" w:cs="Arial"/>
          <w:sz w:val="24"/>
          <w:szCs w:val="24"/>
        </w:rPr>
        <w:t>not defined as capital expenditure by legislation, and</w:t>
      </w:r>
    </w:p>
    <w:p w14:paraId="78B929E7" w14:textId="77777777" w:rsidR="000E6916" w:rsidRPr="00E1158E" w:rsidRDefault="000E6916" w:rsidP="000E6916">
      <w:pPr>
        <w:numPr>
          <w:ilvl w:val="0"/>
          <w:numId w:val="2"/>
        </w:numPr>
        <w:spacing w:after="0"/>
        <w:ind w:left="720"/>
        <w:rPr>
          <w:rFonts w:ascii="Arial" w:hAnsi="Arial" w:cs="Arial"/>
          <w:sz w:val="24"/>
          <w:szCs w:val="24"/>
        </w:rPr>
      </w:pPr>
      <w:r w:rsidRPr="00E1158E">
        <w:rPr>
          <w:rFonts w:ascii="Arial" w:hAnsi="Arial" w:cs="Arial"/>
          <w:sz w:val="24"/>
          <w:szCs w:val="24"/>
        </w:rPr>
        <w:t>invested with one of:</w:t>
      </w:r>
    </w:p>
    <w:p w14:paraId="72897901" w14:textId="77777777" w:rsidR="000E6916" w:rsidRPr="00E1158E" w:rsidRDefault="000E6916" w:rsidP="000E6916">
      <w:pPr>
        <w:numPr>
          <w:ilvl w:val="1"/>
          <w:numId w:val="8"/>
        </w:numPr>
        <w:spacing w:after="0"/>
        <w:rPr>
          <w:rFonts w:ascii="Arial" w:hAnsi="Arial" w:cs="Arial"/>
          <w:sz w:val="24"/>
          <w:szCs w:val="24"/>
        </w:rPr>
      </w:pPr>
      <w:r w:rsidRPr="00E1158E">
        <w:rPr>
          <w:rFonts w:ascii="Arial" w:hAnsi="Arial" w:cs="Arial"/>
          <w:sz w:val="24"/>
          <w:szCs w:val="24"/>
        </w:rPr>
        <w:t>the UK Government,</w:t>
      </w:r>
    </w:p>
    <w:p w14:paraId="1EF3FF65" w14:textId="77777777" w:rsidR="000E6916" w:rsidRPr="00E1158E" w:rsidRDefault="000E6916" w:rsidP="000E6916">
      <w:pPr>
        <w:numPr>
          <w:ilvl w:val="1"/>
          <w:numId w:val="8"/>
        </w:numPr>
        <w:spacing w:after="0"/>
        <w:rPr>
          <w:rFonts w:ascii="Arial" w:hAnsi="Arial" w:cs="Arial"/>
          <w:sz w:val="24"/>
          <w:szCs w:val="24"/>
        </w:rPr>
      </w:pPr>
      <w:r w:rsidRPr="00E1158E">
        <w:rPr>
          <w:rFonts w:ascii="Arial" w:hAnsi="Arial" w:cs="Arial"/>
          <w:sz w:val="24"/>
          <w:szCs w:val="24"/>
        </w:rPr>
        <w:t>a UK local authority, parish council or community council, or</w:t>
      </w:r>
    </w:p>
    <w:p w14:paraId="11998C0D" w14:textId="77777777" w:rsidR="000E6916" w:rsidRDefault="000E6916" w:rsidP="000E6916">
      <w:pPr>
        <w:numPr>
          <w:ilvl w:val="1"/>
          <w:numId w:val="8"/>
        </w:numPr>
        <w:rPr>
          <w:rFonts w:ascii="Arial" w:hAnsi="Arial" w:cs="Arial"/>
          <w:sz w:val="24"/>
          <w:szCs w:val="24"/>
        </w:rPr>
      </w:pPr>
      <w:r w:rsidRPr="00E1158E">
        <w:rPr>
          <w:rFonts w:ascii="Arial" w:hAnsi="Arial" w:cs="Arial"/>
          <w:sz w:val="24"/>
          <w:szCs w:val="24"/>
        </w:rPr>
        <w:t>a body or investment scheme of “high credit quality”.</w:t>
      </w:r>
    </w:p>
    <w:p w14:paraId="4A9E97B4" w14:textId="77777777" w:rsidR="000E6916" w:rsidRPr="00E1158E" w:rsidRDefault="000E6916" w:rsidP="000E6916">
      <w:pPr>
        <w:rPr>
          <w:rFonts w:ascii="Arial" w:hAnsi="Arial" w:cs="Arial"/>
          <w:sz w:val="24"/>
          <w:szCs w:val="24"/>
        </w:rPr>
      </w:pPr>
      <w:r w:rsidRPr="00D315A2">
        <w:rPr>
          <w:rFonts w:ascii="Arial" w:hAnsi="Arial" w:cs="Arial"/>
          <w:sz w:val="24"/>
          <w:szCs w:val="24"/>
        </w:rPr>
        <w:t>The Council</w:t>
      </w:r>
      <w:r w:rsidR="008F706A">
        <w:rPr>
          <w:rFonts w:ascii="Arial" w:hAnsi="Arial" w:cs="Arial"/>
          <w:sz w:val="24"/>
          <w:szCs w:val="24"/>
        </w:rPr>
        <w:t xml:space="preserve">’s only qualifying </w:t>
      </w:r>
      <w:r w:rsidRPr="00D315A2">
        <w:rPr>
          <w:rFonts w:ascii="Arial" w:hAnsi="Arial" w:cs="Arial"/>
          <w:sz w:val="24"/>
          <w:szCs w:val="24"/>
        </w:rPr>
        <w:t>non-specified investments</w:t>
      </w:r>
      <w:r w:rsidR="008F706A">
        <w:rPr>
          <w:rFonts w:ascii="Arial" w:hAnsi="Arial" w:cs="Arial"/>
          <w:sz w:val="24"/>
          <w:szCs w:val="24"/>
        </w:rPr>
        <w:t xml:space="preserve"> are those listed above under</w:t>
      </w:r>
      <w:r w:rsidR="00246545">
        <w:rPr>
          <w:rFonts w:ascii="Arial" w:hAnsi="Arial" w:cs="Arial"/>
          <w:sz w:val="24"/>
          <w:szCs w:val="24"/>
        </w:rPr>
        <w:t xml:space="preserve"> service and commercial investments</w:t>
      </w:r>
      <w:r w:rsidR="008F706A">
        <w:rPr>
          <w:rFonts w:ascii="Arial" w:hAnsi="Arial" w:cs="Arial"/>
          <w:sz w:val="24"/>
          <w:szCs w:val="24"/>
        </w:rPr>
        <w:t xml:space="preserve">.  The Council has already </w:t>
      </w:r>
      <w:r w:rsidR="00246545">
        <w:rPr>
          <w:rFonts w:ascii="Arial" w:hAnsi="Arial" w:cs="Arial"/>
          <w:sz w:val="24"/>
          <w:szCs w:val="24"/>
        </w:rPr>
        <w:t>proportionality</w:t>
      </w:r>
      <w:r w:rsidR="008F706A">
        <w:rPr>
          <w:rFonts w:ascii="Arial" w:hAnsi="Arial" w:cs="Arial"/>
          <w:sz w:val="24"/>
          <w:szCs w:val="24"/>
        </w:rPr>
        <w:t xml:space="preserve"> limits for these investments at Table</w:t>
      </w:r>
      <w:r w:rsidR="00246545">
        <w:rPr>
          <w:rFonts w:ascii="Arial" w:hAnsi="Arial" w:cs="Arial"/>
          <w:sz w:val="24"/>
          <w:szCs w:val="24"/>
        </w:rPr>
        <w:t>s</w:t>
      </w:r>
      <w:r w:rsidR="008F706A">
        <w:rPr>
          <w:rFonts w:ascii="Arial" w:hAnsi="Arial" w:cs="Arial"/>
          <w:sz w:val="24"/>
          <w:szCs w:val="24"/>
        </w:rPr>
        <w:t xml:space="preserve"> 13</w:t>
      </w:r>
      <w:r w:rsidR="00246545">
        <w:rPr>
          <w:rFonts w:ascii="Arial" w:hAnsi="Arial" w:cs="Arial"/>
          <w:sz w:val="24"/>
          <w:szCs w:val="24"/>
        </w:rPr>
        <w:t xml:space="preserve"> and 14</w:t>
      </w:r>
      <w:r w:rsidR="008F706A">
        <w:rPr>
          <w:rFonts w:ascii="Arial" w:hAnsi="Arial" w:cs="Arial"/>
          <w:sz w:val="24"/>
          <w:szCs w:val="24"/>
        </w:rPr>
        <w:t>.</w:t>
      </w:r>
    </w:p>
    <w:p w14:paraId="412EAB15" w14:textId="77777777" w:rsidR="000E6916" w:rsidRPr="00D163D7" w:rsidRDefault="000E6916" w:rsidP="000E6916">
      <w:pPr>
        <w:rPr>
          <w:rFonts w:ascii="Arial" w:hAnsi="Arial" w:cs="Arial"/>
          <w:sz w:val="24"/>
          <w:szCs w:val="24"/>
        </w:rPr>
      </w:pPr>
      <w:r w:rsidRPr="00E1158E">
        <w:rPr>
          <w:rFonts w:ascii="Arial" w:hAnsi="Arial" w:cs="Arial"/>
          <w:sz w:val="24"/>
          <w:szCs w:val="24"/>
        </w:rPr>
        <w:t>If the need arises to make a</w:t>
      </w:r>
      <w:r w:rsidR="008F706A">
        <w:rPr>
          <w:rFonts w:ascii="Arial" w:hAnsi="Arial" w:cs="Arial"/>
          <w:sz w:val="24"/>
          <w:szCs w:val="24"/>
        </w:rPr>
        <w:t xml:space="preserve"> further </w:t>
      </w:r>
      <w:r w:rsidRPr="00E1158E">
        <w:rPr>
          <w:rFonts w:ascii="Arial" w:hAnsi="Arial" w:cs="Arial"/>
          <w:sz w:val="24"/>
          <w:szCs w:val="24"/>
        </w:rPr>
        <w:t>non-specified investment, th</w:t>
      </w:r>
      <w:r>
        <w:rPr>
          <w:rFonts w:ascii="Arial" w:hAnsi="Arial" w:cs="Arial"/>
          <w:sz w:val="24"/>
          <w:szCs w:val="24"/>
        </w:rPr>
        <w:t>e investment</w:t>
      </w:r>
      <w:r w:rsidRPr="00E1158E">
        <w:rPr>
          <w:rFonts w:ascii="Arial" w:hAnsi="Arial" w:cs="Arial"/>
          <w:sz w:val="24"/>
          <w:szCs w:val="24"/>
        </w:rPr>
        <w:t xml:space="preserve"> will comply with </w:t>
      </w:r>
      <w:r w:rsidRPr="00D163D7">
        <w:rPr>
          <w:rFonts w:ascii="Arial" w:hAnsi="Arial" w:cs="Arial"/>
          <w:sz w:val="24"/>
          <w:szCs w:val="24"/>
        </w:rPr>
        <w:t xml:space="preserve">limits both individually and cumulatively in </w:t>
      </w:r>
      <w:r w:rsidR="00F60D80">
        <w:rPr>
          <w:rFonts w:ascii="Arial" w:hAnsi="Arial" w:cs="Arial"/>
          <w:sz w:val="24"/>
          <w:szCs w:val="24"/>
        </w:rPr>
        <w:t>T</w:t>
      </w:r>
      <w:r w:rsidRPr="00D163D7">
        <w:rPr>
          <w:rFonts w:ascii="Arial" w:hAnsi="Arial" w:cs="Arial"/>
          <w:sz w:val="24"/>
          <w:szCs w:val="24"/>
        </w:rPr>
        <w:t xml:space="preserve">able </w:t>
      </w:r>
      <w:r w:rsidR="00DA56C3" w:rsidRPr="00D163D7">
        <w:rPr>
          <w:rFonts w:ascii="Arial" w:hAnsi="Arial" w:cs="Arial"/>
          <w:sz w:val="24"/>
          <w:szCs w:val="24"/>
        </w:rPr>
        <w:t>15</w:t>
      </w:r>
      <w:r w:rsidRPr="00D163D7">
        <w:rPr>
          <w:rFonts w:ascii="Arial" w:hAnsi="Arial" w:cs="Arial"/>
          <w:sz w:val="24"/>
          <w:szCs w:val="24"/>
        </w:rPr>
        <w:t xml:space="preserve">, below. </w:t>
      </w:r>
    </w:p>
    <w:p w14:paraId="3666248A" w14:textId="77777777" w:rsidR="000E6916" w:rsidRPr="002E1C30" w:rsidRDefault="000E6916" w:rsidP="000E6916">
      <w:pPr>
        <w:ind w:firstLine="360"/>
        <w:rPr>
          <w:rFonts w:ascii="Arial" w:hAnsi="Arial" w:cs="Arial"/>
          <w:i/>
          <w:iCs/>
          <w:sz w:val="24"/>
          <w:szCs w:val="24"/>
        </w:rPr>
      </w:pPr>
      <w:r w:rsidRPr="002E1C30">
        <w:rPr>
          <w:rFonts w:ascii="Arial" w:hAnsi="Arial" w:cs="Arial"/>
          <w:i/>
          <w:iCs/>
          <w:sz w:val="24"/>
          <w:szCs w:val="24"/>
        </w:rPr>
        <w:t xml:space="preserve">Table </w:t>
      </w:r>
      <w:r w:rsidR="00DA56C3" w:rsidRPr="002E1C30">
        <w:rPr>
          <w:rFonts w:ascii="Arial" w:hAnsi="Arial" w:cs="Arial"/>
          <w:i/>
          <w:iCs/>
          <w:sz w:val="24"/>
          <w:szCs w:val="24"/>
        </w:rPr>
        <w:t>15</w:t>
      </w:r>
      <w:r w:rsidRPr="002E1C30">
        <w:rPr>
          <w:rFonts w:ascii="Arial" w:hAnsi="Arial" w:cs="Arial"/>
          <w:i/>
          <w:iCs/>
          <w:sz w:val="24"/>
          <w:szCs w:val="24"/>
        </w:rPr>
        <w:t>: Non-</w:t>
      </w:r>
      <w:r w:rsidRPr="002E1C30">
        <w:rPr>
          <w:rFonts w:ascii="Arial" w:hAnsi="Arial" w:cs="Arial"/>
          <w:i/>
          <w:iCs/>
          <w:color w:val="000000"/>
          <w:sz w:val="24"/>
          <w:szCs w:val="24"/>
        </w:rPr>
        <w:t>Specified</w:t>
      </w:r>
      <w:r w:rsidRPr="002E1C30">
        <w:rPr>
          <w:rFonts w:ascii="Arial" w:hAnsi="Arial" w:cs="Arial"/>
          <w:i/>
          <w:iCs/>
          <w:sz w:val="24"/>
          <w:szCs w:val="24"/>
        </w:rPr>
        <w:t xml:space="preserve"> Investment Limits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26"/>
      </w:tblGrid>
      <w:tr w:rsidR="000E6916" w:rsidRPr="00D163D7" w14:paraId="7606F45D" w14:textId="77777777" w:rsidTr="00F60D80">
        <w:trPr>
          <w:trHeight w:val="340"/>
          <w:tblHeader/>
        </w:trPr>
        <w:tc>
          <w:tcPr>
            <w:tcW w:w="5670" w:type="dxa"/>
            <w:shd w:val="clear" w:color="auto" w:fill="D9D9D9"/>
            <w:vAlign w:val="center"/>
          </w:tcPr>
          <w:p w14:paraId="079488CB" w14:textId="77777777" w:rsidR="000E6916" w:rsidRPr="00D163D7" w:rsidRDefault="000E6916" w:rsidP="00EA768C">
            <w:pPr>
              <w:pStyle w:val="ListParagraph"/>
              <w:spacing w:after="0"/>
              <w:ind w:left="0"/>
              <w:contextualSpacing w:val="0"/>
              <w:rPr>
                <w:rFonts w:ascii="Arial" w:eastAsia="Times New Roman" w:hAnsi="Arial" w:cs="Arial"/>
                <w:sz w:val="24"/>
                <w:szCs w:val="24"/>
              </w:rPr>
            </w:pPr>
            <w:r w:rsidRPr="00D163D7">
              <w:rPr>
                <w:rFonts w:ascii="Arial" w:eastAsia="Times New Roman" w:hAnsi="Arial" w:cs="Arial"/>
                <w:sz w:val="24"/>
                <w:szCs w:val="24"/>
              </w:rPr>
              <w:t>Limits (excluding Treasury Investments)</w:t>
            </w:r>
          </w:p>
        </w:tc>
        <w:tc>
          <w:tcPr>
            <w:tcW w:w="2126" w:type="dxa"/>
            <w:shd w:val="clear" w:color="auto" w:fill="D9D9D9"/>
            <w:vAlign w:val="center"/>
          </w:tcPr>
          <w:p w14:paraId="6850923C" w14:textId="77777777" w:rsidR="000E6916" w:rsidRPr="00D163D7" w:rsidRDefault="000E6916" w:rsidP="002536CB">
            <w:pPr>
              <w:pStyle w:val="ListParagraph"/>
              <w:spacing w:after="0"/>
              <w:ind w:left="0"/>
              <w:contextualSpacing w:val="0"/>
              <w:jc w:val="center"/>
              <w:rPr>
                <w:rFonts w:ascii="Arial" w:eastAsia="Times New Roman" w:hAnsi="Arial" w:cs="Arial"/>
                <w:sz w:val="24"/>
                <w:szCs w:val="24"/>
              </w:rPr>
            </w:pPr>
            <w:r w:rsidRPr="00D163D7">
              <w:rPr>
                <w:rFonts w:ascii="Arial" w:eastAsia="Times New Roman" w:hAnsi="Arial" w:cs="Arial"/>
                <w:sz w:val="24"/>
                <w:szCs w:val="24"/>
              </w:rPr>
              <w:t>Cash limit (£m)</w:t>
            </w:r>
          </w:p>
        </w:tc>
      </w:tr>
      <w:tr w:rsidR="000E6916" w:rsidRPr="00D163D7" w14:paraId="5A764E79" w14:textId="77777777" w:rsidTr="00F60D80">
        <w:trPr>
          <w:trHeight w:val="340"/>
        </w:trPr>
        <w:tc>
          <w:tcPr>
            <w:tcW w:w="5670" w:type="dxa"/>
            <w:shd w:val="clear" w:color="auto" w:fill="auto"/>
            <w:vAlign w:val="center"/>
          </w:tcPr>
          <w:p w14:paraId="03D99B8F" w14:textId="77777777" w:rsidR="000E6916" w:rsidRPr="00D163D7" w:rsidRDefault="000E6916" w:rsidP="00EA768C">
            <w:pPr>
              <w:pStyle w:val="ListParagraph"/>
              <w:spacing w:after="0"/>
              <w:ind w:left="0"/>
              <w:contextualSpacing w:val="0"/>
              <w:rPr>
                <w:rFonts w:ascii="Arial" w:eastAsia="Times New Roman" w:hAnsi="Arial" w:cs="Arial"/>
                <w:sz w:val="24"/>
                <w:szCs w:val="24"/>
              </w:rPr>
            </w:pPr>
            <w:r w:rsidRPr="00D163D7">
              <w:rPr>
                <w:rFonts w:ascii="Arial" w:eastAsia="Times New Roman" w:hAnsi="Arial" w:cs="Arial"/>
                <w:sz w:val="24"/>
                <w:szCs w:val="24"/>
              </w:rPr>
              <w:t>Total medium and long-term investments</w:t>
            </w:r>
          </w:p>
        </w:tc>
        <w:tc>
          <w:tcPr>
            <w:tcW w:w="2126" w:type="dxa"/>
            <w:shd w:val="clear" w:color="auto" w:fill="auto"/>
            <w:vAlign w:val="center"/>
          </w:tcPr>
          <w:p w14:paraId="4E317585" w14:textId="77777777" w:rsidR="000E6916" w:rsidRPr="00D163D7" w:rsidRDefault="000E6916" w:rsidP="002536CB">
            <w:pPr>
              <w:pStyle w:val="ListParagraph"/>
              <w:spacing w:after="0"/>
              <w:ind w:left="0"/>
              <w:contextualSpacing w:val="0"/>
              <w:jc w:val="center"/>
              <w:rPr>
                <w:rFonts w:ascii="Arial" w:eastAsia="Times New Roman" w:hAnsi="Arial" w:cs="Arial"/>
                <w:sz w:val="24"/>
                <w:szCs w:val="24"/>
              </w:rPr>
            </w:pPr>
            <w:r w:rsidRPr="00D163D7">
              <w:rPr>
                <w:rFonts w:ascii="Arial" w:hAnsi="Arial" w:cs="Arial"/>
                <w:sz w:val="24"/>
                <w:szCs w:val="24"/>
              </w:rPr>
              <w:t>20</w:t>
            </w:r>
          </w:p>
        </w:tc>
      </w:tr>
      <w:tr w:rsidR="000E6916" w:rsidRPr="00D163D7" w14:paraId="19C627C8" w14:textId="77777777" w:rsidTr="00F60D80">
        <w:trPr>
          <w:trHeight w:val="340"/>
        </w:trPr>
        <w:tc>
          <w:tcPr>
            <w:tcW w:w="5670" w:type="dxa"/>
            <w:shd w:val="clear" w:color="auto" w:fill="auto"/>
            <w:vAlign w:val="center"/>
          </w:tcPr>
          <w:p w14:paraId="07AD6C06" w14:textId="77777777" w:rsidR="000E6916" w:rsidRPr="00D163D7" w:rsidRDefault="000E6916" w:rsidP="00EA768C">
            <w:pPr>
              <w:pStyle w:val="ListParagraph"/>
              <w:spacing w:after="0"/>
              <w:ind w:left="0"/>
              <w:contextualSpacing w:val="0"/>
              <w:rPr>
                <w:rFonts w:ascii="Arial" w:eastAsia="Times New Roman" w:hAnsi="Arial" w:cs="Arial"/>
                <w:sz w:val="24"/>
                <w:szCs w:val="24"/>
              </w:rPr>
            </w:pPr>
            <w:r w:rsidRPr="00D163D7">
              <w:rPr>
                <w:rFonts w:ascii="Arial" w:eastAsia="Times New Roman" w:hAnsi="Arial" w:cs="Arial"/>
                <w:sz w:val="24"/>
                <w:szCs w:val="24"/>
              </w:rPr>
              <w:t xml:space="preserve">Total investments without credit ratings or rated below A- </w:t>
            </w:r>
          </w:p>
        </w:tc>
        <w:tc>
          <w:tcPr>
            <w:tcW w:w="2126" w:type="dxa"/>
            <w:shd w:val="clear" w:color="auto" w:fill="auto"/>
            <w:vAlign w:val="center"/>
          </w:tcPr>
          <w:p w14:paraId="2315E385" w14:textId="77777777" w:rsidR="000E6916" w:rsidRPr="00D163D7" w:rsidRDefault="000E6916" w:rsidP="002536CB">
            <w:pPr>
              <w:pStyle w:val="ListParagraph"/>
              <w:spacing w:after="0"/>
              <w:ind w:left="0"/>
              <w:contextualSpacing w:val="0"/>
              <w:jc w:val="center"/>
              <w:rPr>
                <w:rFonts w:ascii="Arial" w:eastAsia="Times New Roman" w:hAnsi="Arial" w:cs="Arial"/>
                <w:sz w:val="24"/>
                <w:szCs w:val="24"/>
              </w:rPr>
            </w:pPr>
            <w:r w:rsidRPr="00D163D7">
              <w:rPr>
                <w:rFonts w:ascii="Arial" w:eastAsia="Times New Roman" w:hAnsi="Arial" w:cs="Arial"/>
                <w:sz w:val="24"/>
                <w:szCs w:val="24"/>
              </w:rPr>
              <w:t>20</w:t>
            </w:r>
          </w:p>
        </w:tc>
      </w:tr>
      <w:tr w:rsidR="000E6916" w:rsidRPr="00D163D7" w14:paraId="2159F81F" w14:textId="77777777" w:rsidTr="00F60D80">
        <w:trPr>
          <w:trHeight w:val="340"/>
        </w:trPr>
        <w:tc>
          <w:tcPr>
            <w:tcW w:w="5670" w:type="dxa"/>
            <w:shd w:val="clear" w:color="auto" w:fill="auto"/>
            <w:vAlign w:val="center"/>
          </w:tcPr>
          <w:p w14:paraId="61F0DB8D" w14:textId="77777777" w:rsidR="000E6916" w:rsidRPr="00D163D7" w:rsidRDefault="000E6916" w:rsidP="00EA768C">
            <w:pPr>
              <w:pStyle w:val="ListParagraph"/>
              <w:spacing w:after="0"/>
              <w:ind w:left="0"/>
              <w:contextualSpacing w:val="0"/>
              <w:rPr>
                <w:rFonts w:ascii="Arial" w:eastAsia="Times New Roman" w:hAnsi="Arial" w:cs="Arial"/>
                <w:sz w:val="24"/>
                <w:szCs w:val="24"/>
              </w:rPr>
            </w:pPr>
            <w:r w:rsidRPr="00D163D7">
              <w:rPr>
                <w:rFonts w:ascii="Arial" w:eastAsia="Times New Roman" w:hAnsi="Arial" w:cs="Arial"/>
                <w:sz w:val="24"/>
                <w:szCs w:val="24"/>
              </w:rPr>
              <w:t xml:space="preserve">Total non-specified investments </w:t>
            </w:r>
          </w:p>
        </w:tc>
        <w:tc>
          <w:tcPr>
            <w:tcW w:w="2126" w:type="dxa"/>
            <w:shd w:val="clear" w:color="auto" w:fill="auto"/>
            <w:vAlign w:val="center"/>
          </w:tcPr>
          <w:p w14:paraId="70239D64" w14:textId="77777777" w:rsidR="000E6916" w:rsidRPr="00D163D7" w:rsidRDefault="000E6916" w:rsidP="002536CB">
            <w:pPr>
              <w:pStyle w:val="ListParagraph"/>
              <w:spacing w:after="0"/>
              <w:ind w:left="0"/>
              <w:contextualSpacing w:val="0"/>
              <w:jc w:val="center"/>
              <w:rPr>
                <w:rFonts w:ascii="Arial" w:hAnsi="Arial" w:cs="Arial"/>
                <w:sz w:val="24"/>
                <w:szCs w:val="24"/>
              </w:rPr>
            </w:pPr>
            <w:r w:rsidRPr="00D163D7">
              <w:rPr>
                <w:rFonts w:ascii="Arial" w:hAnsi="Arial" w:cs="Arial"/>
                <w:sz w:val="24"/>
                <w:szCs w:val="24"/>
              </w:rPr>
              <w:t>30</w:t>
            </w:r>
          </w:p>
        </w:tc>
      </w:tr>
    </w:tbl>
    <w:p w14:paraId="13907B3B" w14:textId="77777777" w:rsidR="008F706A" w:rsidRDefault="000E6916" w:rsidP="008F706A">
      <w:pPr>
        <w:rPr>
          <w:rFonts w:ascii="Arial" w:hAnsi="Arial" w:cs="Arial"/>
          <w:i/>
          <w:sz w:val="20"/>
          <w:szCs w:val="20"/>
        </w:rPr>
      </w:pPr>
      <w:r w:rsidRPr="00D163D7">
        <w:rPr>
          <w:rFonts w:ascii="Arial" w:hAnsi="Arial" w:cs="Arial"/>
          <w:i/>
          <w:sz w:val="20"/>
          <w:szCs w:val="20"/>
        </w:rPr>
        <w:t xml:space="preserve">For clarity, </w:t>
      </w:r>
      <w:r w:rsidR="00D163D7" w:rsidRPr="00D163D7">
        <w:rPr>
          <w:rFonts w:ascii="Arial" w:hAnsi="Arial" w:cs="Arial"/>
          <w:i/>
          <w:sz w:val="20"/>
          <w:szCs w:val="20"/>
        </w:rPr>
        <w:t xml:space="preserve">in accordance with paragraph 21 of the DLUHC Guidance </w:t>
      </w:r>
      <w:r w:rsidRPr="00D163D7">
        <w:rPr>
          <w:rFonts w:ascii="Arial" w:hAnsi="Arial" w:cs="Arial"/>
          <w:i/>
          <w:sz w:val="20"/>
          <w:szCs w:val="20"/>
        </w:rPr>
        <w:t>these limits do NOT apply to Treasury</w:t>
      </w:r>
      <w:r w:rsidRPr="00005F23">
        <w:rPr>
          <w:rFonts w:ascii="Arial" w:hAnsi="Arial" w:cs="Arial"/>
          <w:i/>
          <w:sz w:val="20"/>
          <w:szCs w:val="20"/>
        </w:rPr>
        <w:t xml:space="preserve"> Investments</w:t>
      </w:r>
      <w:r w:rsidR="00921684">
        <w:rPr>
          <w:rFonts w:ascii="Arial" w:hAnsi="Arial" w:cs="Arial"/>
          <w:i/>
          <w:sz w:val="20"/>
          <w:szCs w:val="20"/>
        </w:rPr>
        <w:t xml:space="preserve"> (which include external investments in pooled funds)</w:t>
      </w:r>
    </w:p>
    <w:p w14:paraId="28D4423A" w14:textId="77777777" w:rsidR="00350FFD" w:rsidRPr="00D7775A" w:rsidRDefault="003E38B6" w:rsidP="00350FFD">
      <w:pPr>
        <w:rPr>
          <w:rFonts w:ascii="Arial" w:hAnsi="Arial" w:cs="Arial"/>
          <w:b/>
          <w:u w:val="single"/>
        </w:rPr>
      </w:pPr>
      <w:r>
        <w:br w:type="page"/>
      </w:r>
      <w:r w:rsidR="00225E5C" w:rsidRPr="00D7775A">
        <w:rPr>
          <w:rFonts w:ascii="Arial" w:hAnsi="Arial" w:cs="Arial"/>
          <w:b/>
        </w:rPr>
        <w:lastRenderedPageBreak/>
        <w:t>Appendix A</w:t>
      </w:r>
      <w:r w:rsidR="00225E5C" w:rsidRPr="00D7775A">
        <w:rPr>
          <w:rFonts w:ascii="Arial" w:hAnsi="Arial" w:cs="Arial"/>
          <w:b/>
        </w:rPr>
        <w:br/>
      </w:r>
      <w:r w:rsidR="00225E5C" w:rsidRPr="00D7775A">
        <w:rPr>
          <w:rFonts w:ascii="Arial" w:hAnsi="Arial" w:cs="Arial"/>
          <w:color w:val="FF0000"/>
        </w:rPr>
        <w:br/>
      </w:r>
      <w:r w:rsidR="00B247CC" w:rsidRPr="00D7775A">
        <w:rPr>
          <w:rFonts w:ascii="Arial" w:hAnsi="Arial" w:cs="Arial"/>
          <w:b/>
          <w:u w:val="single"/>
        </w:rPr>
        <w:t>Arlingclose’ s</w:t>
      </w:r>
      <w:r w:rsidR="00350FFD" w:rsidRPr="00D7775A">
        <w:rPr>
          <w:rFonts w:ascii="Arial" w:hAnsi="Arial" w:cs="Arial"/>
          <w:b/>
          <w:u w:val="single"/>
        </w:rPr>
        <w:t xml:space="preserve"> Economic Outlook for the remainder of 202</w:t>
      </w:r>
      <w:r w:rsidR="005547B2" w:rsidRPr="00D7775A">
        <w:rPr>
          <w:rFonts w:ascii="Arial" w:hAnsi="Arial" w:cs="Arial"/>
          <w:b/>
          <w:u w:val="single"/>
        </w:rPr>
        <w:t>3-24</w:t>
      </w:r>
      <w:r w:rsidR="00350FFD" w:rsidRPr="00D7775A">
        <w:rPr>
          <w:rFonts w:ascii="Arial" w:hAnsi="Arial" w:cs="Arial"/>
          <w:b/>
          <w:u w:val="single"/>
        </w:rPr>
        <w:t xml:space="preserve"> (based on </w:t>
      </w:r>
      <w:r w:rsidR="00D7775A" w:rsidRPr="00D7775A">
        <w:rPr>
          <w:rFonts w:ascii="Arial" w:hAnsi="Arial" w:cs="Arial"/>
          <w:b/>
          <w:u w:val="single"/>
        </w:rPr>
        <w:t>19</w:t>
      </w:r>
      <w:r w:rsidR="00D7775A" w:rsidRPr="00D7775A">
        <w:rPr>
          <w:rFonts w:ascii="Arial" w:hAnsi="Arial" w:cs="Arial"/>
          <w:b/>
          <w:u w:val="single"/>
          <w:vertAlign w:val="superscript"/>
        </w:rPr>
        <w:t>th</w:t>
      </w:r>
      <w:r w:rsidR="00D7775A" w:rsidRPr="00D7775A">
        <w:rPr>
          <w:rFonts w:ascii="Arial" w:hAnsi="Arial" w:cs="Arial"/>
          <w:b/>
          <w:u w:val="single"/>
        </w:rPr>
        <w:t xml:space="preserve"> December</w:t>
      </w:r>
      <w:r w:rsidR="00350FFD" w:rsidRPr="00D7775A">
        <w:rPr>
          <w:rFonts w:ascii="Arial" w:hAnsi="Arial" w:cs="Arial"/>
          <w:b/>
          <w:u w:val="single"/>
        </w:rPr>
        <w:t xml:space="preserve"> 202</w:t>
      </w:r>
      <w:r w:rsidR="00D7775A" w:rsidRPr="00D7775A">
        <w:rPr>
          <w:rFonts w:ascii="Arial" w:hAnsi="Arial" w:cs="Arial"/>
          <w:b/>
          <w:u w:val="single"/>
        </w:rPr>
        <w:t>3</w:t>
      </w:r>
      <w:r w:rsidR="00350FFD" w:rsidRPr="00D7775A">
        <w:rPr>
          <w:rFonts w:ascii="Arial" w:hAnsi="Arial" w:cs="Arial"/>
          <w:b/>
          <w:u w:val="single"/>
        </w:rPr>
        <w:t xml:space="preserve"> interest rate forecast)</w:t>
      </w:r>
    </w:p>
    <w:p w14:paraId="71FD82F5" w14:textId="77777777" w:rsidR="008B67EE" w:rsidRPr="00D7775A" w:rsidRDefault="008B67EE" w:rsidP="00350FFD">
      <w:pPr>
        <w:rPr>
          <w:rFonts w:ascii="Arial" w:hAnsi="Arial" w:cs="Arial"/>
          <w:b/>
          <w:u w:val="single"/>
        </w:rPr>
      </w:pPr>
      <w:r w:rsidRPr="00D7775A">
        <w:rPr>
          <w:rFonts w:ascii="Arial" w:hAnsi="Arial" w:cs="Arial"/>
          <w:b/>
          <w:u w:val="single"/>
        </w:rPr>
        <w:t xml:space="preserve">Officer’s commentary: Although the most recent forecast available, the economic landscape </w:t>
      </w:r>
      <w:r w:rsidR="00B247CC">
        <w:rPr>
          <w:rFonts w:ascii="Arial" w:hAnsi="Arial" w:cs="Arial"/>
          <w:b/>
          <w:u w:val="single"/>
        </w:rPr>
        <w:t xml:space="preserve">remains </w:t>
      </w:r>
      <w:r w:rsidR="002710DE">
        <w:rPr>
          <w:rFonts w:ascii="Arial" w:hAnsi="Arial" w:cs="Arial"/>
          <w:b/>
          <w:u w:val="single"/>
        </w:rPr>
        <w:t>volatile,</w:t>
      </w:r>
      <w:r w:rsidR="00B247CC">
        <w:rPr>
          <w:rFonts w:ascii="Arial" w:hAnsi="Arial" w:cs="Arial"/>
          <w:b/>
          <w:u w:val="single"/>
        </w:rPr>
        <w:t xml:space="preserve"> </w:t>
      </w:r>
      <w:r w:rsidRPr="00D7775A">
        <w:rPr>
          <w:rFonts w:ascii="Arial" w:hAnsi="Arial" w:cs="Arial"/>
          <w:b/>
          <w:u w:val="single"/>
        </w:rPr>
        <w:t xml:space="preserve">so this </w:t>
      </w:r>
      <w:r w:rsidR="002710DE">
        <w:rPr>
          <w:rFonts w:ascii="Arial" w:hAnsi="Arial" w:cs="Arial"/>
          <w:b/>
          <w:u w:val="single"/>
        </w:rPr>
        <w:t xml:space="preserve">outlook </w:t>
      </w:r>
      <w:r w:rsidRPr="00D7775A">
        <w:rPr>
          <w:rFonts w:ascii="Arial" w:hAnsi="Arial" w:cs="Arial"/>
          <w:b/>
          <w:u w:val="single"/>
        </w:rPr>
        <w:t>is likely to be out of date by the time this strategy comes into force. Officers will continue to evaluate economic updates as they are published.</w:t>
      </w:r>
    </w:p>
    <w:p w14:paraId="2595F3AE" w14:textId="77777777" w:rsidR="005547B2" w:rsidRPr="00D7775A" w:rsidRDefault="005547B2" w:rsidP="005547B2">
      <w:pPr>
        <w:pStyle w:val="ListParagraph"/>
        <w:ind w:left="0"/>
        <w:jc w:val="both"/>
        <w:rPr>
          <w:rFonts w:ascii="Arial" w:hAnsi="Arial" w:cs="Arial"/>
          <w:b/>
          <w:bCs/>
        </w:rPr>
      </w:pPr>
      <w:r w:rsidRPr="00D7775A">
        <w:rPr>
          <w:rFonts w:ascii="Arial" w:hAnsi="Arial" w:cs="Arial"/>
          <w:b/>
          <w:bCs/>
        </w:rPr>
        <w:t xml:space="preserve">Underlying assumptions: </w:t>
      </w:r>
    </w:p>
    <w:p w14:paraId="04B22BA9" w14:textId="77777777" w:rsidR="00D7775A" w:rsidRDefault="00D7775A" w:rsidP="005547B2">
      <w:pPr>
        <w:pStyle w:val="ListParagraph"/>
        <w:ind w:left="0"/>
        <w:jc w:val="both"/>
        <w:rPr>
          <w:rFonts w:ascii="Trebuchet MS" w:hAnsi="Trebuchet MS"/>
          <w:b/>
          <w:bCs/>
          <w:sz w:val="20"/>
          <w:szCs w:val="20"/>
        </w:rPr>
      </w:pPr>
    </w:p>
    <w:p w14:paraId="4241B6E1" w14:textId="77777777" w:rsidR="00D7775A" w:rsidRPr="00D7775A" w:rsidRDefault="00D7775A" w:rsidP="00D7775A">
      <w:pPr>
        <w:pStyle w:val="ListParagraph"/>
        <w:numPr>
          <w:ilvl w:val="0"/>
          <w:numId w:val="42"/>
        </w:numPr>
        <w:jc w:val="both"/>
        <w:rPr>
          <w:rFonts w:ascii="Arial" w:hAnsi="Arial" w:cs="Arial"/>
          <w:b/>
          <w:bCs/>
          <w:sz w:val="20"/>
          <w:szCs w:val="20"/>
        </w:rPr>
      </w:pPr>
      <w:r w:rsidRPr="00D7775A">
        <w:rPr>
          <w:rFonts w:ascii="Arial" w:hAnsi="Arial" w:cs="Arial"/>
        </w:rPr>
        <w:t xml:space="preserve">UK inflation and wage growth remain elevated but have eased over the past two months fuelling rate cuts expectations. Near-term rate cuts remain unlikely, although downside risks will increase as the UK economy likely slides into recession. </w:t>
      </w:r>
    </w:p>
    <w:p w14:paraId="6E11B053" w14:textId="77777777" w:rsidR="00D7775A" w:rsidRPr="00D7775A" w:rsidRDefault="00D7775A" w:rsidP="00D7775A">
      <w:pPr>
        <w:pStyle w:val="ListParagraph"/>
        <w:numPr>
          <w:ilvl w:val="0"/>
          <w:numId w:val="42"/>
        </w:numPr>
        <w:jc w:val="both"/>
        <w:rPr>
          <w:rFonts w:ascii="Arial" w:hAnsi="Arial" w:cs="Arial"/>
          <w:b/>
          <w:bCs/>
          <w:sz w:val="20"/>
          <w:szCs w:val="20"/>
        </w:rPr>
      </w:pPr>
      <w:r w:rsidRPr="00D7775A">
        <w:rPr>
          <w:rFonts w:ascii="Arial" w:hAnsi="Arial" w:cs="Arial"/>
        </w:rPr>
        <w:t>The MPC’s message remains unchanged as the Committee seeks to maintain tighter financial conditions. Monetary policy will remain tight as inflation is expected to moderate to target slowly, although some wage and inflation measures are below the Bank’s last forecasts.</w:t>
      </w:r>
    </w:p>
    <w:p w14:paraId="37A65125" w14:textId="77777777" w:rsidR="00D7775A" w:rsidRPr="00D7775A" w:rsidRDefault="00D7775A" w:rsidP="00D7775A">
      <w:pPr>
        <w:pStyle w:val="ListParagraph"/>
        <w:numPr>
          <w:ilvl w:val="0"/>
          <w:numId w:val="42"/>
        </w:numPr>
        <w:jc w:val="both"/>
        <w:rPr>
          <w:rFonts w:ascii="Arial" w:hAnsi="Arial" w:cs="Arial"/>
        </w:rPr>
      </w:pPr>
      <w:r w:rsidRPr="00D7775A">
        <w:rPr>
          <w:rFonts w:ascii="Arial" w:hAnsi="Arial" w:cs="Arial"/>
        </w:rPr>
        <w:t xml:space="preserve">Despite some deterioration in activity data, the UK economy remains resilient in the face of tighter monetary policy. Recent data has been soft but mixed; the timelier PMI figures suggest that the services sector is recovering from a weak Q3. Tighter policy will however bear down on domestic and external activity as interest rates bite. </w:t>
      </w:r>
    </w:p>
    <w:p w14:paraId="0283CEFD" w14:textId="77777777" w:rsidR="00D7775A" w:rsidRPr="00D7775A" w:rsidRDefault="00D7775A" w:rsidP="00D7775A">
      <w:pPr>
        <w:pStyle w:val="ListParagraph"/>
        <w:numPr>
          <w:ilvl w:val="0"/>
          <w:numId w:val="42"/>
        </w:numPr>
        <w:jc w:val="both"/>
        <w:rPr>
          <w:rFonts w:ascii="Arial" w:hAnsi="Arial" w:cs="Arial"/>
        </w:rPr>
      </w:pPr>
      <w:r w:rsidRPr="00D7775A">
        <w:rPr>
          <w:rFonts w:ascii="Arial" w:hAnsi="Arial" w:cs="Arial"/>
        </w:rPr>
        <w:t xml:space="preserve">Employment demand is easing. Anecdotal evidence suggests slowing recruitment and pay growth, and we expect unemployment to rise further. As unemployment rises and interest rates remain high, consumer sentiment will deteriorate. Household and business spending will therefore be weak. </w:t>
      </w:r>
    </w:p>
    <w:p w14:paraId="15A86B85" w14:textId="77777777" w:rsidR="00D7775A" w:rsidRPr="00D7775A" w:rsidRDefault="00D7775A" w:rsidP="00D7775A">
      <w:pPr>
        <w:pStyle w:val="ListParagraph"/>
        <w:numPr>
          <w:ilvl w:val="0"/>
          <w:numId w:val="42"/>
        </w:numPr>
        <w:jc w:val="both"/>
        <w:rPr>
          <w:rFonts w:ascii="Arial" w:hAnsi="Arial" w:cs="Arial"/>
        </w:rPr>
      </w:pPr>
      <w:r w:rsidRPr="00D7775A">
        <w:rPr>
          <w:rFonts w:ascii="Arial" w:hAnsi="Arial" w:cs="Arial"/>
        </w:rPr>
        <w:t xml:space="preserve">Inflation will fall over the next 12 months. The path to the target will not be smooth, with higher energy prices and base effects interrupting the downtrend at times. The MPC’s attention will remain on underlying inflation measures and wage data. We believe policy rates will remain at the peak for another 10 months, or until the MPC is comfortable the risk of further ‘second-round’ effects </w:t>
      </w:r>
      <w:r w:rsidR="003B2B43" w:rsidRPr="00D7775A">
        <w:rPr>
          <w:rFonts w:ascii="Arial" w:hAnsi="Arial" w:cs="Arial"/>
        </w:rPr>
        <w:t>have</w:t>
      </w:r>
      <w:r w:rsidRPr="00D7775A">
        <w:rPr>
          <w:rFonts w:ascii="Arial" w:hAnsi="Arial" w:cs="Arial"/>
        </w:rPr>
        <w:t xml:space="preserve"> diminished. </w:t>
      </w:r>
    </w:p>
    <w:p w14:paraId="79319C37" w14:textId="77777777" w:rsidR="00D7775A" w:rsidRPr="00D7775A" w:rsidRDefault="00D7775A" w:rsidP="00D7775A">
      <w:pPr>
        <w:pStyle w:val="ListParagraph"/>
        <w:numPr>
          <w:ilvl w:val="0"/>
          <w:numId w:val="42"/>
        </w:numPr>
        <w:jc w:val="both"/>
        <w:rPr>
          <w:rFonts w:ascii="Arial" w:hAnsi="Arial" w:cs="Arial"/>
        </w:rPr>
      </w:pPr>
      <w:r w:rsidRPr="00D7775A">
        <w:rPr>
          <w:rFonts w:ascii="Arial" w:hAnsi="Arial" w:cs="Arial"/>
        </w:rPr>
        <w:t xml:space="preserve">Maintaining monetary policy in restrictive territory for so long, when the economy is already struggling, will require significant loosening in the future to boost activity. </w:t>
      </w:r>
    </w:p>
    <w:p w14:paraId="7F42E516" w14:textId="77777777" w:rsidR="00D7775A" w:rsidRPr="00D7775A" w:rsidRDefault="00D7775A" w:rsidP="00D7775A">
      <w:pPr>
        <w:pStyle w:val="ListParagraph"/>
        <w:numPr>
          <w:ilvl w:val="0"/>
          <w:numId w:val="42"/>
        </w:numPr>
        <w:jc w:val="both"/>
        <w:rPr>
          <w:rFonts w:ascii="Arial" w:hAnsi="Arial" w:cs="Arial"/>
        </w:rPr>
      </w:pPr>
      <w:r w:rsidRPr="00D7775A">
        <w:rPr>
          <w:rFonts w:ascii="Arial" w:hAnsi="Arial" w:cs="Arial"/>
        </w:rPr>
        <w:t xml:space="preserve">Global bond yields will remain volatile. Markets are currently running with expectations of near-term US rate cuts, fuelled somewhat unexpectedly by US policymakers themselves. Term premia and bond yields have experienced a marked decline. It would not be a surprise to see a reversal if data points do not support the narrative, but the current 10-year yield appears broadly reflective of a lower medium- term level for Bank Rate. </w:t>
      </w:r>
    </w:p>
    <w:p w14:paraId="445B679D" w14:textId="77777777" w:rsidR="00D7775A" w:rsidRPr="00D7775A" w:rsidRDefault="00D7775A" w:rsidP="00D7775A">
      <w:pPr>
        <w:pStyle w:val="ListParagraph"/>
        <w:numPr>
          <w:ilvl w:val="0"/>
          <w:numId w:val="42"/>
        </w:numPr>
        <w:jc w:val="both"/>
        <w:rPr>
          <w:rFonts w:ascii="Arial" w:hAnsi="Arial" w:cs="Arial"/>
          <w:b/>
          <w:bCs/>
          <w:sz w:val="20"/>
          <w:szCs w:val="20"/>
        </w:rPr>
      </w:pPr>
      <w:r w:rsidRPr="00D7775A">
        <w:rPr>
          <w:rFonts w:ascii="Arial" w:hAnsi="Arial" w:cs="Arial"/>
        </w:rPr>
        <w:t>There is a heightened risk of fiscal policy and/or geo-political events causing substantial volatility in yields.</w:t>
      </w:r>
    </w:p>
    <w:p w14:paraId="01A2DE29" w14:textId="77777777" w:rsidR="005547B2" w:rsidRDefault="005547B2" w:rsidP="005547B2">
      <w:pPr>
        <w:pStyle w:val="ListParagraph"/>
        <w:ind w:left="0"/>
        <w:jc w:val="both"/>
        <w:rPr>
          <w:rFonts w:ascii="Trebuchet MS" w:hAnsi="Trebuchet MS"/>
          <w:b/>
          <w:sz w:val="20"/>
          <w:szCs w:val="20"/>
        </w:rPr>
      </w:pPr>
    </w:p>
    <w:p w14:paraId="6031827D" w14:textId="77777777" w:rsidR="005547B2" w:rsidRPr="00D7775A" w:rsidRDefault="005547B2" w:rsidP="005547B2">
      <w:pPr>
        <w:pStyle w:val="ListParagraph"/>
        <w:ind w:left="0"/>
        <w:jc w:val="both"/>
        <w:rPr>
          <w:rFonts w:ascii="Arial" w:hAnsi="Arial" w:cs="Arial"/>
          <w:b/>
          <w:sz w:val="20"/>
          <w:szCs w:val="20"/>
        </w:rPr>
      </w:pPr>
      <w:r w:rsidRPr="00D7775A">
        <w:rPr>
          <w:rFonts w:ascii="Arial" w:hAnsi="Arial" w:cs="Arial"/>
          <w:b/>
          <w:sz w:val="20"/>
          <w:szCs w:val="20"/>
        </w:rPr>
        <w:t xml:space="preserve">Forecast: </w:t>
      </w:r>
    </w:p>
    <w:p w14:paraId="6667ED12" w14:textId="77777777" w:rsidR="005547B2" w:rsidRPr="00D7775A" w:rsidRDefault="005547B2" w:rsidP="005547B2">
      <w:pPr>
        <w:pStyle w:val="ListParagraph"/>
        <w:numPr>
          <w:ilvl w:val="0"/>
          <w:numId w:val="41"/>
        </w:numPr>
        <w:tabs>
          <w:tab w:val="clear" w:pos="720"/>
          <w:tab w:val="left" w:pos="284"/>
        </w:tabs>
        <w:spacing w:after="40"/>
        <w:ind w:left="284" w:hanging="284"/>
        <w:contextualSpacing w:val="0"/>
        <w:jc w:val="both"/>
        <w:rPr>
          <w:rFonts w:ascii="Arial" w:hAnsi="Arial" w:cs="Arial"/>
        </w:rPr>
      </w:pPr>
      <w:r w:rsidRPr="00D7775A">
        <w:rPr>
          <w:rFonts w:ascii="Arial" w:hAnsi="Arial" w:cs="Arial"/>
        </w:rPr>
        <w:t>The MPC held Bank Rate at 5.25% in November. We believe this is the peak for Bank Rate.</w:t>
      </w:r>
    </w:p>
    <w:p w14:paraId="3BFEB3EA" w14:textId="77777777" w:rsidR="005547B2" w:rsidRPr="00D7775A" w:rsidRDefault="005547B2" w:rsidP="005547B2">
      <w:pPr>
        <w:pStyle w:val="ListParagraph"/>
        <w:numPr>
          <w:ilvl w:val="0"/>
          <w:numId w:val="41"/>
        </w:numPr>
        <w:tabs>
          <w:tab w:val="clear" w:pos="720"/>
          <w:tab w:val="left" w:pos="284"/>
        </w:tabs>
        <w:spacing w:after="40"/>
        <w:ind w:left="284" w:hanging="284"/>
        <w:contextualSpacing w:val="0"/>
        <w:jc w:val="both"/>
        <w:rPr>
          <w:rFonts w:ascii="Arial" w:hAnsi="Arial" w:cs="Arial"/>
        </w:rPr>
      </w:pPr>
      <w:r w:rsidRPr="00D7775A">
        <w:rPr>
          <w:rFonts w:ascii="Arial" w:hAnsi="Arial" w:cs="Arial"/>
        </w:rPr>
        <w:t xml:space="preserve">The MPC will cut rates in the medium term to stimulate the UK economy but will be reluctant to do so until it is sure there will be no lingering second-round effects. We see rate cuts from Q3 2024 to a low of around 3% by </w:t>
      </w:r>
      <w:proofErr w:type="gramStart"/>
      <w:r w:rsidRPr="00D7775A">
        <w:rPr>
          <w:rFonts w:ascii="Arial" w:hAnsi="Arial" w:cs="Arial"/>
        </w:rPr>
        <w:t>early-mid</w:t>
      </w:r>
      <w:proofErr w:type="gramEnd"/>
      <w:r w:rsidRPr="00D7775A">
        <w:rPr>
          <w:rFonts w:ascii="Arial" w:hAnsi="Arial" w:cs="Arial"/>
        </w:rPr>
        <w:t> 2026.</w:t>
      </w:r>
    </w:p>
    <w:p w14:paraId="3548F2D2" w14:textId="77777777" w:rsidR="005547B2" w:rsidRPr="00D7775A" w:rsidRDefault="005547B2" w:rsidP="005547B2">
      <w:pPr>
        <w:pStyle w:val="ListParagraph"/>
        <w:numPr>
          <w:ilvl w:val="0"/>
          <w:numId w:val="41"/>
        </w:numPr>
        <w:tabs>
          <w:tab w:val="clear" w:pos="720"/>
          <w:tab w:val="left" w:pos="284"/>
        </w:tabs>
        <w:spacing w:after="40"/>
        <w:ind w:left="284" w:hanging="284"/>
        <w:contextualSpacing w:val="0"/>
        <w:jc w:val="both"/>
        <w:rPr>
          <w:rFonts w:ascii="Arial" w:hAnsi="Arial" w:cs="Arial"/>
        </w:rPr>
      </w:pPr>
      <w:r w:rsidRPr="00D7775A">
        <w:rPr>
          <w:rFonts w:ascii="Arial" w:hAnsi="Arial" w:cs="Arial"/>
        </w:rPr>
        <w:lastRenderedPageBreak/>
        <w:t xml:space="preserve">The immediate risks around Bank Rate </w:t>
      </w:r>
      <w:r w:rsidR="00D7775A" w:rsidRPr="00D7775A">
        <w:rPr>
          <w:rFonts w:ascii="Arial" w:hAnsi="Arial" w:cs="Arial"/>
        </w:rPr>
        <w:t>have become more balanced, due to the weakening UK economy and dampening effects on inflation. This shifts to the downside in the short term as the economy weakens.</w:t>
      </w:r>
    </w:p>
    <w:p w14:paraId="4A9841D3" w14:textId="77777777" w:rsidR="00B33950" w:rsidRPr="00B33950" w:rsidRDefault="00D7775A" w:rsidP="005F1FF2">
      <w:pPr>
        <w:pStyle w:val="ListParagraph"/>
        <w:numPr>
          <w:ilvl w:val="0"/>
          <w:numId w:val="41"/>
        </w:numPr>
        <w:tabs>
          <w:tab w:val="clear" w:pos="720"/>
          <w:tab w:val="left" w:pos="284"/>
        </w:tabs>
        <w:spacing w:after="0" w:line="240" w:lineRule="auto"/>
        <w:ind w:left="284" w:hanging="284"/>
        <w:contextualSpacing w:val="0"/>
        <w:jc w:val="both"/>
        <w:rPr>
          <w:rFonts w:ascii="Trebuchet MS" w:hAnsi="Trebuchet MS"/>
          <w:sz w:val="20"/>
          <w:szCs w:val="20"/>
        </w:rPr>
      </w:pPr>
      <w:r w:rsidRPr="00B33950">
        <w:rPr>
          <w:rFonts w:ascii="Arial" w:hAnsi="Arial" w:cs="Arial"/>
        </w:rPr>
        <w:t>L</w:t>
      </w:r>
      <w:r w:rsidR="005547B2" w:rsidRPr="00B33950">
        <w:rPr>
          <w:rFonts w:ascii="Arial" w:hAnsi="Arial" w:cs="Arial"/>
        </w:rPr>
        <w:t xml:space="preserve">ong-term gilt yields </w:t>
      </w:r>
      <w:r w:rsidRPr="00B33950">
        <w:rPr>
          <w:rFonts w:ascii="Arial" w:hAnsi="Arial" w:cs="Arial"/>
        </w:rPr>
        <w:t xml:space="preserve">are now substantially </w:t>
      </w:r>
      <w:r w:rsidR="00B33950" w:rsidRPr="00B33950">
        <w:rPr>
          <w:rFonts w:ascii="Arial" w:hAnsi="Arial" w:cs="Arial"/>
        </w:rPr>
        <w:t xml:space="preserve">lower. Arlingclose expects yields to be flat from here over the short-term reflecting medium term Bank rate forecasts. Periodic volatility is likely. </w:t>
      </w:r>
    </w:p>
    <w:p w14:paraId="4E2205D5" w14:textId="77777777" w:rsidR="00B33950" w:rsidRDefault="00B33950" w:rsidP="00B33950">
      <w:pPr>
        <w:pStyle w:val="ListParagraph"/>
        <w:tabs>
          <w:tab w:val="left" w:pos="284"/>
        </w:tabs>
        <w:spacing w:after="0" w:line="240" w:lineRule="auto"/>
        <w:ind w:left="284"/>
        <w:contextualSpacing w:val="0"/>
        <w:jc w:val="both"/>
        <w:rPr>
          <w:rFonts w:ascii="Trebuchet MS" w:hAnsi="Trebuchet MS"/>
          <w:sz w:val="20"/>
          <w:szCs w:val="20"/>
        </w:rPr>
      </w:pPr>
    </w:p>
    <w:p w14:paraId="0A468F7A" w14:textId="205A35B7" w:rsidR="00B33950" w:rsidRDefault="006B4B94" w:rsidP="00B33950">
      <w:pPr>
        <w:pStyle w:val="ListParagraph"/>
        <w:tabs>
          <w:tab w:val="left" w:pos="284"/>
        </w:tabs>
        <w:spacing w:after="0" w:line="240" w:lineRule="auto"/>
        <w:ind w:left="284"/>
        <w:contextualSpacing w:val="0"/>
        <w:jc w:val="both"/>
        <w:rPr>
          <w:rFonts w:ascii="Trebuchet MS" w:hAnsi="Trebuchet MS"/>
          <w:sz w:val="20"/>
          <w:szCs w:val="20"/>
        </w:rPr>
      </w:pPr>
      <w:r w:rsidRPr="00B33950">
        <w:rPr>
          <w:rFonts w:ascii="Trebuchet MS" w:hAnsi="Trebuchet MS"/>
          <w:noProof/>
          <w:sz w:val="20"/>
          <w:szCs w:val="20"/>
        </w:rPr>
        <w:drawing>
          <wp:inline distT="0" distB="0" distL="0" distR="0" wp14:anchorId="334AB077" wp14:editId="5CF500D0">
            <wp:extent cx="6013450" cy="819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3450" cy="819150"/>
                    </a:xfrm>
                    <a:prstGeom prst="rect">
                      <a:avLst/>
                    </a:prstGeom>
                    <a:noFill/>
                    <a:ln>
                      <a:noFill/>
                    </a:ln>
                  </pic:spPr>
                </pic:pic>
              </a:graphicData>
            </a:graphic>
          </wp:inline>
        </w:drawing>
      </w:r>
    </w:p>
    <w:p w14:paraId="4FFAFFA7" w14:textId="77777777" w:rsidR="00B33950" w:rsidRPr="00B33950" w:rsidRDefault="00B33950" w:rsidP="00B33950">
      <w:pPr>
        <w:pStyle w:val="ListParagraph"/>
        <w:tabs>
          <w:tab w:val="left" w:pos="284"/>
        </w:tabs>
        <w:spacing w:after="0" w:line="240" w:lineRule="auto"/>
        <w:ind w:left="284"/>
        <w:contextualSpacing w:val="0"/>
        <w:jc w:val="both"/>
        <w:rPr>
          <w:rFonts w:ascii="Trebuchet MS" w:hAnsi="Trebuchet MS"/>
          <w:sz w:val="20"/>
          <w:szCs w:val="20"/>
        </w:rPr>
      </w:pPr>
    </w:p>
    <w:p w14:paraId="6B2E9CAE" w14:textId="77777777" w:rsidR="00B33950" w:rsidRPr="00B33950" w:rsidRDefault="00B33950" w:rsidP="00B33950">
      <w:pPr>
        <w:pStyle w:val="ListParagraph"/>
        <w:tabs>
          <w:tab w:val="left" w:pos="284"/>
        </w:tabs>
        <w:spacing w:after="0" w:line="240" w:lineRule="auto"/>
        <w:ind w:left="0"/>
        <w:contextualSpacing w:val="0"/>
        <w:jc w:val="both"/>
        <w:rPr>
          <w:rFonts w:ascii="Trebuchet MS" w:hAnsi="Trebuchet MS"/>
          <w:sz w:val="20"/>
          <w:szCs w:val="20"/>
        </w:rPr>
      </w:pPr>
    </w:p>
    <w:p w14:paraId="763DB871" w14:textId="77777777" w:rsidR="003B2B43" w:rsidRPr="003B2B43" w:rsidRDefault="003B2B43" w:rsidP="003B2B43">
      <w:pPr>
        <w:pStyle w:val="ListParagraph"/>
        <w:ind w:left="0"/>
        <w:contextualSpacing w:val="0"/>
        <w:jc w:val="both"/>
        <w:rPr>
          <w:rFonts w:ascii="Arial" w:hAnsi="Arial" w:cs="Arial"/>
        </w:rPr>
      </w:pPr>
      <w:r w:rsidRPr="003B2B43">
        <w:rPr>
          <w:rFonts w:ascii="Arial" w:hAnsi="Arial" w:cs="Arial"/>
          <w:b/>
          <w:bCs/>
        </w:rPr>
        <w:t>Economic background:</w:t>
      </w:r>
      <w:r w:rsidRPr="003B2B43">
        <w:rPr>
          <w:rFonts w:ascii="Arial" w:hAnsi="Arial" w:cs="Arial"/>
        </w:rPr>
        <w:t xml:space="preserve"> The impact on the UK from higher interest rates and inflation, a weakening economic outlook, an uncertain political climate due to an upcoming general election, together with war in Ukraine and the Middle East, will be major influences on the Authority’s treasury management strategy for 2024</w:t>
      </w:r>
      <w:r>
        <w:rPr>
          <w:rFonts w:ascii="Arial" w:hAnsi="Arial" w:cs="Arial"/>
        </w:rPr>
        <w:t>-</w:t>
      </w:r>
      <w:r w:rsidRPr="003B2B43">
        <w:rPr>
          <w:rFonts w:ascii="Arial" w:hAnsi="Arial" w:cs="Arial"/>
        </w:rPr>
        <w:t>25.</w:t>
      </w:r>
    </w:p>
    <w:p w14:paraId="38D9C35C" w14:textId="77777777" w:rsidR="003B2B43" w:rsidRDefault="003B2B43" w:rsidP="003B2B43">
      <w:pPr>
        <w:pStyle w:val="ListParagraph"/>
        <w:ind w:left="0"/>
        <w:jc w:val="both"/>
        <w:rPr>
          <w:rFonts w:ascii="Arial" w:hAnsi="Arial" w:cs="Arial"/>
        </w:rPr>
      </w:pPr>
      <w:r w:rsidRPr="003B2B43">
        <w:rPr>
          <w:rFonts w:ascii="Arial" w:hAnsi="Arial" w:cs="Arial"/>
        </w:rPr>
        <w:t xml:space="preserve">The Bank of England (BoE) increased Bank Rate to 5.25% in August 2023, before maintaining this level </w:t>
      </w:r>
      <w:r w:rsidR="00B051F4">
        <w:rPr>
          <w:rFonts w:ascii="Arial" w:hAnsi="Arial" w:cs="Arial"/>
        </w:rPr>
        <w:t xml:space="preserve">when it last met </w:t>
      </w:r>
      <w:r w:rsidRPr="003B2B43">
        <w:rPr>
          <w:rFonts w:ascii="Arial" w:hAnsi="Arial" w:cs="Arial"/>
        </w:rPr>
        <w:t xml:space="preserve">in September and then again in </w:t>
      </w:r>
      <w:r>
        <w:rPr>
          <w:rFonts w:ascii="Arial" w:hAnsi="Arial" w:cs="Arial"/>
        </w:rPr>
        <w:t>December</w:t>
      </w:r>
      <w:r w:rsidRPr="003B2B43">
        <w:rPr>
          <w:rFonts w:ascii="Arial" w:hAnsi="Arial" w:cs="Arial"/>
        </w:rPr>
        <w:t>. Members of the BoE’s Monetary Policy Committee voted 6-3 in favour of keeping Bank Rate at 5.25%. The three dissenters wanted to increase rates by another 0.25%.</w:t>
      </w:r>
    </w:p>
    <w:p w14:paraId="15286117" w14:textId="77777777" w:rsidR="00D50D76" w:rsidRDefault="00D50D76" w:rsidP="003B2B43">
      <w:pPr>
        <w:pStyle w:val="ListParagraph"/>
        <w:ind w:left="0"/>
        <w:jc w:val="both"/>
        <w:rPr>
          <w:rFonts w:ascii="Arial" w:hAnsi="Arial" w:cs="Arial"/>
        </w:rPr>
      </w:pPr>
    </w:p>
    <w:p w14:paraId="49215977" w14:textId="77777777" w:rsidR="00D50D76" w:rsidRDefault="00D50D76" w:rsidP="003B2B43">
      <w:pPr>
        <w:pStyle w:val="ListParagraph"/>
        <w:ind w:left="0"/>
        <w:jc w:val="both"/>
        <w:rPr>
          <w:rFonts w:ascii="Arial" w:hAnsi="Arial" w:cs="Arial"/>
        </w:rPr>
      </w:pPr>
      <w:r w:rsidRPr="00D50D76">
        <w:rPr>
          <w:rFonts w:ascii="Arial" w:hAnsi="Arial" w:cs="Arial"/>
        </w:rPr>
        <w:t xml:space="preserve">In the third quarter of 2023, the UK's GDP growth modestly outperformed expectations, registering a 0.5% increase which slightly exceeded projections in the November Monetary Policy Report. This period of growth, however, was not uniformly mirrored across other advanced economies. The euro area's economic expansion trailed behind that of the United States, highlighting a variance in regional economic dynamics. While global GDP growth is anticipated to decelerate to 0.4% in Q4, the U.S. economy notably expanded by 1.3% in Q3. However, indicators suggest a potential slowdown in the U.S. economy is on the horizon. In contrast, the euro area experienced a slight contraction in Q3 but is expected to achieve a level of stabilisation in Q4. </w:t>
      </w:r>
    </w:p>
    <w:p w14:paraId="1F720738" w14:textId="77777777" w:rsidR="00D50D76" w:rsidRDefault="00D50D76" w:rsidP="003B2B43">
      <w:pPr>
        <w:pStyle w:val="ListParagraph"/>
        <w:ind w:left="0"/>
        <w:jc w:val="both"/>
        <w:rPr>
          <w:rFonts w:ascii="Arial" w:hAnsi="Arial" w:cs="Arial"/>
        </w:rPr>
      </w:pPr>
    </w:p>
    <w:p w14:paraId="748BB2C7" w14:textId="77777777" w:rsidR="00D50D76" w:rsidRPr="00D50D76" w:rsidRDefault="00D50D76" w:rsidP="003B2B43">
      <w:pPr>
        <w:pStyle w:val="ListParagraph"/>
        <w:ind w:left="0"/>
        <w:jc w:val="both"/>
        <w:rPr>
          <w:rFonts w:ascii="Arial" w:hAnsi="Arial" w:cs="Arial"/>
        </w:rPr>
      </w:pPr>
      <w:proofErr w:type="gramStart"/>
      <w:r w:rsidRPr="00D50D76">
        <w:rPr>
          <w:rFonts w:ascii="Arial" w:hAnsi="Arial" w:cs="Arial"/>
        </w:rPr>
        <w:t>Looking ahead, there</w:t>
      </w:r>
      <w:proofErr w:type="gramEnd"/>
      <w:r w:rsidRPr="00D50D76">
        <w:rPr>
          <w:rFonts w:ascii="Arial" w:hAnsi="Arial" w:cs="Arial"/>
        </w:rPr>
        <w:t xml:space="preserve"> are concerns about persistent domestically generated inflationary pressures in advanced economies, which could maintain inflation above central bank targets. Additionally, developments in the Middle East pose a risk of escalating energy prices and other traded goods, potentially reigniting inflation and affecting inflation expectations.</w:t>
      </w:r>
    </w:p>
    <w:p w14:paraId="2E56686A" w14:textId="77777777" w:rsidR="00D50D76" w:rsidRDefault="00D50D76" w:rsidP="003B2B43">
      <w:pPr>
        <w:pStyle w:val="ListParagraph"/>
        <w:ind w:left="0"/>
        <w:jc w:val="both"/>
        <w:rPr>
          <w:rFonts w:ascii="Arial" w:hAnsi="Arial" w:cs="Arial"/>
        </w:rPr>
      </w:pPr>
    </w:p>
    <w:p w14:paraId="43F0888B" w14:textId="77777777" w:rsidR="00D50D76" w:rsidRPr="00D50D76" w:rsidRDefault="00D50D76" w:rsidP="003B2B43">
      <w:pPr>
        <w:pStyle w:val="ListParagraph"/>
        <w:ind w:left="0"/>
        <w:jc w:val="both"/>
        <w:rPr>
          <w:rFonts w:ascii="Arial" w:hAnsi="Arial" w:cs="Arial"/>
        </w:rPr>
      </w:pPr>
      <w:r w:rsidRPr="00D50D76">
        <w:rPr>
          <w:rFonts w:ascii="Arial" w:hAnsi="Arial" w:cs="Arial"/>
        </w:rPr>
        <w:t>In Q3 of 2023, the UK's GDP exhibited stagnation. This outcome was in line with the forecasts presented in the November Monetary Policy Report and marked a notable shift from the positive growth experienced in the first half of the year. During the same quarter, the economy faced weakened domestic demand, evidenced by a 0.4% decrease in household consumption and significant reductions in business and housing investment, which declined by 4.2% and 1.3% respectively.</w:t>
      </w:r>
    </w:p>
    <w:p w14:paraId="7DB314C2" w14:textId="77777777" w:rsidR="00D50D76" w:rsidRDefault="00D50D76" w:rsidP="003B2B43">
      <w:pPr>
        <w:pStyle w:val="ListParagraph"/>
        <w:ind w:left="0"/>
        <w:jc w:val="both"/>
        <w:rPr>
          <w:rFonts w:ascii="Arial" w:hAnsi="Arial" w:cs="Arial"/>
        </w:rPr>
      </w:pPr>
    </w:p>
    <w:p w14:paraId="5A3055A1" w14:textId="77777777" w:rsidR="00D50D76" w:rsidRPr="00D50D76" w:rsidRDefault="00D50D76" w:rsidP="003B2B43">
      <w:pPr>
        <w:pStyle w:val="ListParagraph"/>
        <w:ind w:left="0"/>
        <w:jc w:val="both"/>
        <w:rPr>
          <w:rFonts w:ascii="Arial" w:hAnsi="Arial" w:cs="Arial"/>
        </w:rPr>
      </w:pPr>
      <w:r w:rsidRPr="00D50D76">
        <w:rPr>
          <w:rFonts w:ascii="Arial" w:hAnsi="Arial" w:cs="Arial"/>
        </w:rPr>
        <w:t xml:space="preserve">The UK labour market in late 2023 showed signs of loosening, a situation made more complicated by increased uncertainties around official labour market activity data from the Office for National Statistics (ONS). The ONS was expected to release updated Labour Force Survey (LFS) estimates in January 2024, accounting for higher net migration since 2021. Employment growth had slowed down as indicated by the HMRC PAYE Real Time Information measure, aligning with the projections </w:t>
      </w:r>
      <w:r w:rsidRPr="00D50D76">
        <w:rPr>
          <w:rFonts w:ascii="Arial" w:hAnsi="Arial" w:cs="Arial"/>
        </w:rPr>
        <w:lastRenderedPageBreak/>
        <w:t>of the November Monetary Policy Report. Contacts from the Bank’s Agents and surveys like the REC/KPMG Report on Jobs suggested a relative reduction in labour demand compared to supply over the past year, along with a continued easing in recruitment difficulties.</w:t>
      </w:r>
    </w:p>
    <w:p w14:paraId="0B51E4C6" w14:textId="77777777" w:rsidR="00D50D76" w:rsidRDefault="00D50D76" w:rsidP="003B2B43">
      <w:pPr>
        <w:pStyle w:val="ListParagraph"/>
        <w:ind w:left="0"/>
        <w:jc w:val="both"/>
        <w:rPr>
          <w:rFonts w:ascii="Arial" w:hAnsi="Arial" w:cs="Arial"/>
        </w:rPr>
      </w:pPr>
    </w:p>
    <w:p w14:paraId="5FC226E4" w14:textId="77777777" w:rsidR="00D50D76" w:rsidRPr="00D50D76" w:rsidRDefault="00D50D76" w:rsidP="003B2B43">
      <w:pPr>
        <w:pStyle w:val="ListParagraph"/>
        <w:ind w:left="0"/>
        <w:jc w:val="both"/>
        <w:rPr>
          <w:rFonts w:ascii="Arial" w:hAnsi="Arial" w:cs="Arial"/>
        </w:rPr>
      </w:pPr>
      <w:r w:rsidRPr="00D50D76">
        <w:rPr>
          <w:rFonts w:ascii="Arial" w:hAnsi="Arial" w:cs="Arial"/>
        </w:rPr>
        <w:t>CPI inflation dropped significantly from 6.7% in September to 4.6% in October, slightly below the forecast in the November Report. This decline was attributed to decreases in energy, food, and core goods price inflation, while services price inflation remained high. The reduction in the Ofgem energy price cap significantly lowered household energy bills. Core goods price inflation was projected to continue falling, reflecting easing global goods price inflation. However, services price inflation remained above overall CPI inflation at 6.6% in October, primarily influenced by components not typically indicative of long-term inflation trends. CPI inflation was expected to spike temporarily in January 2024 due to base effects but then decline closer to 4% in February.</w:t>
      </w:r>
    </w:p>
    <w:p w14:paraId="365AE40D" w14:textId="77777777" w:rsidR="00D50D76" w:rsidRDefault="00D50D76" w:rsidP="003B2B43">
      <w:pPr>
        <w:pStyle w:val="ListParagraph"/>
        <w:ind w:left="0"/>
        <w:jc w:val="both"/>
        <w:rPr>
          <w:rFonts w:ascii="Arial" w:hAnsi="Arial" w:cs="Arial"/>
        </w:rPr>
      </w:pPr>
    </w:p>
    <w:p w14:paraId="57EB9DCA" w14:textId="77777777" w:rsidR="00D50D76" w:rsidRDefault="00D50D76" w:rsidP="003B2B43">
      <w:pPr>
        <w:pStyle w:val="ListParagraph"/>
        <w:ind w:left="0"/>
        <w:jc w:val="both"/>
        <w:rPr>
          <w:rFonts w:ascii="Arial" w:hAnsi="Arial" w:cs="Arial"/>
        </w:rPr>
      </w:pPr>
    </w:p>
    <w:p w14:paraId="05112AC6" w14:textId="77777777" w:rsidR="00D50D76" w:rsidRDefault="00D50D76" w:rsidP="003B2B43">
      <w:pPr>
        <w:pStyle w:val="ListParagraph"/>
        <w:ind w:left="0"/>
        <w:jc w:val="both"/>
        <w:rPr>
          <w:rFonts w:ascii="Arial" w:hAnsi="Arial" w:cs="Arial"/>
        </w:rPr>
      </w:pPr>
    </w:p>
    <w:p w14:paraId="7EA29FFA" w14:textId="77777777" w:rsidR="00D50D76" w:rsidRDefault="00D50D76" w:rsidP="003B2B43">
      <w:pPr>
        <w:pStyle w:val="ListParagraph"/>
        <w:ind w:left="0"/>
        <w:jc w:val="both"/>
        <w:rPr>
          <w:rFonts w:ascii="Arial" w:hAnsi="Arial" w:cs="Arial"/>
        </w:rPr>
      </w:pPr>
    </w:p>
    <w:p w14:paraId="3FE046E9" w14:textId="77777777" w:rsidR="00D50D76" w:rsidRDefault="00D50D76" w:rsidP="003B2B43">
      <w:pPr>
        <w:pStyle w:val="ListParagraph"/>
        <w:ind w:left="0"/>
        <w:jc w:val="both"/>
        <w:rPr>
          <w:rFonts w:ascii="Arial" w:hAnsi="Arial" w:cs="Arial"/>
        </w:rPr>
      </w:pPr>
    </w:p>
    <w:p w14:paraId="1A0D33AF" w14:textId="77777777" w:rsidR="00D50D76" w:rsidRDefault="00D50D76" w:rsidP="003B2B43">
      <w:pPr>
        <w:pStyle w:val="ListParagraph"/>
        <w:ind w:left="0"/>
        <w:jc w:val="both"/>
        <w:rPr>
          <w:rFonts w:ascii="Arial" w:hAnsi="Arial" w:cs="Arial"/>
        </w:rPr>
      </w:pPr>
    </w:p>
    <w:p w14:paraId="07848EA7" w14:textId="77777777" w:rsidR="00D50D76" w:rsidRDefault="00D50D76" w:rsidP="003B2B43">
      <w:pPr>
        <w:pStyle w:val="ListParagraph"/>
        <w:ind w:left="0"/>
        <w:jc w:val="both"/>
        <w:rPr>
          <w:rFonts w:ascii="Arial" w:hAnsi="Arial" w:cs="Arial"/>
        </w:rPr>
      </w:pPr>
    </w:p>
    <w:p w14:paraId="03615A7D" w14:textId="77777777" w:rsidR="00D50D76" w:rsidRDefault="00D50D76" w:rsidP="003B2B43">
      <w:pPr>
        <w:pStyle w:val="ListParagraph"/>
        <w:ind w:left="0"/>
        <w:jc w:val="both"/>
        <w:rPr>
          <w:rFonts w:ascii="Arial" w:hAnsi="Arial" w:cs="Arial"/>
        </w:rPr>
      </w:pPr>
    </w:p>
    <w:p w14:paraId="48D91B44" w14:textId="77777777" w:rsidR="00D50D76" w:rsidRDefault="00D50D76" w:rsidP="003B2B43">
      <w:pPr>
        <w:pStyle w:val="ListParagraph"/>
        <w:ind w:left="0"/>
        <w:jc w:val="both"/>
        <w:rPr>
          <w:rFonts w:ascii="Arial" w:hAnsi="Arial" w:cs="Arial"/>
        </w:rPr>
      </w:pPr>
    </w:p>
    <w:p w14:paraId="4BF7DFD6" w14:textId="77777777" w:rsidR="00D50D76" w:rsidRDefault="00D50D76" w:rsidP="003B2B43">
      <w:pPr>
        <w:pStyle w:val="ListParagraph"/>
        <w:ind w:left="0"/>
        <w:jc w:val="both"/>
        <w:rPr>
          <w:rFonts w:ascii="Arial" w:hAnsi="Arial" w:cs="Arial"/>
        </w:rPr>
      </w:pPr>
    </w:p>
    <w:p w14:paraId="7F52F04D" w14:textId="77777777" w:rsidR="00D50D76" w:rsidRDefault="00D50D76" w:rsidP="003B2B43">
      <w:pPr>
        <w:pStyle w:val="ListParagraph"/>
        <w:ind w:left="0"/>
        <w:jc w:val="both"/>
        <w:rPr>
          <w:rFonts w:ascii="Arial" w:hAnsi="Arial" w:cs="Arial"/>
        </w:rPr>
      </w:pPr>
    </w:p>
    <w:p w14:paraId="2BD9B8D4" w14:textId="77777777" w:rsidR="00D50D76" w:rsidRDefault="00D50D76" w:rsidP="003B2B43">
      <w:pPr>
        <w:pStyle w:val="ListParagraph"/>
        <w:ind w:left="0"/>
        <w:jc w:val="both"/>
        <w:rPr>
          <w:rFonts w:ascii="Arial" w:hAnsi="Arial" w:cs="Arial"/>
        </w:rPr>
      </w:pPr>
    </w:p>
    <w:p w14:paraId="5A94646C" w14:textId="77777777" w:rsidR="00D50D76" w:rsidRDefault="00D50D76" w:rsidP="003B2B43">
      <w:pPr>
        <w:pStyle w:val="ListParagraph"/>
        <w:ind w:left="0"/>
        <w:jc w:val="both"/>
        <w:rPr>
          <w:rFonts w:ascii="Arial" w:hAnsi="Arial" w:cs="Arial"/>
        </w:rPr>
      </w:pPr>
    </w:p>
    <w:p w14:paraId="09DD610C" w14:textId="77777777" w:rsidR="00D50D76" w:rsidRDefault="00D50D76" w:rsidP="003B2B43">
      <w:pPr>
        <w:pStyle w:val="ListParagraph"/>
        <w:ind w:left="0"/>
        <w:jc w:val="both"/>
        <w:rPr>
          <w:rFonts w:ascii="Arial" w:hAnsi="Arial" w:cs="Arial"/>
        </w:rPr>
      </w:pPr>
    </w:p>
    <w:p w14:paraId="0CE0CCB9" w14:textId="77777777" w:rsidR="00D50D76" w:rsidRDefault="00D50D76" w:rsidP="003B2B43">
      <w:pPr>
        <w:pStyle w:val="ListParagraph"/>
        <w:ind w:left="0"/>
        <w:jc w:val="both"/>
        <w:rPr>
          <w:rFonts w:ascii="Arial" w:hAnsi="Arial" w:cs="Arial"/>
        </w:rPr>
      </w:pPr>
    </w:p>
    <w:p w14:paraId="271A9400" w14:textId="77777777" w:rsidR="00D50D76" w:rsidRDefault="00D50D76" w:rsidP="003B2B43">
      <w:pPr>
        <w:pStyle w:val="ListParagraph"/>
        <w:ind w:left="0"/>
        <w:jc w:val="both"/>
        <w:rPr>
          <w:rFonts w:ascii="Arial" w:hAnsi="Arial" w:cs="Arial"/>
        </w:rPr>
      </w:pPr>
    </w:p>
    <w:p w14:paraId="41AC7FB8" w14:textId="77777777" w:rsidR="00D50D76" w:rsidRDefault="00D50D76" w:rsidP="003B2B43">
      <w:pPr>
        <w:pStyle w:val="ListParagraph"/>
        <w:ind w:left="0"/>
        <w:jc w:val="both"/>
        <w:rPr>
          <w:rFonts w:ascii="Arial" w:hAnsi="Arial" w:cs="Arial"/>
        </w:rPr>
      </w:pPr>
    </w:p>
    <w:p w14:paraId="11AC86C5" w14:textId="77777777" w:rsidR="00D50D76" w:rsidRDefault="00D50D76" w:rsidP="003B2B43">
      <w:pPr>
        <w:pStyle w:val="ListParagraph"/>
        <w:ind w:left="0"/>
        <w:jc w:val="both"/>
        <w:rPr>
          <w:rFonts w:ascii="Arial" w:hAnsi="Arial" w:cs="Arial"/>
        </w:rPr>
      </w:pPr>
    </w:p>
    <w:p w14:paraId="22BAEDA3" w14:textId="77777777" w:rsidR="00D50D76" w:rsidRDefault="00D50D76" w:rsidP="003B2B43">
      <w:pPr>
        <w:pStyle w:val="ListParagraph"/>
        <w:ind w:left="0"/>
        <w:jc w:val="both"/>
        <w:rPr>
          <w:rFonts w:ascii="Arial" w:hAnsi="Arial" w:cs="Arial"/>
        </w:rPr>
      </w:pPr>
    </w:p>
    <w:p w14:paraId="783B5749" w14:textId="77777777" w:rsidR="00D50D76" w:rsidRPr="003B2B43" w:rsidRDefault="00D50D76" w:rsidP="003B2B43">
      <w:pPr>
        <w:pStyle w:val="ListParagraph"/>
        <w:ind w:left="0"/>
        <w:jc w:val="both"/>
        <w:rPr>
          <w:rFonts w:ascii="Arial" w:hAnsi="Arial" w:cs="Arial"/>
        </w:rPr>
      </w:pPr>
    </w:p>
    <w:sectPr w:rsidR="00D50D76" w:rsidRPr="003B2B43" w:rsidSect="0037284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537C" w14:textId="77777777" w:rsidR="00DC3F86" w:rsidRDefault="00DC3F86" w:rsidP="000445E6">
      <w:pPr>
        <w:spacing w:after="0" w:line="240" w:lineRule="auto"/>
      </w:pPr>
      <w:r>
        <w:separator/>
      </w:r>
    </w:p>
  </w:endnote>
  <w:endnote w:type="continuationSeparator" w:id="0">
    <w:p w14:paraId="6D7D1523" w14:textId="77777777" w:rsidR="00DC3F86" w:rsidRDefault="00DC3F86" w:rsidP="0004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24F5" w14:textId="77777777" w:rsidR="00EA768C" w:rsidRPr="000F18A5" w:rsidRDefault="00EA768C">
    <w:pPr>
      <w:pStyle w:val="Footer"/>
      <w:jc w:val="right"/>
      <w:rPr>
        <w:rFonts w:ascii="Trebuchet MS" w:hAnsi="Trebuchet MS"/>
      </w:rPr>
    </w:pPr>
    <w:r w:rsidRPr="000F18A5">
      <w:rPr>
        <w:rFonts w:ascii="Trebuchet MS" w:hAnsi="Trebuchet MS"/>
      </w:rPr>
      <w:fldChar w:fldCharType="begin"/>
    </w:r>
    <w:r w:rsidRPr="000F18A5">
      <w:rPr>
        <w:rFonts w:ascii="Trebuchet MS" w:hAnsi="Trebuchet MS"/>
      </w:rPr>
      <w:instrText xml:space="preserve"> PAGE   \* MERGEFORMAT </w:instrText>
    </w:r>
    <w:r w:rsidRPr="000F18A5">
      <w:rPr>
        <w:rFonts w:ascii="Trebuchet MS" w:hAnsi="Trebuchet MS"/>
      </w:rPr>
      <w:fldChar w:fldCharType="separate"/>
    </w:r>
    <w:r w:rsidR="004D41CF">
      <w:rPr>
        <w:rFonts w:ascii="Trebuchet MS" w:hAnsi="Trebuchet MS"/>
        <w:noProof/>
      </w:rPr>
      <w:t>32</w:t>
    </w:r>
    <w:r w:rsidRPr="000F18A5">
      <w:rPr>
        <w:rFonts w:ascii="Trebuchet MS" w:hAnsi="Trebuchet MS"/>
        <w:noProof/>
      </w:rPr>
      <w:fldChar w:fldCharType="end"/>
    </w:r>
  </w:p>
  <w:p w14:paraId="2B2EB554" w14:textId="77777777" w:rsidR="00EA768C" w:rsidRDefault="00EA7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B585" w14:textId="77777777" w:rsidR="00DC3F86" w:rsidRDefault="00DC3F86" w:rsidP="000445E6">
      <w:pPr>
        <w:spacing w:after="0" w:line="240" w:lineRule="auto"/>
      </w:pPr>
      <w:r>
        <w:separator/>
      </w:r>
    </w:p>
  </w:footnote>
  <w:footnote w:type="continuationSeparator" w:id="0">
    <w:p w14:paraId="59B1232B" w14:textId="77777777" w:rsidR="00DC3F86" w:rsidRDefault="00DC3F86" w:rsidP="00044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0AB"/>
    <w:multiLevelType w:val="hybridMultilevel"/>
    <w:tmpl w:val="12A822D2"/>
    <w:lvl w:ilvl="0" w:tplc="C49046C2">
      <w:start w:val="23"/>
      <w:numFmt w:val="bullet"/>
      <w:lvlText w:val="-"/>
      <w:lvlJc w:val="left"/>
      <w:pPr>
        <w:ind w:left="360" w:hanging="360"/>
      </w:pPr>
      <w:rPr>
        <w:rFonts w:ascii="Trebuchet MS" w:eastAsia="Calibri"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74FD6"/>
    <w:multiLevelType w:val="hybridMultilevel"/>
    <w:tmpl w:val="9800BDBA"/>
    <w:lvl w:ilvl="0" w:tplc="B00088C6">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 w15:restartNumberingAfterBreak="0">
    <w:nsid w:val="0DAA705C"/>
    <w:multiLevelType w:val="multilevel"/>
    <w:tmpl w:val="A8E60998"/>
    <w:lvl w:ilvl="0">
      <w:start w:val="1"/>
      <w:numFmt w:val="decimal"/>
      <w:pStyle w:val="NumberedAnnexParaCharChar"/>
      <w:lvlText w:val="%1."/>
      <w:lvlJc w:val="left"/>
      <w:rPr>
        <w:rFonts w:ascii="Arial" w:hAnsi="Arial" w:cs="Times New Roman" w:hint="default"/>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BD0481"/>
    <w:multiLevelType w:val="hybridMultilevel"/>
    <w:tmpl w:val="79BECDBA"/>
    <w:lvl w:ilvl="0" w:tplc="BBD2F9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DC1D05"/>
    <w:multiLevelType w:val="hybridMultilevel"/>
    <w:tmpl w:val="1322559E"/>
    <w:lvl w:ilvl="0" w:tplc="42FC52B2">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264049"/>
    <w:multiLevelType w:val="hybridMultilevel"/>
    <w:tmpl w:val="EBA82D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C65D17"/>
    <w:multiLevelType w:val="hybridMultilevel"/>
    <w:tmpl w:val="E3D609FA"/>
    <w:lvl w:ilvl="0" w:tplc="70BA02C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365C4"/>
    <w:multiLevelType w:val="hybridMultilevel"/>
    <w:tmpl w:val="106C5E88"/>
    <w:lvl w:ilvl="0" w:tplc="42FC52B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C5392"/>
    <w:multiLevelType w:val="hybridMultilevel"/>
    <w:tmpl w:val="EB604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A73229"/>
    <w:multiLevelType w:val="hybridMultilevel"/>
    <w:tmpl w:val="0C20A49A"/>
    <w:lvl w:ilvl="0" w:tplc="B0C645C8">
      <w:start w:val="5"/>
      <w:numFmt w:val="bullet"/>
      <w:lvlText w:val="•"/>
      <w:lvlJc w:val="left"/>
      <w:pPr>
        <w:ind w:left="1080" w:hanging="720"/>
      </w:pPr>
      <w:rPr>
        <w:rFonts w:ascii="Trebuchet MS" w:eastAsia="Calibri" w:hAnsi="Trebuchet MS" w:cs="Times New Roman" w:hint="default"/>
      </w:rPr>
    </w:lvl>
    <w:lvl w:ilvl="1" w:tplc="C49046C2">
      <w:start w:val="23"/>
      <w:numFmt w:val="bullet"/>
      <w:lvlText w:val="-"/>
      <w:lvlJc w:val="left"/>
      <w:pPr>
        <w:ind w:left="1440" w:hanging="360"/>
      </w:pPr>
      <w:rPr>
        <w:rFonts w:ascii="Trebuchet MS" w:eastAsia="Calibri"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B321E"/>
    <w:multiLevelType w:val="hybridMultilevel"/>
    <w:tmpl w:val="DCDEAACA"/>
    <w:lvl w:ilvl="0" w:tplc="42FC52B2">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A305A"/>
    <w:multiLevelType w:val="hybridMultilevel"/>
    <w:tmpl w:val="63D8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97995"/>
    <w:multiLevelType w:val="hybridMultilevel"/>
    <w:tmpl w:val="2828099A"/>
    <w:lvl w:ilvl="0" w:tplc="AD4A6BB2">
      <w:start w:val="5"/>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ED4C96"/>
    <w:multiLevelType w:val="hybridMultilevel"/>
    <w:tmpl w:val="58AE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73D98"/>
    <w:multiLevelType w:val="hybridMultilevel"/>
    <w:tmpl w:val="F94EA9E8"/>
    <w:lvl w:ilvl="0" w:tplc="A2B469B6">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F25AC3"/>
    <w:multiLevelType w:val="hybridMultilevel"/>
    <w:tmpl w:val="F85A1A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BD7AC0"/>
    <w:multiLevelType w:val="hybridMultilevel"/>
    <w:tmpl w:val="D876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B6F7E"/>
    <w:multiLevelType w:val="hybridMultilevel"/>
    <w:tmpl w:val="09D8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B13C2"/>
    <w:multiLevelType w:val="hybridMultilevel"/>
    <w:tmpl w:val="386C1430"/>
    <w:lvl w:ilvl="0" w:tplc="42FC52B2">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B90C69"/>
    <w:multiLevelType w:val="hybridMultilevel"/>
    <w:tmpl w:val="83C0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46E3A"/>
    <w:multiLevelType w:val="hybridMultilevel"/>
    <w:tmpl w:val="B052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BD2EBA"/>
    <w:multiLevelType w:val="hybridMultilevel"/>
    <w:tmpl w:val="84563DC6"/>
    <w:lvl w:ilvl="0" w:tplc="FFFFFFFF">
      <w:start w:val="1"/>
      <w:numFmt w:val="bullet"/>
      <w:lvlText w:val="•"/>
      <w:lvlJc w:val="left"/>
      <w:pPr>
        <w:tabs>
          <w:tab w:val="num" w:pos="720"/>
        </w:tabs>
        <w:ind w:left="720" w:hanging="360"/>
      </w:pPr>
      <w:rPr>
        <w:rFonts w:ascii="Arial" w:hAnsi="Arial" w:hint="default"/>
      </w:rPr>
    </w:lvl>
    <w:lvl w:ilvl="1" w:tplc="688AF83C" w:tentative="1">
      <w:start w:val="1"/>
      <w:numFmt w:val="bullet"/>
      <w:lvlText w:val="•"/>
      <w:lvlJc w:val="left"/>
      <w:pPr>
        <w:tabs>
          <w:tab w:val="num" w:pos="1440"/>
        </w:tabs>
        <w:ind w:left="1440" w:hanging="360"/>
      </w:pPr>
      <w:rPr>
        <w:rFonts w:ascii="Arial" w:hAnsi="Arial" w:hint="default"/>
      </w:rPr>
    </w:lvl>
    <w:lvl w:ilvl="2" w:tplc="C4FCACB8" w:tentative="1">
      <w:start w:val="1"/>
      <w:numFmt w:val="bullet"/>
      <w:lvlText w:val="•"/>
      <w:lvlJc w:val="left"/>
      <w:pPr>
        <w:tabs>
          <w:tab w:val="num" w:pos="2160"/>
        </w:tabs>
        <w:ind w:left="2160" w:hanging="360"/>
      </w:pPr>
      <w:rPr>
        <w:rFonts w:ascii="Arial" w:hAnsi="Arial" w:hint="default"/>
      </w:rPr>
    </w:lvl>
    <w:lvl w:ilvl="3" w:tplc="B27CB530" w:tentative="1">
      <w:start w:val="1"/>
      <w:numFmt w:val="bullet"/>
      <w:lvlText w:val="•"/>
      <w:lvlJc w:val="left"/>
      <w:pPr>
        <w:tabs>
          <w:tab w:val="num" w:pos="2880"/>
        </w:tabs>
        <w:ind w:left="2880" w:hanging="360"/>
      </w:pPr>
      <w:rPr>
        <w:rFonts w:ascii="Arial" w:hAnsi="Arial" w:hint="default"/>
      </w:rPr>
    </w:lvl>
    <w:lvl w:ilvl="4" w:tplc="A492250C" w:tentative="1">
      <w:start w:val="1"/>
      <w:numFmt w:val="bullet"/>
      <w:lvlText w:val="•"/>
      <w:lvlJc w:val="left"/>
      <w:pPr>
        <w:tabs>
          <w:tab w:val="num" w:pos="3600"/>
        </w:tabs>
        <w:ind w:left="3600" w:hanging="360"/>
      </w:pPr>
      <w:rPr>
        <w:rFonts w:ascii="Arial" w:hAnsi="Arial" w:hint="default"/>
      </w:rPr>
    </w:lvl>
    <w:lvl w:ilvl="5" w:tplc="8DD6D45A" w:tentative="1">
      <w:start w:val="1"/>
      <w:numFmt w:val="bullet"/>
      <w:lvlText w:val="•"/>
      <w:lvlJc w:val="left"/>
      <w:pPr>
        <w:tabs>
          <w:tab w:val="num" w:pos="4320"/>
        </w:tabs>
        <w:ind w:left="4320" w:hanging="360"/>
      </w:pPr>
      <w:rPr>
        <w:rFonts w:ascii="Arial" w:hAnsi="Arial" w:hint="default"/>
      </w:rPr>
    </w:lvl>
    <w:lvl w:ilvl="6" w:tplc="FBC41C54" w:tentative="1">
      <w:start w:val="1"/>
      <w:numFmt w:val="bullet"/>
      <w:lvlText w:val="•"/>
      <w:lvlJc w:val="left"/>
      <w:pPr>
        <w:tabs>
          <w:tab w:val="num" w:pos="5040"/>
        </w:tabs>
        <w:ind w:left="5040" w:hanging="360"/>
      </w:pPr>
      <w:rPr>
        <w:rFonts w:ascii="Arial" w:hAnsi="Arial" w:hint="default"/>
      </w:rPr>
    </w:lvl>
    <w:lvl w:ilvl="7" w:tplc="18EA534A" w:tentative="1">
      <w:start w:val="1"/>
      <w:numFmt w:val="bullet"/>
      <w:lvlText w:val="•"/>
      <w:lvlJc w:val="left"/>
      <w:pPr>
        <w:tabs>
          <w:tab w:val="num" w:pos="5760"/>
        </w:tabs>
        <w:ind w:left="5760" w:hanging="360"/>
      </w:pPr>
      <w:rPr>
        <w:rFonts w:ascii="Arial" w:hAnsi="Arial" w:hint="default"/>
      </w:rPr>
    </w:lvl>
    <w:lvl w:ilvl="8" w:tplc="BD341C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344C0A"/>
    <w:multiLevelType w:val="hybridMultilevel"/>
    <w:tmpl w:val="4A7A78D4"/>
    <w:lvl w:ilvl="0" w:tplc="42FC52B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4E2873"/>
    <w:multiLevelType w:val="hybridMultilevel"/>
    <w:tmpl w:val="DCA0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5163C2"/>
    <w:multiLevelType w:val="hybridMultilevel"/>
    <w:tmpl w:val="63064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3C1B60"/>
    <w:multiLevelType w:val="hybridMultilevel"/>
    <w:tmpl w:val="ADD41CAA"/>
    <w:lvl w:ilvl="0" w:tplc="0809000F">
      <w:start w:val="1"/>
      <w:numFmt w:val="decimal"/>
      <w:lvlText w:val="%1."/>
      <w:lvlJc w:val="left"/>
      <w:pPr>
        <w:ind w:left="747" w:hanging="360"/>
      </w:pPr>
    </w:lvl>
    <w:lvl w:ilvl="1" w:tplc="08090019" w:tentative="1">
      <w:start w:val="1"/>
      <w:numFmt w:val="lowerLetter"/>
      <w:lvlText w:val="%2."/>
      <w:lvlJc w:val="left"/>
      <w:pPr>
        <w:ind w:left="1467" w:hanging="360"/>
      </w:pPr>
    </w:lvl>
    <w:lvl w:ilvl="2" w:tplc="0809001B" w:tentative="1">
      <w:start w:val="1"/>
      <w:numFmt w:val="lowerRoman"/>
      <w:lvlText w:val="%3."/>
      <w:lvlJc w:val="right"/>
      <w:pPr>
        <w:ind w:left="2187" w:hanging="180"/>
      </w:pPr>
    </w:lvl>
    <w:lvl w:ilvl="3" w:tplc="0809000F" w:tentative="1">
      <w:start w:val="1"/>
      <w:numFmt w:val="decimal"/>
      <w:lvlText w:val="%4."/>
      <w:lvlJc w:val="left"/>
      <w:pPr>
        <w:ind w:left="2907" w:hanging="360"/>
      </w:pPr>
    </w:lvl>
    <w:lvl w:ilvl="4" w:tplc="08090019" w:tentative="1">
      <w:start w:val="1"/>
      <w:numFmt w:val="lowerLetter"/>
      <w:lvlText w:val="%5."/>
      <w:lvlJc w:val="left"/>
      <w:pPr>
        <w:ind w:left="3627" w:hanging="360"/>
      </w:pPr>
    </w:lvl>
    <w:lvl w:ilvl="5" w:tplc="0809001B" w:tentative="1">
      <w:start w:val="1"/>
      <w:numFmt w:val="lowerRoman"/>
      <w:lvlText w:val="%6."/>
      <w:lvlJc w:val="right"/>
      <w:pPr>
        <w:ind w:left="4347" w:hanging="180"/>
      </w:pPr>
    </w:lvl>
    <w:lvl w:ilvl="6" w:tplc="0809000F" w:tentative="1">
      <w:start w:val="1"/>
      <w:numFmt w:val="decimal"/>
      <w:lvlText w:val="%7."/>
      <w:lvlJc w:val="left"/>
      <w:pPr>
        <w:ind w:left="5067" w:hanging="360"/>
      </w:pPr>
    </w:lvl>
    <w:lvl w:ilvl="7" w:tplc="08090019" w:tentative="1">
      <w:start w:val="1"/>
      <w:numFmt w:val="lowerLetter"/>
      <w:lvlText w:val="%8."/>
      <w:lvlJc w:val="left"/>
      <w:pPr>
        <w:ind w:left="5787" w:hanging="360"/>
      </w:pPr>
    </w:lvl>
    <w:lvl w:ilvl="8" w:tplc="0809001B" w:tentative="1">
      <w:start w:val="1"/>
      <w:numFmt w:val="lowerRoman"/>
      <w:lvlText w:val="%9."/>
      <w:lvlJc w:val="right"/>
      <w:pPr>
        <w:ind w:left="6507" w:hanging="180"/>
      </w:pPr>
    </w:lvl>
  </w:abstractNum>
  <w:abstractNum w:abstractNumId="26" w15:restartNumberingAfterBreak="0">
    <w:nsid w:val="56140F06"/>
    <w:multiLevelType w:val="hybridMultilevel"/>
    <w:tmpl w:val="7CC62990"/>
    <w:lvl w:ilvl="0" w:tplc="42FC52B2">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9A0520"/>
    <w:multiLevelType w:val="hybridMultilevel"/>
    <w:tmpl w:val="E938AFFE"/>
    <w:lvl w:ilvl="0" w:tplc="52A8586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41A8B"/>
    <w:multiLevelType w:val="hybridMultilevel"/>
    <w:tmpl w:val="FD728936"/>
    <w:lvl w:ilvl="0" w:tplc="A2B469B6">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E2C54"/>
    <w:multiLevelType w:val="hybridMultilevel"/>
    <w:tmpl w:val="A48C000C"/>
    <w:lvl w:ilvl="0" w:tplc="0809000F">
      <w:start w:val="1"/>
      <w:numFmt w:val="decimal"/>
      <w:lvlText w:val="%1."/>
      <w:lvlJc w:val="left"/>
      <w:pPr>
        <w:ind w:left="747" w:hanging="360"/>
      </w:pPr>
    </w:lvl>
    <w:lvl w:ilvl="1" w:tplc="08090019" w:tentative="1">
      <w:start w:val="1"/>
      <w:numFmt w:val="lowerLetter"/>
      <w:lvlText w:val="%2."/>
      <w:lvlJc w:val="left"/>
      <w:pPr>
        <w:ind w:left="1467" w:hanging="360"/>
      </w:pPr>
    </w:lvl>
    <w:lvl w:ilvl="2" w:tplc="0809001B" w:tentative="1">
      <w:start w:val="1"/>
      <w:numFmt w:val="lowerRoman"/>
      <w:lvlText w:val="%3."/>
      <w:lvlJc w:val="right"/>
      <w:pPr>
        <w:ind w:left="2187" w:hanging="180"/>
      </w:pPr>
    </w:lvl>
    <w:lvl w:ilvl="3" w:tplc="0809000F" w:tentative="1">
      <w:start w:val="1"/>
      <w:numFmt w:val="decimal"/>
      <w:lvlText w:val="%4."/>
      <w:lvlJc w:val="left"/>
      <w:pPr>
        <w:ind w:left="2907" w:hanging="360"/>
      </w:pPr>
    </w:lvl>
    <w:lvl w:ilvl="4" w:tplc="08090019" w:tentative="1">
      <w:start w:val="1"/>
      <w:numFmt w:val="lowerLetter"/>
      <w:lvlText w:val="%5."/>
      <w:lvlJc w:val="left"/>
      <w:pPr>
        <w:ind w:left="3627" w:hanging="360"/>
      </w:pPr>
    </w:lvl>
    <w:lvl w:ilvl="5" w:tplc="0809001B" w:tentative="1">
      <w:start w:val="1"/>
      <w:numFmt w:val="lowerRoman"/>
      <w:lvlText w:val="%6."/>
      <w:lvlJc w:val="right"/>
      <w:pPr>
        <w:ind w:left="4347" w:hanging="180"/>
      </w:pPr>
    </w:lvl>
    <w:lvl w:ilvl="6" w:tplc="0809000F" w:tentative="1">
      <w:start w:val="1"/>
      <w:numFmt w:val="decimal"/>
      <w:lvlText w:val="%7."/>
      <w:lvlJc w:val="left"/>
      <w:pPr>
        <w:ind w:left="5067" w:hanging="360"/>
      </w:pPr>
    </w:lvl>
    <w:lvl w:ilvl="7" w:tplc="08090019" w:tentative="1">
      <w:start w:val="1"/>
      <w:numFmt w:val="lowerLetter"/>
      <w:lvlText w:val="%8."/>
      <w:lvlJc w:val="left"/>
      <w:pPr>
        <w:ind w:left="5787" w:hanging="360"/>
      </w:pPr>
    </w:lvl>
    <w:lvl w:ilvl="8" w:tplc="0809001B" w:tentative="1">
      <w:start w:val="1"/>
      <w:numFmt w:val="lowerRoman"/>
      <w:lvlText w:val="%9."/>
      <w:lvlJc w:val="right"/>
      <w:pPr>
        <w:ind w:left="6507" w:hanging="180"/>
      </w:pPr>
    </w:lvl>
  </w:abstractNum>
  <w:abstractNum w:abstractNumId="30" w15:restartNumberingAfterBreak="0">
    <w:nsid w:val="66547572"/>
    <w:multiLevelType w:val="hybridMultilevel"/>
    <w:tmpl w:val="ABD8E8D2"/>
    <w:lvl w:ilvl="0" w:tplc="42FC52B2">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B63DF7"/>
    <w:multiLevelType w:val="hybridMultilevel"/>
    <w:tmpl w:val="C6344DE6"/>
    <w:lvl w:ilvl="0" w:tplc="08090001">
      <w:start w:val="1"/>
      <w:numFmt w:val="bullet"/>
      <w:lvlText w:val=""/>
      <w:lvlJc w:val="left"/>
      <w:pPr>
        <w:ind w:left="720" w:hanging="360"/>
      </w:pPr>
      <w:rPr>
        <w:rFonts w:ascii="Symbol" w:hAnsi="Symbol" w:hint="default"/>
      </w:rPr>
    </w:lvl>
    <w:lvl w:ilvl="1" w:tplc="D44ADC9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050E5"/>
    <w:multiLevelType w:val="hybridMultilevel"/>
    <w:tmpl w:val="AE3A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C529E"/>
    <w:multiLevelType w:val="hybridMultilevel"/>
    <w:tmpl w:val="73C4AD68"/>
    <w:lvl w:ilvl="0" w:tplc="EDDEEB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61161"/>
    <w:multiLevelType w:val="hybridMultilevel"/>
    <w:tmpl w:val="B08C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62636"/>
    <w:multiLevelType w:val="hybridMultilevel"/>
    <w:tmpl w:val="DCFEAF46"/>
    <w:lvl w:ilvl="0" w:tplc="A28C49E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535D1"/>
    <w:multiLevelType w:val="hybridMultilevel"/>
    <w:tmpl w:val="9A9C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D16FE"/>
    <w:multiLevelType w:val="hybridMultilevel"/>
    <w:tmpl w:val="7B3AE082"/>
    <w:lvl w:ilvl="0" w:tplc="AD4A6BB2">
      <w:start w:val="5"/>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33FD6"/>
    <w:multiLevelType w:val="hybridMultilevel"/>
    <w:tmpl w:val="4E4AFF2E"/>
    <w:lvl w:ilvl="0" w:tplc="B0C645C8">
      <w:start w:val="5"/>
      <w:numFmt w:val="bullet"/>
      <w:lvlText w:val="•"/>
      <w:lvlJc w:val="left"/>
      <w:pPr>
        <w:ind w:left="1080" w:hanging="72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7C223A"/>
    <w:multiLevelType w:val="hybridMultilevel"/>
    <w:tmpl w:val="DEACF932"/>
    <w:lvl w:ilvl="0" w:tplc="42FC52B2">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B50CA8"/>
    <w:multiLevelType w:val="hybridMultilevel"/>
    <w:tmpl w:val="ECF4EAE6"/>
    <w:lvl w:ilvl="0" w:tplc="42FC52B2">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867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3202817">
    <w:abstractNumId w:val="38"/>
  </w:num>
  <w:num w:numId="3" w16cid:durableId="602690540">
    <w:abstractNumId w:val="31"/>
  </w:num>
  <w:num w:numId="4" w16cid:durableId="1417440027">
    <w:abstractNumId w:val="27"/>
  </w:num>
  <w:num w:numId="5" w16cid:durableId="893126038">
    <w:abstractNumId w:val="35"/>
  </w:num>
  <w:num w:numId="6" w16cid:durableId="231934647">
    <w:abstractNumId w:val="0"/>
  </w:num>
  <w:num w:numId="7" w16cid:durableId="888956232">
    <w:abstractNumId w:val="19"/>
  </w:num>
  <w:num w:numId="8" w16cid:durableId="1375885934">
    <w:abstractNumId w:val="9"/>
  </w:num>
  <w:num w:numId="9" w16cid:durableId="2123574357">
    <w:abstractNumId w:val="29"/>
  </w:num>
  <w:num w:numId="10" w16cid:durableId="120462211">
    <w:abstractNumId w:val="16"/>
  </w:num>
  <w:num w:numId="11" w16cid:durableId="871454431">
    <w:abstractNumId w:val="36"/>
  </w:num>
  <w:num w:numId="12" w16cid:durableId="2089233570">
    <w:abstractNumId w:val="20"/>
  </w:num>
  <w:num w:numId="13" w16cid:durableId="2056076918">
    <w:abstractNumId w:val="34"/>
  </w:num>
  <w:num w:numId="14" w16cid:durableId="1659455045">
    <w:abstractNumId w:val="13"/>
  </w:num>
  <w:num w:numId="15" w16cid:durableId="165361562">
    <w:abstractNumId w:val="1"/>
  </w:num>
  <w:num w:numId="16" w16cid:durableId="1240823946">
    <w:abstractNumId w:val="32"/>
  </w:num>
  <w:num w:numId="17" w16cid:durableId="456415051">
    <w:abstractNumId w:val="23"/>
  </w:num>
  <w:num w:numId="18" w16cid:durableId="500630599">
    <w:abstractNumId w:val="25"/>
  </w:num>
  <w:num w:numId="19" w16cid:durableId="1089692482">
    <w:abstractNumId w:val="8"/>
  </w:num>
  <w:num w:numId="20" w16cid:durableId="361787815">
    <w:abstractNumId w:val="8"/>
  </w:num>
  <w:num w:numId="21" w16cid:durableId="1446577769">
    <w:abstractNumId w:val="15"/>
  </w:num>
  <w:num w:numId="22" w16cid:durableId="530414811">
    <w:abstractNumId w:val="6"/>
  </w:num>
  <w:num w:numId="23" w16cid:durableId="1009914103">
    <w:abstractNumId w:val="12"/>
  </w:num>
  <w:num w:numId="24" w16cid:durableId="2082830845">
    <w:abstractNumId w:val="3"/>
  </w:num>
  <w:num w:numId="25" w16cid:durableId="793911523">
    <w:abstractNumId w:val="37"/>
  </w:num>
  <w:num w:numId="26" w16cid:durableId="1657875953">
    <w:abstractNumId w:val="14"/>
  </w:num>
  <w:num w:numId="27" w16cid:durableId="562447228">
    <w:abstractNumId w:val="28"/>
  </w:num>
  <w:num w:numId="28" w16cid:durableId="477653038">
    <w:abstractNumId w:val="17"/>
  </w:num>
  <w:num w:numId="29" w16cid:durableId="1769421805">
    <w:abstractNumId w:val="5"/>
  </w:num>
  <w:num w:numId="30" w16cid:durableId="630943254">
    <w:abstractNumId w:val="11"/>
  </w:num>
  <w:num w:numId="31" w16cid:durableId="442268705">
    <w:abstractNumId w:val="7"/>
  </w:num>
  <w:num w:numId="32" w16cid:durableId="1125198197">
    <w:abstractNumId w:val="26"/>
  </w:num>
  <w:num w:numId="33" w16cid:durableId="986401079">
    <w:abstractNumId w:val="40"/>
  </w:num>
  <w:num w:numId="34" w16cid:durableId="417095247">
    <w:abstractNumId w:val="10"/>
  </w:num>
  <w:num w:numId="35" w16cid:durableId="1124616929">
    <w:abstractNumId w:val="4"/>
  </w:num>
  <w:num w:numId="36" w16cid:durableId="1853185745">
    <w:abstractNumId w:val="30"/>
  </w:num>
  <w:num w:numId="37" w16cid:durableId="963730492">
    <w:abstractNumId w:val="18"/>
  </w:num>
  <w:num w:numId="38" w16cid:durableId="999120198">
    <w:abstractNumId w:val="39"/>
  </w:num>
  <w:num w:numId="39" w16cid:durableId="308369018">
    <w:abstractNumId w:val="24"/>
  </w:num>
  <w:num w:numId="40" w16cid:durableId="1393431358">
    <w:abstractNumId w:val="33"/>
  </w:num>
  <w:num w:numId="41" w16cid:durableId="1544753811">
    <w:abstractNumId w:val="21"/>
  </w:num>
  <w:num w:numId="42" w16cid:durableId="112284507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53"/>
    <w:rsid w:val="000013C8"/>
    <w:rsid w:val="0000199E"/>
    <w:rsid w:val="00002082"/>
    <w:rsid w:val="000022C5"/>
    <w:rsid w:val="00002599"/>
    <w:rsid w:val="00007074"/>
    <w:rsid w:val="0000758A"/>
    <w:rsid w:val="00007F5A"/>
    <w:rsid w:val="0001053F"/>
    <w:rsid w:val="00012AE0"/>
    <w:rsid w:val="000168CC"/>
    <w:rsid w:val="00017658"/>
    <w:rsid w:val="000179F2"/>
    <w:rsid w:val="00017EAF"/>
    <w:rsid w:val="00020331"/>
    <w:rsid w:val="00023CC9"/>
    <w:rsid w:val="0002411A"/>
    <w:rsid w:val="00026248"/>
    <w:rsid w:val="00027119"/>
    <w:rsid w:val="000300AF"/>
    <w:rsid w:val="000314E3"/>
    <w:rsid w:val="00031B49"/>
    <w:rsid w:val="00032328"/>
    <w:rsid w:val="00032B94"/>
    <w:rsid w:val="00032BD9"/>
    <w:rsid w:val="000360D6"/>
    <w:rsid w:val="00036FBC"/>
    <w:rsid w:val="0004056E"/>
    <w:rsid w:val="000411FB"/>
    <w:rsid w:val="00042D83"/>
    <w:rsid w:val="00043839"/>
    <w:rsid w:val="000445E6"/>
    <w:rsid w:val="00045974"/>
    <w:rsid w:val="00046E24"/>
    <w:rsid w:val="0005032F"/>
    <w:rsid w:val="00050647"/>
    <w:rsid w:val="000514EF"/>
    <w:rsid w:val="00056956"/>
    <w:rsid w:val="00056EFC"/>
    <w:rsid w:val="0006104F"/>
    <w:rsid w:val="0006121D"/>
    <w:rsid w:val="00061376"/>
    <w:rsid w:val="00061569"/>
    <w:rsid w:val="00062DAA"/>
    <w:rsid w:val="00063999"/>
    <w:rsid w:val="00063F3A"/>
    <w:rsid w:val="000646F7"/>
    <w:rsid w:val="00066A35"/>
    <w:rsid w:val="0006701E"/>
    <w:rsid w:val="00067EF7"/>
    <w:rsid w:val="000717F9"/>
    <w:rsid w:val="00077010"/>
    <w:rsid w:val="000802CA"/>
    <w:rsid w:val="0008102D"/>
    <w:rsid w:val="000824E8"/>
    <w:rsid w:val="00084048"/>
    <w:rsid w:val="0008503B"/>
    <w:rsid w:val="000853E8"/>
    <w:rsid w:val="0008572F"/>
    <w:rsid w:val="00086C54"/>
    <w:rsid w:val="00086DE8"/>
    <w:rsid w:val="0009114B"/>
    <w:rsid w:val="00091B6F"/>
    <w:rsid w:val="00092357"/>
    <w:rsid w:val="000934E6"/>
    <w:rsid w:val="0009444F"/>
    <w:rsid w:val="0009533C"/>
    <w:rsid w:val="000969A5"/>
    <w:rsid w:val="00096BCF"/>
    <w:rsid w:val="00096F47"/>
    <w:rsid w:val="00097B87"/>
    <w:rsid w:val="000A0C53"/>
    <w:rsid w:val="000A13BB"/>
    <w:rsid w:val="000A1914"/>
    <w:rsid w:val="000A1AC7"/>
    <w:rsid w:val="000A2E12"/>
    <w:rsid w:val="000A3A91"/>
    <w:rsid w:val="000A59FD"/>
    <w:rsid w:val="000A5E53"/>
    <w:rsid w:val="000A6D41"/>
    <w:rsid w:val="000A6F78"/>
    <w:rsid w:val="000A7A7A"/>
    <w:rsid w:val="000A7EF6"/>
    <w:rsid w:val="000B0FF4"/>
    <w:rsid w:val="000B1CC9"/>
    <w:rsid w:val="000B2F8B"/>
    <w:rsid w:val="000B3749"/>
    <w:rsid w:val="000B39CE"/>
    <w:rsid w:val="000B5B6A"/>
    <w:rsid w:val="000B6518"/>
    <w:rsid w:val="000B6FB1"/>
    <w:rsid w:val="000C04C7"/>
    <w:rsid w:val="000C15BD"/>
    <w:rsid w:val="000C34C9"/>
    <w:rsid w:val="000C44D1"/>
    <w:rsid w:val="000C499A"/>
    <w:rsid w:val="000C5377"/>
    <w:rsid w:val="000C58DE"/>
    <w:rsid w:val="000C6E8F"/>
    <w:rsid w:val="000C7544"/>
    <w:rsid w:val="000D0369"/>
    <w:rsid w:val="000D056B"/>
    <w:rsid w:val="000D0833"/>
    <w:rsid w:val="000D224B"/>
    <w:rsid w:val="000D2F24"/>
    <w:rsid w:val="000D4B54"/>
    <w:rsid w:val="000D5FE6"/>
    <w:rsid w:val="000D6E92"/>
    <w:rsid w:val="000E180B"/>
    <w:rsid w:val="000E2131"/>
    <w:rsid w:val="000E23B7"/>
    <w:rsid w:val="000E3799"/>
    <w:rsid w:val="000E3995"/>
    <w:rsid w:val="000E4C02"/>
    <w:rsid w:val="000E52D7"/>
    <w:rsid w:val="000E6916"/>
    <w:rsid w:val="000E6B42"/>
    <w:rsid w:val="000F02A5"/>
    <w:rsid w:val="000F18A5"/>
    <w:rsid w:val="000F2E29"/>
    <w:rsid w:val="000F316A"/>
    <w:rsid w:val="000F409F"/>
    <w:rsid w:val="000F696B"/>
    <w:rsid w:val="000F75D5"/>
    <w:rsid w:val="00100292"/>
    <w:rsid w:val="00104F2D"/>
    <w:rsid w:val="00105873"/>
    <w:rsid w:val="00105E7D"/>
    <w:rsid w:val="00105EB6"/>
    <w:rsid w:val="001102CB"/>
    <w:rsid w:val="00111375"/>
    <w:rsid w:val="00112D37"/>
    <w:rsid w:val="00113864"/>
    <w:rsid w:val="00113A93"/>
    <w:rsid w:val="001157A4"/>
    <w:rsid w:val="00120AD2"/>
    <w:rsid w:val="00121C31"/>
    <w:rsid w:val="001220F6"/>
    <w:rsid w:val="00122824"/>
    <w:rsid w:val="001232C1"/>
    <w:rsid w:val="00124824"/>
    <w:rsid w:val="00124C08"/>
    <w:rsid w:val="00125F3C"/>
    <w:rsid w:val="001272AE"/>
    <w:rsid w:val="00130EA5"/>
    <w:rsid w:val="00132091"/>
    <w:rsid w:val="00135F2B"/>
    <w:rsid w:val="00137997"/>
    <w:rsid w:val="00140952"/>
    <w:rsid w:val="0014264D"/>
    <w:rsid w:val="00143D89"/>
    <w:rsid w:val="00143E5E"/>
    <w:rsid w:val="00144FF6"/>
    <w:rsid w:val="00145828"/>
    <w:rsid w:val="00145863"/>
    <w:rsid w:val="00145F24"/>
    <w:rsid w:val="00146B66"/>
    <w:rsid w:val="00147015"/>
    <w:rsid w:val="00147186"/>
    <w:rsid w:val="001536EA"/>
    <w:rsid w:val="001538F1"/>
    <w:rsid w:val="00153A32"/>
    <w:rsid w:val="00154E08"/>
    <w:rsid w:val="00155E92"/>
    <w:rsid w:val="001560A9"/>
    <w:rsid w:val="00156771"/>
    <w:rsid w:val="00160C8A"/>
    <w:rsid w:val="0016103A"/>
    <w:rsid w:val="00161763"/>
    <w:rsid w:val="00161D65"/>
    <w:rsid w:val="00163886"/>
    <w:rsid w:val="00164649"/>
    <w:rsid w:val="00164A64"/>
    <w:rsid w:val="00165B26"/>
    <w:rsid w:val="00165EFB"/>
    <w:rsid w:val="0016603C"/>
    <w:rsid w:val="001676D6"/>
    <w:rsid w:val="0017069F"/>
    <w:rsid w:val="00172EE7"/>
    <w:rsid w:val="00174A71"/>
    <w:rsid w:val="0017508D"/>
    <w:rsid w:val="001756FE"/>
    <w:rsid w:val="00175ED9"/>
    <w:rsid w:val="001763F2"/>
    <w:rsid w:val="00176A0D"/>
    <w:rsid w:val="00177B80"/>
    <w:rsid w:val="001834CA"/>
    <w:rsid w:val="0018469A"/>
    <w:rsid w:val="0018542A"/>
    <w:rsid w:val="00185C19"/>
    <w:rsid w:val="0019389C"/>
    <w:rsid w:val="001940EE"/>
    <w:rsid w:val="00196C83"/>
    <w:rsid w:val="001A1C64"/>
    <w:rsid w:val="001A2A85"/>
    <w:rsid w:val="001A4B7E"/>
    <w:rsid w:val="001A6F7D"/>
    <w:rsid w:val="001B0266"/>
    <w:rsid w:val="001B2473"/>
    <w:rsid w:val="001B337B"/>
    <w:rsid w:val="001B3976"/>
    <w:rsid w:val="001B5446"/>
    <w:rsid w:val="001C08ED"/>
    <w:rsid w:val="001C1E73"/>
    <w:rsid w:val="001C2F0C"/>
    <w:rsid w:val="001C650C"/>
    <w:rsid w:val="001D1A14"/>
    <w:rsid w:val="001D22F6"/>
    <w:rsid w:val="001D4623"/>
    <w:rsid w:val="001D4C40"/>
    <w:rsid w:val="001D5390"/>
    <w:rsid w:val="001D75FA"/>
    <w:rsid w:val="001D78FB"/>
    <w:rsid w:val="001E121A"/>
    <w:rsid w:val="001E27FA"/>
    <w:rsid w:val="001E4240"/>
    <w:rsid w:val="001E523B"/>
    <w:rsid w:val="001E52B8"/>
    <w:rsid w:val="001E6335"/>
    <w:rsid w:val="001E7296"/>
    <w:rsid w:val="001E7E3C"/>
    <w:rsid w:val="001F1C01"/>
    <w:rsid w:val="001F5A24"/>
    <w:rsid w:val="001F6461"/>
    <w:rsid w:val="00202E2E"/>
    <w:rsid w:val="00203BD4"/>
    <w:rsid w:val="002110A3"/>
    <w:rsid w:val="00211CAA"/>
    <w:rsid w:val="00211DBB"/>
    <w:rsid w:val="00212100"/>
    <w:rsid w:val="002127F7"/>
    <w:rsid w:val="0021387E"/>
    <w:rsid w:val="00213B39"/>
    <w:rsid w:val="0021434B"/>
    <w:rsid w:val="00214A2F"/>
    <w:rsid w:val="00216616"/>
    <w:rsid w:val="002176A9"/>
    <w:rsid w:val="00220C71"/>
    <w:rsid w:val="00220C8C"/>
    <w:rsid w:val="002220CC"/>
    <w:rsid w:val="00223262"/>
    <w:rsid w:val="00223482"/>
    <w:rsid w:val="0022374C"/>
    <w:rsid w:val="00223928"/>
    <w:rsid w:val="00224278"/>
    <w:rsid w:val="00224CF9"/>
    <w:rsid w:val="0022538A"/>
    <w:rsid w:val="00225D04"/>
    <w:rsid w:val="00225E5C"/>
    <w:rsid w:val="00226DE1"/>
    <w:rsid w:val="00226F70"/>
    <w:rsid w:val="002271C3"/>
    <w:rsid w:val="002277B0"/>
    <w:rsid w:val="002325CC"/>
    <w:rsid w:val="00232860"/>
    <w:rsid w:val="00232EE2"/>
    <w:rsid w:val="002339F0"/>
    <w:rsid w:val="00234D7F"/>
    <w:rsid w:val="002368A3"/>
    <w:rsid w:val="00237F1B"/>
    <w:rsid w:val="0024075F"/>
    <w:rsid w:val="00240D84"/>
    <w:rsid w:val="00242333"/>
    <w:rsid w:val="002436CB"/>
    <w:rsid w:val="002437B6"/>
    <w:rsid w:val="00243D47"/>
    <w:rsid w:val="00243E06"/>
    <w:rsid w:val="00244F39"/>
    <w:rsid w:val="002453E8"/>
    <w:rsid w:val="00246545"/>
    <w:rsid w:val="00246FC8"/>
    <w:rsid w:val="00247ACC"/>
    <w:rsid w:val="0025005F"/>
    <w:rsid w:val="0025188A"/>
    <w:rsid w:val="002524D2"/>
    <w:rsid w:val="002528FE"/>
    <w:rsid w:val="002536CB"/>
    <w:rsid w:val="002538DB"/>
    <w:rsid w:val="002543D3"/>
    <w:rsid w:val="00255B12"/>
    <w:rsid w:val="00255F5D"/>
    <w:rsid w:val="0025650A"/>
    <w:rsid w:val="00257C29"/>
    <w:rsid w:val="0026009D"/>
    <w:rsid w:val="0026017D"/>
    <w:rsid w:val="002605AF"/>
    <w:rsid w:val="00266311"/>
    <w:rsid w:val="002670B1"/>
    <w:rsid w:val="002710DE"/>
    <w:rsid w:val="002729DE"/>
    <w:rsid w:val="00272A76"/>
    <w:rsid w:val="00273CCB"/>
    <w:rsid w:val="0027510B"/>
    <w:rsid w:val="00276767"/>
    <w:rsid w:val="00276BC3"/>
    <w:rsid w:val="002777FC"/>
    <w:rsid w:val="00280977"/>
    <w:rsid w:val="00280F35"/>
    <w:rsid w:val="00282D74"/>
    <w:rsid w:val="00284C24"/>
    <w:rsid w:val="00286F14"/>
    <w:rsid w:val="0028735D"/>
    <w:rsid w:val="002873D1"/>
    <w:rsid w:val="00287AF7"/>
    <w:rsid w:val="00291777"/>
    <w:rsid w:val="002918DD"/>
    <w:rsid w:val="00292226"/>
    <w:rsid w:val="00292895"/>
    <w:rsid w:val="002964BD"/>
    <w:rsid w:val="00296B1E"/>
    <w:rsid w:val="00296E56"/>
    <w:rsid w:val="002A65A2"/>
    <w:rsid w:val="002A6A8D"/>
    <w:rsid w:val="002A736F"/>
    <w:rsid w:val="002A7785"/>
    <w:rsid w:val="002A7E1C"/>
    <w:rsid w:val="002B0BD7"/>
    <w:rsid w:val="002B0FB5"/>
    <w:rsid w:val="002B1310"/>
    <w:rsid w:val="002B24C8"/>
    <w:rsid w:val="002B2FF4"/>
    <w:rsid w:val="002B30E5"/>
    <w:rsid w:val="002B3162"/>
    <w:rsid w:val="002B3383"/>
    <w:rsid w:val="002B3760"/>
    <w:rsid w:val="002B464C"/>
    <w:rsid w:val="002B57C3"/>
    <w:rsid w:val="002B63CF"/>
    <w:rsid w:val="002B66DE"/>
    <w:rsid w:val="002C0427"/>
    <w:rsid w:val="002C0883"/>
    <w:rsid w:val="002C0943"/>
    <w:rsid w:val="002C126D"/>
    <w:rsid w:val="002C34A7"/>
    <w:rsid w:val="002C45DB"/>
    <w:rsid w:val="002C4C93"/>
    <w:rsid w:val="002C7153"/>
    <w:rsid w:val="002C798A"/>
    <w:rsid w:val="002C7E6F"/>
    <w:rsid w:val="002D0EC1"/>
    <w:rsid w:val="002D2C07"/>
    <w:rsid w:val="002D36A3"/>
    <w:rsid w:val="002D457B"/>
    <w:rsid w:val="002D5393"/>
    <w:rsid w:val="002D679A"/>
    <w:rsid w:val="002E08A0"/>
    <w:rsid w:val="002E0CF2"/>
    <w:rsid w:val="002E0FC1"/>
    <w:rsid w:val="002E1C30"/>
    <w:rsid w:val="002E3175"/>
    <w:rsid w:val="002E3A4A"/>
    <w:rsid w:val="002E5A85"/>
    <w:rsid w:val="002E7025"/>
    <w:rsid w:val="002F343A"/>
    <w:rsid w:val="002F3D3A"/>
    <w:rsid w:val="002F54BD"/>
    <w:rsid w:val="002F5AF3"/>
    <w:rsid w:val="00300793"/>
    <w:rsid w:val="00303815"/>
    <w:rsid w:val="003049FF"/>
    <w:rsid w:val="00304C29"/>
    <w:rsid w:val="00305D7E"/>
    <w:rsid w:val="00306045"/>
    <w:rsid w:val="0031020F"/>
    <w:rsid w:val="00310D1D"/>
    <w:rsid w:val="003127F0"/>
    <w:rsid w:val="00313A6E"/>
    <w:rsid w:val="00315188"/>
    <w:rsid w:val="003159A3"/>
    <w:rsid w:val="00315F1D"/>
    <w:rsid w:val="00316D42"/>
    <w:rsid w:val="00317570"/>
    <w:rsid w:val="00320283"/>
    <w:rsid w:val="00320733"/>
    <w:rsid w:val="00322900"/>
    <w:rsid w:val="0032323A"/>
    <w:rsid w:val="003261F0"/>
    <w:rsid w:val="003264D8"/>
    <w:rsid w:val="0032664A"/>
    <w:rsid w:val="003273AB"/>
    <w:rsid w:val="00327BAA"/>
    <w:rsid w:val="00330D8B"/>
    <w:rsid w:val="0033197E"/>
    <w:rsid w:val="00332211"/>
    <w:rsid w:val="00334DE9"/>
    <w:rsid w:val="003368BC"/>
    <w:rsid w:val="00336C06"/>
    <w:rsid w:val="00337172"/>
    <w:rsid w:val="003378EB"/>
    <w:rsid w:val="00340677"/>
    <w:rsid w:val="00342C18"/>
    <w:rsid w:val="00345BB3"/>
    <w:rsid w:val="00347B22"/>
    <w:rsid w:val="00350FFD"/>
    <w:rsid w:val="00351570"/>
    <w:rsid w:val="00352B7A"/>
    <w:rsid w:val="003533BF"/>
    <w:rsid w:val="003534B7"/>
    <w:rsid w:val="00353A39"/>
    <w:rsid w:val="003545CA"/>
    <w:rsid w:val="00354898"/>
    <w:rsid w:val="00355760"/>
    <w:rsid w:val="003562AA"/>
    <w:rsid w:val="003571DC"/>
    <w:rsid w:val="0035799D"/>
    <w:rsid w:val="00360A88"/>
    <w:rsid w:val="00360C68"/>
    <w:rsid w:val="00362E79"/>
    <w:rsid w:val="00362EFD"/>
    <w:rsid w:val="003646C2"/>
    <w:rsid w:val="00366EA4"/>
    <w:rsid w:val="0036762A"/>
    <w:rsid w:val="00367873"/>
    <w:rsid w:val="0036794C"/>
    <w:rsid w:val="00371948"/>
    <w:rsid w:val="00372848"/>
    <w:rsid w:val="00372D01"/>
    <w:rsid w:val="00373D49"/>
    <w:rsid w:val="0037442B"/>
    <w:rsid w:val="003745C6"/>
    <w:rsid w:val="00382797"/>
    <w:rsid w:val="00386354"/>
    <w:rsid w:val="00386897"/>
    <w:rsid w:val="00387519"/>
    <w:rsid w:val="00394231"/>
    <w:rsid w:val="00394BF3"/>
    <w:rsid w:val="003A02A5"/>
    <w:rsid w:val="003A0DAA"/>
    <w:rsid w:val="003A178D"/>
    <w:rsid w:val="003A1A21"/>
    <w:rsid w:val="003A1E19"/>
    <w:rsid w:val="003A3C00"/>
    <w:rsid w:val="003A3F42"/>
    <w:rsid w:val="003B0495"/>
    <w:rsid w:val="003B0FA7"/>
    <w:rsid w:val="003B136D"/>
    <w:rsid w:val="003B2868"/>
    <w:rsid w:val="003B2B43"/>
    <w:rsid w:val="003B4AC6"/>
    <w:rsid w:val="003B4D68"/>
    <w:rsid w:val="003B56CC"/>
    <w:rsid w:val="003B5A1A"/>
    <w:rsid w:val="003C0154"/>
    <w:rsid w:val="003C0776"/>
    <w:rsid w:val="003C166F"/>
    <w:rsid w:val="003C1688"/>
    <w:rsid w:val="003C2AC5"/>
    <w:rsid w:val="003C30AE"/>
    <w:rsid w:val="003C310B"/>
    <w:rsid w:val="003C3211"/>
    <w:rsid w:val="003C402D"/>
    <w:rsid w:val="003C65A0"/>
    <w:rsid w:val="003C7C42"/>
    <w:rsid w:val="003D02BF"/>
    <w:rsid w:val="003D124E"/>
    <w:rsid w:val="003D17F2"/>
    <w:rsid w:val="003D1F4A"/>
    <w:rsid w:val="003D6F54"/>
    <w:rsid w:val="003E3253"/>
    <w:rsid w:val="003E38B6"/>
    <w:rsid w:val="003E4650"/>
    <w:rsid w:val="003E6A44"/>
    <w:rsid w:val="003E6FF7"/>
    <w:rsid w:val="003F0F71"/>
    <w:rsid w:val="003F163E"/>
    <w:rsid w:val="003F1797"/>
    <w:rsid w:val="003F1A87"/>
    <w:rsid w:val="003F1CFC"/>
    <w:rsid w:val="003F1F75"/>
    <w:rsid w:val="003F2EA6"/>
    <w:rsid w:val="003F3EA4"/>
    <w:rsid w:val="003F5F4F"/>
    <w:rsid w:val="003F60AD"/>
    <w:rsid w:val="003F6151"/>
    <w:rsid w:val="003F7DDA"/>
    <w:rsid w:val="003F7E2B"/>
    <w:rsid w:val="00400E14"/>
    <w:rsid w:val="00405053"/>
    <w:rsid w:val="004059BC"/>
    <w:rsid w:val="0041119E"/>
    <w:rsid w:val="0041279D"/>
    <w:rsid w:val="004134A5"/>
    <w:rsid w:val="00415178"/>
    <w:rsid w:val="0041593E"/>
    <w:rsid w:val="00415A5C"/>
    <w:rsid w:val="0041798A"/>
    <w:rsid w:val="00420367"/>
    <w:rsid w:val="00421F9E"/>
    <w:rsid w:val="00431BA5"/>
    <w:rsid w:val="004326B8"/>
    <w:rsid w:val="004348CC"/>
    <w:rsid w:val="004350E6"/>
    <w:rsid w:val="00435222"/>
    <w:rsid w:val="004363C9"/>
    <w:rsid w:val="00440A2C"/>
    <w:rsid w:val="004417EA"/>
    <w:rsid w:val="004418A4"/>
    <w:rsid w:val="00441B75"/>
    <w:rsid w:val="00443B8F"/>
    <w:rsid w:val="00443CE0"/>
    <w:rsid w:val="004467DF"/>
    <w:rsid w:val="00446DB2"/>
    <w:rsid w:val="00447A8E"/>
    <w:rsid w:val="00451391"/>
    <w:rsid w:val="0045238B"/>
    <w:rsid w:val="00453EC2"/>
    <w:rsid w:val="00455D7A"/>
    <w:rsid w:val="004568E7"/>
    <w:rsid w:val="0046049E"/>
    <w:rsid w:val="0046548D"/>
    <w:rsid w:val="0046691C"/>
    <w:rsid w:val="00467121"/>
    <w:rsid w:val="004674E3"/>
    <w:rsid w:val="004675F1"/>
    <w:rsid w:val="004710F1"/>
    <w:rsid w:val="00471103"/>
    <w:rsid w:val="00471711"/>
    <w:rsid w:val="00472AE7"/>
    <w:rsid w:val="004736C9"/>
    <w:rsid w:val="00473947"/>
    <w:rsid w:val="004751E9"/>
    <w:rsid w:val="0047576C"/>
    <w:rsid w:val="00476C4B"/>
    <w:rsid w:val="0048070E"/>
    <w:rsid w:val="0048217F"/>
    <w:rsid w:val="00482F6D"/>
    <w:rsid w:val="00483EB3"/>
    <w:rsid w:val="00485470"/>
    <w:rsid w:val="0048657B"/>
    <w:rsid w:val="00486A60"/>
    <w:rsid w:val="0049020A"/>
    <w:rsid w:val="00491FB6"/>
    <w:rsid w:val="00492138"/>
    <w:rsid w:val="0049259F"/>
    <w:rsid w:val="00493126"/>
    <w:rsid w:val="00493177"/>
    <w:rsid w:val="004935A9"/>
    <w:rsid w:val="00494B44"/>
    <w:rsid w:val="004969C3"/>
    <w:rsid w:val="00496D36"/>
    <w:rsid w:val="00496E08"/>
    <w:rsid w:val="004A1355"/>
    <w:rsid w:val="004A3B7D"/>
    <w:rsid w:val="004A45A7"/>
    <w:rsid w:val="004A49A5"/>
    <w:rsid w:val="004A5A97"/>
    <w:rsid w:val="004B2544"/>
    <w:rsid w:val="004B25A6"/>
    <w:rsid w:val="004B2E43"/>
    <w:rsid w:val="004B4462"/>
    <w:rsid w:val="004B4BFE"/>
    <w:rsid w:val="004B4DED"/>
    <w:rsid w:val="004B4F38"/>
    <w:rsid w:val="004B5E10"/>
    <w:rsid w:val="004B6985"/>
    <w:rsid w:val="004C1ACB"/>
    <w:rsid w:val="004C29EC"/>
    <w:rsid w:val="004C4984"/>
    <w:rsid w:val="004C58C7"/>
    <w:rsid w:val="004C5F62"/>
    <w:rsid w:val="004C6B8B"/>
    <w:rsid w:val="004C7804"/>
    <w:rsid w:val="004C79F0"/>
    <w:rsid w:val="004D3CD6"/>
    <w:rsid w:val="004D41CF"/>
    <w:rsid w:val="004D43B3"/>
    <w:rsid w:val="004D4A12"/>
    <w:rsid w:val="004D586E"/>
    <w:rsid w:val="004D5961"/>
    <w:rsid w:val="004D782E"/>
    <w:rsid w:val="004E047F"/>
    <w:rsid w:val="004E134D"/>
    <w:rsid w:val="004E15B8"/>
    <w:rsid w:val="004E5794"/>
    <w:rsid w:val="004E6BC8"/>
    <w:rsid w:val="004E7D90"/>
    <w:rsid w:val="004F1209"/>
    <w:rsid w:val="004F4359"/>
    <w:rsid w:val="004F4D16"/>
    <w:rsid w:val="004F58FF"/>
    <w:rsid w:val="004F72D0"/>
    <w:rsid w:val="004F74E5"/>
    <w:rsid w:val="004F7B57"/>
    <w:rsid w:val="0050080C"/>
    <w:rsid w:val="00501271"/>
    <w:rsid w:val="005015C4"/>
    <w:rsid w:val="00502ABE"/>
    <w:rsid w:val="00503A64"/>
    <w:rsid w:val="005043C3"/>
    <w:rsid w:val="0050520D"/>
    <w:rsid w:val="00507F7F"/>
    <w:rsid w:val="00510709"/>
    <w:rsid w:val="00510777"/>
    <w:rsid w:val="00511A4B"/>
    <w:rsid w:val="005122C7"/>
    <w:rsid w:val="005135EE"/>
    <w:rsid w:val="005175F5"/>
    <w:rsid w:val="00520990"/>
    <w:rsid w:val="00520C6E"/>
    <w:rsid w:val="00521971"/>
    <w:rsid w:val="00522B8B"/>
    <w:rsid w:val="00523040"/>
    <w:rsid w:val="005235D9"/>
    <w:rsid w:val="00523BB8"/>
    <w:rsid w:val="00525DAF"/>
    <w:rsid w:val="00527259"/>
    <w:rsid w:val="005304E7"/>
    <w:rsid w:val="005313B4"/>
    <w:rsid w:val="005329BD"/>
    <w:rsid w:val="00532E28"/>
    <w:rsid w:val="00533101"/>
    <w:rsid w:val="00534109"/>
    <w:rsid w:val="0053535C"/>
    <w:rsid w:val="0053545A"/>
    <w:rsid w:val="0053637C"/>
    <w:rsid w:val="00536E4A"/>
    <w:rsid w:val="00537651"/>
    <w:rsid w:val="005403F6"/>
    <w:rsid w:val="00541EBF"/>
    <w:rsid w:val="00542306"/>
    <w:rsid w:val="00542AEF"/>
    <w:rsid w:val="0054308B"/>
    <w:rsid w:val="005434D9"/>
    <w:rsid w:val="00543819"/>
    <w:rsid w:val="005475D7"/>
    <w:rsid w:val="005476CD"/>
    <w:rsid w:val="00550BC4"/>
    <w:rsid w:val="005510C2"/>
    <w:rsid w:val="005547B2"/>
    <w:rsid w:val="005562A0"/>
    <w:rsid w:val="00556BDD"/>
    <w:rsid w:val="00564F2C"/>
    <w:rsid w:val="00570CEA"/>
    <w:rsid w:val="005733B5"/>
    <w:rsid w:val="005742B0"/>
    <w:rsid w:val="00575438"/>
    <w:rsid w:val="00580E42"/>
    <w:rsid w:val="005813FF"/>
    <w:rsid w:val="005829F3"/>
    <w:rsid w:val="00582C89"/>
    <w:rsid w:val="00582E58"/>
    <w:rsid w:val="0058349A"/>
    <w:rsid w:val="00583C7A"/>
    <w:rsid w:val="005875E0"/>
    <w:rsid w:val="00594B77"/>
    <w:rsid w:val="00595813"/>
    <w:rsid w:val="005A07EE"/>
    <w:rsid w:val="005A158A"/>
    <w:rsid w:val="005A29A3"/>
    <w:rsid w:val="005A427F"/>
    <w:rsid w:val="005A55B6"/>
    <w:rsid w:val="005A5878"/>
    <w:rsid w:val="005A75CB"/>
    <w:rsid w:val="005B06AD"/>
    <w:rsid w:val="005B2AB9"/>
    <w:rsid w:val="005B4A0B"/>
    <w:rsid w:val="005B5F75"/>
    <w:rsid w:val="005B6CA8"/>
    <w:rsid w:val="005B6EA9"/>
    <w:rsid w:val="005B70E6"/>
    <w:rsid w:val="005B745F"/>
    <w:rsid w:val="005C0A60"/>
    <w:rsid w:val="005C0DF6"/>
    <w:rsid w:val="005C2888"/>
    <w:rsid w:val="005C3274"/>
    <w:rsid w:val="005C3ADE"/>
    <w:rsid w:val="005C4740"/>
    <w:rsid w:val="005C4AB5"/>
    <w:rsid w:val="005D14F4"/>
    <w:rsid w:val="005D158E"/>
    <w:rsid w:val="005D2537"/>
    <w:rsid w:val="005D2AC9"/>
    <w:rsid w:val="005D4025"/>
    <w:rsid w:val="005D54C6"/>
    <w:rsid w:val="005D5DA8"/>
    <w:rsid w:val="005D6624"/>
    <w:rsid w:val="005D705D"/>
    <w:rsid w:val="005E309B"/>
    <w:rsid w:val="005E39A9"/>
    <w:rsid w:val="005E43AA"/>
    <w:rsid w:val="005E4C25"/>
    <w:rsid w:val="005E6289"/>
    <w:rsid w:val="005F00C4"/>
    <w:rsid w:val="005F0B10"/>
    <w:rsid w:val="005F1FF2"/>
    <w:rsid w:val="005F5525"/>
    <w:rsid w:val="005F655C"/>
    <w:rsid w:val="006013D7"/>
    <w:rsid w:val="006018F2"/>
    <w:rsid w:val="00601BEF"/>
    <w:rsid w:val="0060217F"/>
    <w:rsid w:val="00604281"/>
    <w:rsid w:val="006049BD"/>
    <w:rsid w:val="006101C3"/>
    <w:rsid w:val="00610B25"/>
    <w:rsid w:val="00612151"/>
    <w:rsid w:val="006127FE"/>
    <w:rsid w:val="00617ABF"/>
    <w:rsid w:val="006206DD"/>
    <w:rsid w:val="006229A2"/>
    <w:rsid w:val="00622D55"/>
    <w:rsid w:val="00623520"/>
    <w:rsid w:val="006238E4"/>
    <w:rsid w:val="00623CF7"/>
    <w:rsid w:val="006243DB"/>
    <w:rsid w:val="00624521"/>
    <w:rsid w:val="0062459B"/>
    <w:rsid w:val="006250E8"/>
    <w:rsid w:val="006257FE"/>
    <w:rsid w:val="00625E43"/>
    <w:rsid w:val="0062686D"/>
    <w:rsid w:val="006279F3"/>
    <w:rsid w:val="00627A64"/>
    <w:rsid w:val="00631D16"/>
    <w:rsid w:val="00632316"/>
    <w:rsid w:val="006352ED"/>
    <w:rsid w:val="00635DE3"/>
    <w:rsid w:val="00636631"/>
    <w:rsid w:val="00637907"/>
    <w:rsid w:val="00640F2F"/>
    <w:rsid w:val="00641922"/>
    <w:rsid w:val="00642D68"/>
    <w:rsid w:val="006436DE"/>
    <w:rsid w:val="0064492B"/>
    <w:rsid w:val="00644B02"/>
    <w:rsid w:val="00644F71"/>
    <w:rsid w:val="00645843"/>
    <w:rsid w:val="00647DD4"/>
    <w:rsid w:val="00650ABB"/>
    <w:rsid w:val="00651411"/>
    <w:rsid w:val="006518B2"/>
    <w:rsid w:val="00651FB5"/>
    <w:rsid w:val="006527FE"/>
    <w:rsid w:val="00652A8F"/>
    <w:rsid w:val="00652AE4"/>
    <w:rsid w:val="00653498"/>
    <w:rsid w:val="006545BE"/>
    <w:rsid w:val="00654FF7"/>
    <w:rsid w:val="006553C4"/>
    <w:rsid w:val="00655F00"/>
    <w:rsid w:val="006568D0"/>
    <w:rsid w:val="00656EB5"/>
    <w:rsid w:val="006570D8"/>
    <w:rsid w:val="006571E9"/>
    <w:rsid w:val="00660453"/>
    <w:rsid w:val="006620A3"/>
    <w:rsid w:val="00662731"/>
    <w:rsid w:val="00662C6F"/>
    <w:rsid w:val="00663F93"/>
    <w:rsid w:val="006641A9"/>
    <w:rsid w:val="00664ED5"/>
    <w:rsid w:val="0066523B"/>
    <w:rsid w:val="00665CBB"/>
    <w:rsid w:val="00666C22"/>
    <w:rsid w:val="00667795"/>
    <w:rsid w:val="00671877"/>
    <w:rsid w:val="00675620"/>
    <w:rsid w:val="00675FBE"/>
    <w:rsid w:val="0068003E"/>
    <w:rsid w:val="00680462"/>
    <w:rsid w:val="00681031"/>
    <w:rsid w:val="006815F0"/>
    <w:rsid w:val="00681B02"/>
    <w:rsid w:val="0068462E"/>
    <w:rsid w:val="00685FCB"/>
    <w:rsid w:val="0068629F"/>
    <w:rsid w:val="006876DF"/>
    <w:rsid w:val="0069007B"/>
    <w:rsid w:val="00690264"/>
    <w:rsid w:val="006911C0"/>
    <w:rsid w:val="00693BE6"/>
    <w:rsid w:val="00693CA7"/>
    <w:rsid w:val="006957C4"/>
    <w:rsid w:val="006A07C6"/>
    <w:rsid w:val="006A0D2E"/>
    <w:rsid w:val="006A10BE"/>
    <w:rsid w:val="006A15FC"/>
    <w:rsid w:val="006A1C0A"/>
    <w:rsid w:val="006A3BD7"/>
    <w:rsid w:val="006A3F7E"/>
    <w:rsid w:val="006A7E54"/>
    <w:rsid w:val="006B0031"/>
    <w:rsid w:val="006B04AD"/>
    <w:rsid w:val="006B0ABB"/>
    <w:rsid w:val="006B17A7"/>
    <w:rsid w:val="006B1CA6"/>
    <w:rsid w:val="006B47E8"/>
    <w:rsid w:val="006B4B94"/>
    <w:rsid w:val="006B66A9"/>
    <w:rsid w:val="006C2181"/>
    <w:rsid w:val="006C2848"/>
    <w:rsid w:val="006C2B3A"/>
    <w:rsid w:val="006C42A3"/>
    <w:rsid w:val="006C6081"/>
    <w:rsid w:val="006C6698"/>
    <w:rsid w:val="006C68AC"/>
    <w:rsid w:val="006C6CC4"/>
    <w:rsid w:val="006C7565"/>
    <w:rsid w:val="006D19C5"/>
    <w:rsid w:val="006D2A8B"/>
    <w:rsid w:val="006D32B7"/>
    <w:rsid w:val="006D37D9"/>
    <w:rsid w:val="006D380E"/>
    <w:rsid w:val="006D4293"/>
    <w:rsid w:val="006D4CF1"/>
    <w:rsid w:val="006D7B28"/>
    <w:rsid w:val="006E0307"/>
    <w:rsid w:val="006E27EC"/>
    <w:rsid w:val="006E4684"/>
    <w:rsid w:val="006E681A"/>
    <w:rsid w:val="006E68CC"/>
    <w:rsid w:val="006E7404"/>
    <w:rsid w:val="006E74F0"/>
    <w:rsid w:val="006F3ED5"/>
    <w:rsid w:val="006F416F"/>
    <w:rsid w:val="006F45DB"/>
    <w:rsid w:val="006F4973"/>
    <w:rsid w:val="006F6892"/>
    <w:rsid w:val="007014B8"/>
    <w:rsid w:val="007017BF"/>
    <w:rsid w:val="00703F4A"/>
    <w:rsid w:val="007053C8"/>
    <w:rsid w:val="00705D9D"/>
    <w:rsid w:val="0070601B"/>
    <w:rsid w:val="0070672D"/>
    <w:rsid w:val="007125E4"/>
    <w:rsid w:val="00712BC9"/>
    <w:rsid w:val="00717417"/>
    <w:rsid w:val="0072293E"/>
    <w:rsid w:val="00722B97"/>
    <w:rsid w:val="00723131"/>
    <w:rsid w:val="00724CE7"/>
    <w:rsid w:val="00727A18"/>
    <w:rsid w:val="00727C17"/>
    <w:rsid w:val="00727E14"/>
    <w:rsid w:val="00727E56"/>
    <w:rsid w:val="00731C96"/>
    <w:rsid w:val="00733469"/>
    <w:rsid w:val="00735293"/>
    <w:rsid w:val="0074237E"/>
    <w:rsid w:val="00743EA6"/>
    <w:rsid w:val="00752969"/>
    <w:rsid w:val="007535EB"/>
    <w:rsid w:val="00753DAA"/>
    <w:rsid w:val="00762302"/>
    <w:rsid w:val="00762398"/>
    <w:rsid w:val="00762564"/>
    <w:rsid w:val="0076348F"/>
    <w:rsid w:val="007651A1"/>
    <w:rsid w:val="00766184"/>
    <w:rsid w:val="007671A7"/>
    <w:rsid w:val="00770523"/>
    <w:rsid w:val="00770DD7"/>
    <w:rsid w:val="0077148C"/>
    <w:rsid w:val="00771B68"/>
    <w:rsid w:val="00771C5E"/>
    <w:rsid w:val="0077272C"/>
    <w:rsid w:val="0077298A"/>
    <w:rsid w:val="00773CA7"/>
    <w:rsid w:val="00774245"/>
    <w:rsid w:val="00774DCC"/>
    <w:rsid w:val="007752FD"/>
    <w:rsid w:val="007753D1"/>
    <w:rsid w:val="007775F5"/>
    <w:rsid w:val="00780148"/>
    <w:rsid w:val="0078019C"/>
    <w:rsid w:val="00780D5F"/>
    <w:rsid w:val="00781A64"/>
    <w:rsid w:val="00783ED0"/>
    <w:rsid w:val="0078512F"/>
    <w:rsid w:val="007859A9"/>
    <w:rsid w:val="007860AC"/>
    <w:rsid w:val="0078654C"/>
    <w:rsid w:val="00790AEB"/>
    <w:rsid w:val="00792A5B"/>
    <w:rsid w:val="007941FB"/>
    <w:rsid w:val="007956CD"/>
    <w:rsid w:val="0079588D"/>
    <w:rsid w:val="007976D4"/>
    <w:rsid w:val="007A12C7"/>
    <w:rsid w:val="007A380A"/>
    <w:rsid w:val="007A4457"/>
    <w:rsid w:val="007A44C4"/>
    <w:rsid w:val="007A626D"/>
    <w:rsid w:val="007A6541"/>
    <w:rsid w:val="007A7789"/>
    <w:rsid w:val="007B074D"/>
    <w:rsid w:val="007B1536"/>
    <w:rsid w:val="007B2BB3"/>
    <w:rsid w:val="007B4BAC"/>
    <w:rsid w:val="007B7329"/>
    <w:rsid w:val="007B76B0"/>
    <w:rsid w:val="007B7C23"/>
    <w:rsid w:val="007C07C4"/>
    <w:rsid w:val="007C0922"/>
    <w:rsid w:val="007C227C"/>
    <w:rsid w:val="007C32EE"/>
    <w:rsid w:val="007C3CFF"/>
    <w:rsid w:val="007C3EF9"/>
    <w:rsid w:val="007C4FA7"/>
    <w:rsid w:val="007C5471"/>
    <w:rsid w:val="007C5833"/>
    <w:rsid w:val="007C69DF"/>
    <w:rsid w:val="007D5647"/>
    <w:rsid w:val="007D7B42"/>
    <w:rsid w:val="007E13D6"/>
    <w:rsid w:val="007E5D44"/>
    <w:rsid w:val="007E5F7B"/>
    <w:rsid w:val="007E6F23"/>
    <w:rsid w:val="007F05A7"/>
    <w:rsid w:val="007F12B1"/>
    <w:rsid w:val="007F15CA"/>
    <w:rsid w:val="007F2479"/>
    <w:rsid w:val="007F3B5B"/>
    <w:rsid w:val="007F3C96"/>
    <w:rsid w:val="007F3DEF"/>
    <w:rsid w:val="007F4A6C"/>
    <w:rsid w:val="007F7AC8"/>
    <w:rsid w:val="00803A5B"/>
    <w:rsid w:val="00804450"/>
    <w:rsid w:val="00805780"/>
    <w:rsid w:val="00806617"/>
    <w:rsid w:val="00806781"/>
    <w:rsid w:val="0080703A"/>
    <w:rsid w:val="008077B6"/>
    <w:rsid w:val="00807836"/>
    <w:rsid w:val="00810849"/>
    <w:rsid w:val="00810A91"/>
    <w:rsid w:val="00810AE8"/>
    <w:rsid w:val="008115D6"/>
    <w:rsid w:val="008135E6"/>
    <w:rsid w:val="00814FBF"/>
    <w:rsid w:val="00816303"/>
    <w:rsid w:val="00817315"/>
    <w:rsid w:val="00820497"/>
    <w:rsid w:val="00820725"/>
    <w:rsid w:val="00820E32"/>
    <w:rsid w:val="00821183"/>
    <w:rsid w:val="00821FBA"/>
    <w:rsid w:val="00824A2D"/>
    <w:rsid w:val="00831FC9"/>
    <w:rsid w:val="00833859"/>
    <w:rsid w:val="00833C4D"/>
    <w:rsid w:val="00833EB6"/>
    <w:rsid w:val="00834018"/>
    <w:rsid w:val="00835806"/>
    <w:rsid w:val="008358D7"/>
    <w:rsid w:val="008370DD"/>
    <w:rsid w:val="0084031C"/>
    <w:rsid w:val="00840C82"/>
    <w:rsid w:val="00840EE7"/>
    <w:rsid w:val="0084177F"/>
    <w:rsid w:val="0084341B"/>
    <w:rsid w:val="008448EF"/>
    <w:rsid w:val="00846EB9"/>
    <w:rsid w:val="0084767C"/>
    <w:rsid w:val="00851ADD"/>
    <w:rsid w:val="00852915"/>
    <w:rsid w:val="00853450"/>
    <w:rsid w:val="00853E94"/>
    <w:rsid w:val="0085488C"/>
    <w:rsid w:val="00857191"/>
    <w:rsid w:val="00857D8E"/>
    <w:rsid w:val="0086327D"/>
    <w:rsid w:val="00863AA3"/>
    <w:rsid w:val="00864A96"/>
    <w:rsid w:val="008655FC"/>
    <w:rsid w:val="00867D1A"/>
    <w:rsid w:val="00867EC5"/>
    <w:rsid w:val="00871384"/>
    <w:rsid w:val="0087211F"/>
    <w:rsid w:val="00872A73"/>
    <w:rsid w:val="00872E91"/>
    <w:rsid w:val="00873751"/>
    <w:rsid w:val="008742A0"/>
    <w:rsid w:val="00876D3B"/>
    <w:rsid w:val="008806AB"/>
    <w:rsid w:val="00881C63"/>
    <w:rsid w:val="00881CAC"/>
    <w:rsid w:val="008827CE"/>
    <w:rsid w:val="00882D37"/>
    <w:rsid w:val="00885E42"/>
    <w:rsid w:val="0088619F"/>
    <w:rsid w:val="00887A43"/>
    <w:rsid w:val="00890D6F"/>
    <w:rsid w:val="008912B7"/>
    <w:rsid w:val="00891CA1"/>
    <w:rsid w:val="00891D58"/>
    <w:rsid w:val="008940B2"/>
    <w:rsid w:val="008962DF"/>
    <w:rsid w:val="00897C92"/>
    <w:rsid w:val="008A0FEB"/>
    <w:rsid w:val="008A199F"/>
    <w:rsid w:val="008A46B4"/>
    <w:rsid w:val="008A70B2"/>
    <w:rsid w:val="008B226B"/>
    <w:rsid w:val="008B2B8E"/>
    <w:rsid w:val="008B2BC7"/>
    <w:rsid w:val="008B2DB3"/>
    <w:rsid w:val="008B3E8F"/>
    <w:rsid w:val="008B65C6"/>
    <w:rsid w:val="008B67EE"/>
    <w:rsid w:val="008B7BA1"/>
    <w:rsid w:val="008B7C75"/>
    <w:rsid w:val="008C2DEA"/>
    <w:rsid w:val="008C45F3"/>
    <w:rsid w:val="008C71EC"/>
    <w:rsid w:val="008C7C21"/>
    <w:rsid w:val="008C7E3D"/>
    <w:rsid w:val="008D0592"/>
    <w:rsid w:val="008D0999"/>
    <w:rsid w:val="008D1331"/>
    <w:rsid w:val="008D3CCA"/>
    <w:rsid w:val="008D3F91"/>
    <w:rsid w:val="008D4E73"/>
    <w:rsid w:val="008D5F31"/>
    <w:rsid w:val="008D748B"/>
    <w:rsid w:val="008E2FC1"/>
    <w:rsid w:val="008E3A9E"/>
    <w:rsid w:val="008E3F1F"/>
    <w:rsid w:val="008E511C"/>
    <w:rsid w:val="008E5DF8"/>
    <w:rsid w:val="008E6775"/>
    <w:rsid w:val="008E6BE6"/>
    <w:rsid w:val="008E6FD9"/>
    <w:rsid w:val="008E7089"/>
    <w:rsid w:val="008E75BB"/>
    <w:rsid w:val="008F094B"/>
    <w:rsid w:val="008F21B5"/>
    <w:rsid w:val="008F3BC6"/>
    <w:rsid w:val="008F4202"/>
    <w:rsid w:val="008F518E"/>
    <w:rsid w:val="008F5D18"/>
    <w:rsid w:val="008F5FAB"/>
    <w:rsid w:val="008F706A"/>
    <w:rsid w:val="008F7172"/>
    <w:rsid w:val="008F749A"/>
    <w:rsid w:val="008F7709"/>
    <w:rsid w:val="008F7CCA"/>
    <w:rsid w:val="00900367"/>
    <w:rsid w:val="0090070F"/>
    <w:rsid w:val="009009A0"/>
    <w:rsid w:val="00901126"/>
    <w:rsid w:val="00901F9A"/>
    <w:rsid w:val="00901FAC"/>
    <w:rsid w:val="0090224B"/>
    <w:rsid w:val="00903ABA"/>
    <w:rsid w:val="00903CA3"/>
    <w:rsid w:val="0090429D"/>
    <w:rsid w:val="009054C7"/>
    <w:rsid w:val="00905CB5"/>
    <w:rsid w:val="00906227"/>
    <w:rsid w:val="00910A7B"/>
    <w:rsid w:val="00911679"/>
    <w:rsid w:val="00911E70"/>
    <w:rsid w:val="00915168"/>
    <w:rsid w:val="00916108"/>
    <w:rsid w:val="00916B8D"/>
    <w:rsid w:val="00917A34"/>
    <w:rsid w:val="00920210"/>
    <w:rsid w:val="00921684"/>
    <w:rsid w:val="00922A72"/>
    <w:rsid w:val="00923C3D"/>
    <w:rsid w:val="00924896"/>
    <w:rsid w:val="009262F5"/>
    <w:rsid w:val="009268ED"/>
    <w:rsid w:val="009269B3"/>
    <w:rsid w:val="00926BCB"/>
    <w:rsid w:val="00940812"/>
    <w:rsid w:val="00940DF6"/>
    <w:rsid w:val="00941590"/>
    <w:rsid w:val="00943F43"/>
    <w:rsid w:val="00944255"/>
    <w:rsid w:val="00945662"/>
    <w:rsid w:val="009468AE"/>
    <w:rsid w:val="00946BB9"/>
    <w:rsid w:val="00950B29"/>
    <w:rsid w:val="00952A33"/>
    <w:rsid w:val="00952D70"/>
    <w:rsid w:val="009555BD"/>
    <w:rsid w:val="00956138"/>
    <w:rsid w:val="00960E53"/>
    <w:rsid w:val="009623E5"/>
    <w:rsid w:val="00963019"/>
    <w:rsid w:val="009634DA"/>
    <w:rsid w:val="00963C87"/>
    <w:rsid w:val="00965329"/>
    <w:rsid w:val="00966668"/>
    <w:rsid w:val="00967F19"/>
    <w:rsid w:val="00973D43"/>
    <w:rsid w:val="0097520C"/>
    <w:rsid w:val="009814AA"/>
    <w:rsid w:val="00982073"/>
    <w:rsid w:val="00983DC2"/>
    <w:rsid w:val="009921F5"/>
    <w:rsid w:val="009927F2"/>
    <w:rsid w:val="009938EF"/>
    <w:rsid w:val="00993DAD"/>
    <w:rsid w:val="009943AD"/>
    <w:rsid w:val="009953C0"/>
    <w:rsid w:val="0099690E"/>
    <w:rsid w:val="009977C6"/>
    <w:rsid w:val="009A0985"/>
    <w:rsid w:val="009A1E7E"/>
    <w:rsid w:val="009A24EB"/>
    <w:rsid w:val="009A4AE9"/>
    <w:rsid w:val="009A603E"/>
    <w:rsid w:val="009A785B"/>
    <w:rsid w:val="009B0080"/>
    <w:rsid w:val="009B182E"/>
    <w:rsid w:val="009B2917"/>
    <w:rsid w:val="009B3695"/>
    <w:rsid w:val="009B53E7"/>
    <w:rsid w:val="009B5BA9"/>
    <w:rsid w:val="009B6A77"/>
    <w:rsid w:val="009B72A5"/>
    <w:rsid w:val="009B742F"/>
    <w:rsid w:val="009B787A"/>
    <w:rsid w:val="009C03D1"/>
    <w:rsid w:val="009C0905"/>
    <w:rsid w:val="009C0A79"/>
    <w:rsid w:val="009C1F3C"/>
    <w:rsid w:val="009C64BF"/>
    <w:rsid w:val="009C6D19"/>
    <w:rsid w:val="009C7651"/>
    <w:rsid w:val="009D4518"/>
    <w:rsid w:val="009D5E40"/>
    <w:rsid w:val="009D6B35"/>
    <w:rsid w:val="009E0BDD"/>
    <w:rsid w:val="009E11CD"/>
    <w:rsid w:val="009E11D6"/>
    <w:rsid w:val="009E14D9"/>
    <w:rsid w:val="009E4BEA"/>
    <w:rsid w:val="009E6A0D"/>
    <w:rsid w:val="009F0773"/>
    <w:rsid w:val="009F0D2E"/>
    <w:rsid w:val="009F0DB0"/>
    <w:rsid w:val="009F23E2"/>
    <w:rsid w:val="009F2F78"/>
    <w:rsid w:val="009F360F"/>
    <w:rsid w:val="009F50AA"/>
    <w:rsid w:val="009F7DEE"/>
    <w:rsid w:val="00A00BC9"/>
    <w:rsid w:val="00A00DA2"/>
    <w:rsid w:val="00A01DF0"/>
    <w:rsid w:val="00A0283A"/>
    <w:rsid w:val="00A06230"/>
    <w:rsid w:val="00A07E44"/>
    <w:rsid w:val="00A10679"/>
    <w:rsid w:val="00A1151F"/>
    <w:rsid w:val="00A11ED1"/>
    <w:rsid w:val="00A1574F"/>
    <w:rsid w:val="00A15D32"/>
    <w:rsid w:val="00A20B02"/>
    <w:rsid w:val="00A22781"/>
    <w:rsid w:val="00A24DB3"/>
    <w:rsid w:val="00A25728"/>
    <w:rsid w:val="00A263C6"/>
    <w:rsid w:val="00A26FC5"/>
    <w:rsid w:val="00A273BA"/>
    <w:rsid w:val="00A27605"/>
    <w:rsid w:val="00A279E8"/>
    <w:rsid w:val="00A306F8"/>
    <w:rsid w:val="00A30E39"/>
    <w:rsid w:val="00A32AA8"/>
    <w:rsid w:val="00A32E7E"/>
    <w:rsid w:val="00A34991"/>
    <w:rsid w:val="00A37971"/>
    <w:rsid w:val="00A37D68"/>
    <w:rsid w:val="00A40323"/>
    <w:rsid w:val="00A4117E"/>
    <w:rsid w:val="00A41DBC"/>
    <w:rsid w:val="00A425C6"/>
    <w:rsid w:val="00A42C1B"/>
    <w:rsid w:val="00A43285"/>
    <w:rsid w:val="00A4333F"/>
    <w:rsid w:val="00A44DDF"/>
    <w:rsid w:val="00A45F3C"/>
    <w:rsid w:val="00A47CED"/>
    <w:rsid w:val="00A47E22"/>
    <w:rsid w:val="00A517F7"/>
    <w:rsid w:val="00A52AB3"/>
    <w:rsid w:val="00A532F3"/>
    <w:rsid w:val="00A536E1"/>
    <w:rsid w:val="00A53864"/>
    <w:rsid w:val="00A551A2"/>
    <w:rsid w:val="00A57DC9"/>
    <w:rsid w:val="00A60DDC"/>
    <w:rsid w:val="00A61872"/>
    <w:rsid w:val="00A62D96"/>
    <w:rsid w:val="00A6335D"/>
    <w:rsid w:val="00A63498"/>
    <w:rsid w:val="00A63587"/>
    <w:rsid w:val="00A63853"/>
    <w:rsid w:val="00A63CCA"/>
    <w:rsid w:val="00A648D7"/>
    <w:rsid w:val="00A64A55"/>
    <w:rsid w:val="00A64CDD"/>
    <w:rsid w:val="00A65698"/>
    <w:rsid w:val="00A66540"/>
    <w:rsid w:val="00A66757"/>
    <w:rsid w:val="00A72989"/>
    <w:rsid w:val="00A73CDC"/>
    <w:rsid w:val="00A7597C"/>
    <w:rsid w:val="00A77C49"/>
    <w:rsid w:val="00A80F48"/>
    <w:rsid w:val="00A83A46"/>
    <w:rsid w:val="00A83BBA"/>
    <w:rsid w:val="00A85260"/>
    <w:rsid w:val="00A86B48"/>
    <w:rsid w:val="00A9095E"/>
    <w:rsid w:val="00A955A8"/>
    <w:rsid w:val="00A968CE"/>
    <w:rsid w:val="00A9696E"/>
    <w:rsid w:val="00A97CA6"/>
    <w:rsid w:val="00AA0CB1"/>
    <w:rsid w:val="00AA2144"/>
    <w:rsid w:val="00AA2252"/>
    <w:rsid w:val="00AA2347"/>
    <w:rsid w:val="00AA2F3C"/>
    <w:rsid w:val="00AA5358"/>
    <w:rsid w:val="00AA760A"/>
    <w:rsid w:val="00AB0643"/>
    <w:rsid w:val="00AB44DD"/>
    <w:rsid w:val="00AB5508"/>
    <w:rsid w:val="00AB584E"/>
    <w:rsid w:val="00AB6B5E"/>
    <w:rsid w:val="00AB79A1"/>
    <w:rsid w:val="00AC042B"/>
    <w:rsid w:val="00AC05CD"/>
    <w:rsid w:val="00AC15AA"/>
    <w:rsid w:val="00AC16E8"/>
    <w:rsid w:val="00AC19A2"/>
    <w:rsid w:val="00AC1D6B"/>
    <w:rsid w:val="00AC2330"/>
    <w:rsid w:val="00AC29E7"/>
    <w:rsid w:val="00AC560E"/>
    <w:rsid w:val="00AC6B2A"/>
    <w:rsid w:val="00AC7A2D"/>
    <w:rsid w:val="00AD07B6"/>
    <w:rsid w:val="00AD0978"/>
    <w:rsid w:val="00AD198F"/>
    <w:rsid w:val="00AD2B6F"/>
    <w:rsid w:val="00AD349E"/>
    <w:rsid w:val="00AD3FC8"/>
    <w:rsid w:val="00AD4062"/>
    <w:rsid w:val="00AD4AA3"/>
    <w:rsid w:val="00AE20AB"/>
    <w:rsid w:val="00AE24A9"/>
    <w:rsid w:val="00AE4AA1"/>
    <w:rsid w:val="00AE6305"/>
    <w:rsid w:val="00AE6903"/>
    <w:rsid w:val="00AE74A8"/>
    <w:rsid w:val="00AE7F76"/>
    <w:rsid w:val="00AF2268"/>
    <w:rsid w:val="00AF6352"/>
    <w:rsid w:val="00AF647F"/>
    <w:rsid w:val="00AF6F07"/>
    <w:rsid w:val="00B012A5"/>
    <w:rsid w:val="00B0488D"/>
    <w:rsid w:val="00B051F4"/>
    <w:rsid w:val="00B06E9B"/>
    <w:rsid w:val="00B07CA2"/>
    <w:rsid w:val="00B07CE7"/>
    <w:rsid w:val="00B10CCB"/>
    <w:rsid w:val="00B116D1"/>
    <w:rsid w:val="00B12935"/>
    <w:rsid w:val="00B13025"/>
    <w:rsid w:val="00B131B2"/>
    <w:rsid w:val="00B13CC3"/>
    <w:rsid w:val="00B15E55"/>
    <w:rsid w:val="00B201DD"/>
    <w:rsid w:val="00B20C68"/>
    <w:rsid w:val="00B20FA3"/>
    <w:rsid w:val="00B21342"/>
    <w:rsid w:val="00B22854"/>
    <w:rsid w:val="00B2323B"/>
    <w:rsid w:val="00B247CC"/>
    <w:rsid w:val="00B25383"/>
    <w:rsid w:val="00B25E69"/>
    <w:rsid w:val="00B26B39"/>
    <w:rsid w:val="00B3069A"/>
    <w:rsid w:val="00B33333"/>
    <w:rsid w:val="00B333E7"/>
    <w:rsid w:val="00B33950"/>
    <w:rsid w:val="00B357B3"/>
    <w:rsid w:val="00B35824"/>
    <w:rsid w:val="00B35899"/>
    <w:rsid w:val="00B35A21"/>
    <w:rsid w:val="00B41A60"/>
    <w:rsid w:val="00B44631"/>
    <w:rsid w:val="00B452DB"/>
    <w:rsid w:val="00B46844"/>
    <w:rsid w:val="00B46FB0"/>
    <w:rsid w:val="00B5062C"/>
    <w:rsid w:val="00B51AC1"/>
    <w:rsid w:val="00B52CC1"/>
    <w:rsid w:val="00B52E5E"/>
    <w:rsid w:val="00B53627"/>
    <w:rsid w:val="00B537EE"/>
    <w:rsid w:val="00B556EF"/>
    <w:rsid w:val="00B560B3"/>
    <w:rsid w:val="00B57765"/>
    <w:rsid w:val="00B61EAB"/>
    <w:rsid w:val="00B61F94"/>
    <w:rsid w:val="00B630AF"/>
    <w:rsid w:val="00B63B9B"/>
    <w:rsid w:val="00B64FBC"/>
    <w:rsid w:val="00B66274"/>
    <w:rsid w:val="00B6697E"/>
    <w:rsid w:val="00B712AB"/>
    <w:rsid w:val="00B71359"/>
    <w:rsid w:val="00B73848"/>
    <w:rsid w:val="00B73BA4"/>
    <w:rsid w:val="00B73C0C"/>
    <w:rsid w:val="00B749F1"/>
    <w:rsid w:val="00B74CF0"/>
    <w:rsid w:val="00B76BA3"/>
    <w:rsid w:val="00B81848"/>
    <w:rsid w:val="00B8313B"/>
    <w:rsid w:val="00B84764"/>
    <w:rsid w:val="00B8596E"/>
    <w:rsid w:val="00B877DA"/>
    <w:rsid w:val="00B90CDD"/>
    <w:rsid w:val="00B9121E"/>
    <w:rsid w:val="00B91F30"/>
    <w:rsid w:val="00B93742"/>
    <w:rsid w:val="00B96BDC"/>
    <w:rsid w:val="00BA072B"/>
    <w:rsid w:val="00BA2E34"/>
    <w:rsid w:val="00BB0F58"/>
    <w:rsid w:val="00BB1197"/>
    <w:rsid w:val="00BB2C5C"/>
    <w:rsid w:val="00BC0E5E"/>
    <w:rsid w:val="00BC4D2D"/>
    <w:rsid w:val="00BC4F69"/>
    <w:rsid w:val="00BC562F"/>
    <w:rsid w:val="00BC65A6"/>
    <w:rsid w:val="00BC7B28"/>
    <w:rsid w:val="00BD03CF"/>
    <w:rsid w:val="00BD06F3"/>
    <w:rsid w:val="00BD0E6B"/>
    <w:rsid w:val="00BD1A07"/>
    <w:rsid w:val="00BD2638"/>
    <w:rsid w:val="00BD3CDC"/>
    <w:rsid w:val="00BD4367"/>
    <w:rsid w:val="00BD72CD"/>
    <w:rsid w:val="00BD73C5"/>
    <w:rsid w:val="00BD7CCE"/>
    <w:rsid w:val="00BE2385"/>
    <w:rsid w:val="00BE3F09"/>
    <w:rsid w:val="00BE6950"/>
    <w:rsid w:val="00BE74DC"/>
    <w:rsid w:val="00BE76BA"/>
    <w:rsid w:val="00BF09F4"/>
    <w:rsid w:val="00BF1D9A"/>
    <w:rsid w:val="00BF2ED5"/>
    <w:rsid w:val="00BF4360"/>
    <w:rsid w:val="00BF49A2"/>
    <w:rsid w:val="00BF5B67"/>
    <w:rsid w:val="00BF723E"/>
    <w:rsid w:val="00BF7DAF"/>
    <w:rsid w:val="00C000C1"/>
    <w:rsid w:val="00C00139"/>
    <w:rsid w:val="00C05913"/>
    <w:rsid w:val="00C10722"/>
    <w:rsid w:val="00C12AB5"/>
    <w:rsid w:val="00C135E3"/>
    <w:rsid w:val="00C14198"/>
    <w:rsid w:val="00C14F77"/>
    <w:rsid w:val="00C16530"/>
    <w:rsid w:val="00C17890"/>
    <w:rsid w:val="00C178BC"/>
    <w:rsid w:val="00C1791E"/>
    <w:rsid w:val="00C17962"/>
    <w:rsid w:val="00C17F16"/>
    <w:rsid w:val="00C20D5B"/>
    <w:rsid w:val="00C21341"/>
    <w:rsid w:val="00C213BC"/>
    <w:rsid w:val="00C214E1"/>
    <w:rsid w:val="00C24478"/>
    <w:rsid w:val="00C25D0A"/>
    <w:rsid w:val="00C260DA"/>
    <w:rsid w:val="00C27B4E"/>
    <w:rsid w:val="00C31300"/>
    <w:rsid w:val="00C32246"/>
    <w:rsid w:val="00C3400A"/>
    <w:rsid w:val="00C35706"/>
    <w:rsid w:val="00C36864"/>
    <w:rsid w:val="00C37350"/>
    <w:rsid w:val="00C377C2"/>
    <w:rsid w:val="00C405F7"/>
    <w:rsid w:val="00C425BB"/>
    <w:rsid w:val="00C42A11"/>
    <w:rsid w:val="00C45142"/>
    <w:rsid w:val="00C4553F"/>
    <w:rsid w:val="00C47E72"/>
    <w:rsid w:val="00C50D93"/>
    <w:rsid w:val="00C5156F"/>
    <w:rsid w:val="00C52118"/>
    <w:rsid w:val="00C53AB7"/>
    <w:rsid w:val="00C53F98"/>
    <w:rsid w:val="00C54039"/>
    <w:rsid w:val="00C540C0"/>
    <w:rsid w:val="00C55980"/>
    <w:rsid w:val="00C5712D"/>
    <w:rsid w:val="00C57258"/>
    <w:rsid w:val="00C6052D"/>
    <w:rsid w:val="00C609FC"/>
    <w:rsid w:val="00C61FF8"/>
    <w:rsid w:val="00C643E3"/>
    <w:rsid w:val="00C64721"/>
    <w:rsid w:val="00C64C93"/>
    <w:rsid w:val="00C71599"/>
    <w:rsid w:val="00C71F6B"/>
    <w:rsid w:val="00C73A3C"/>
    <w:rsid w:val="00C74486"/>
    <w:rsid w:val="00C804A5"/>
    <w:rsid w:val="00C80F35"/>
    <w:rsid w:val="00C81EB6"/>
    <w:rsid w:val="00C82115"/>
    <w:rsid w:val="00C831F5"/>
    <w:rsid w:val="00C8377C"/>
    <w:rsid w:val="00C8458C"/>
    <w:rsid w:val="00C845A7"/>
    <w:rsid w:val="00C8543F"/>
    <w:rsid w:val="00C856EE"/>
    <w:rsid w:val="00C85A12"/>
    <w:rsid w:val="00C85B6A"/>
    <w:rsid w:val="00C8770D"/>
    <w:rsid w:val="00C926DA"/>
    <w:rsid w:val="00C9287B"/>
    <w:rsid w:val="00C92F60"/>
    <w:rsid w:val="00C9529D"/>
    <w:rsid w:val="00C97489"/>
    <w:rsid w:val="00CA0D25"/>
    <w:rsid w:val="00CA238B"/>
    <w:rsid w:val="00CA2416"/>
    <w:rsid w:val="00CA3871"/>
    <w:rsid w:val="00CA3FA0"/>
    <w:rsid w:val="00CA42F5"/>
    <w:rsid w:val="00CA565A"/>
    <w:rsid w:val="00CB0F92"/>
    <w:rsid w:val="00CB1BCB"/>
    <w:rsid w:val="00CB1C82"/>
    <w:rsid w:val="00CB4EE9"/>
    <w:rsid w:val="00CB53AA"/>
    <w:rsid w:val="00CB5ADC"/>
    <w:rsid w:val="00CB5E43"/>
    <w:rsid w:val="00CB7DE8"/>
    <w:rsid w:val="00CC5102"/>
    <w:rsid w:val="00CD0B58"/>
    <w:rsid w:val="00CD0FA1"/>
    <w:rsid w:val="00CD46E2"/>
    <w:rsid w:val="00CD789F"/>
    <w:rsid w:val="00CE0338"/>
    <w:rsid w:val="00CE0B67"/>
    <w:rsid w:val="00CE1EB4"/>
    <w:rsid w:val="00CE258F"/>
    <w:rsid w:val="00CE5913"/>
    <w:rsid w:val="00CF1B11"/>
    <w:rsid w:val="00CF2277"/>
    <w:rsid w:val="00CF45BA"/>
    <w:rsid w:val="00CF5EA8"/>
    <w:rsid w:val="00CF6F2E"/>
    <w:rsid w:val="00CF7598"/>
    <w:rsid w:val="00CF7EDA"/>
    <w:rsid w:val="00D0108E"/>
    <w:rsid w:val="00D01A49"/>
    <w:rsid w:val="00D01C3B"/>
    <w:rsid w:val="00D02994"/>
    <w:rsid w:val="00D02CF0"/>
    <w:rsid w:val="00D03F9D"/>
    <w:rsid w:val="00D05546"/>
    <w:rsid w:val="00D0657B"/>
    <w:rsid w:val="00D0712F"/>
    <w:rsid w:val="00D10480"/>
    <w:rsid w:val="00D1060E"/>
    <w:rsid w:val="00D12786"/>
    <w:rsid w:val="00D13A75"/>
    <w:rsid w:val="00D14161"/>
    <w:rsid w:val="00D14CF7"/>
    <w:rsid w:val="00D16147"/>
    <w:rsid w:val="00D163D7"/>
    <w:rsid w:val="00D177C8"/>
    <w:rsid w:val="00D17DC7"/>
    <w:rsid w:val="00D20E41"/>
    <w:rsid w:val="00D21797"/>
    <w:rsid w:val="00D217FF"/>
    <w:rsid w:val="00D2249E"/>
    <w:rsid w:val="00D23286"/>
    <w:rsid w:val="00D246F4"/>
    <w:rsid w:val="00D2575F"/>
    <w:rsid w:val="00D25DBB"/>
    <w:rsid w:val="00D260E8"/>
    <w:rsid w:val="00D30D97"/>
    <w:rsid w:val="00D32B05"/>
    <w:rsid w:val="00D33E74"/>
    <w:rsid w:val="00D34F4D"/>
    <w:rsid w:val="00D35EB7"/>
    <w:rsid w:val="00D4220C"/>
    <w:rsid w:val="00D427E9"/>
    <w:rsid w:val="00D42A44"/>
    <w:rsid w:val="00D43FFA"/>
    <w:rsid w:val="00D445E2"/>
    <w:rsid w:val="00D45BEC"/>
    <w:rsid w:val="00D46230"/>
    <w:rsid w:val="00D500D0"/>
    <w:rsid w:val="00D50D76"/>
    <w:rsid w:val="00D51174"/>
    <w:rsid w:val="00D519D5"/>
    <w:rsid w:val="00D52EBA"/>
    <w:rsid w:val="00D5353F"/>
    <w:rsid w:val="00D53F15"/>
    <w:rsid w:val="00D551D5"/>
    <w:rsid w:val="00D56172"/>
    <w:rsid w:val="00D563CB"/>
    <w:rsid w:val="00D566B0"/>
    <w:rsid w:val="00D569F6"/>
    <w:rsid w:val="00D60320"/>
    <w:rsid w:val="00D60EF9"/>
    <w:rsid w:val="00D623EB"/>
    <w:rsid w:val="00D62F29"/>
    <w:rsid w:val="00D706AB"/>
    <w:rsid w:val="00D70EEF"/>
    <w:rsid w:val="00D71492"/>
    <w:rsid w:val="00D71756"/>
    <w:rsid w:val="00D7189B"/>
    <w:rsid w:val="00D71F6E"/>
    <w:rsid w:val="00D74ADC"/>
    <w:rsid w:val="00D7508D"/>
    <w:rsid w:val="00D75E0C"/>
    <w:rsid w:val="00D7775A"/>
    <w:rsid w:val="00D80671"/>
    <w:rsid w:val="00D82A68"/>
    <w:rsid w:val="00D82C4B"/>
    <w:rsid w:val="00D854E1"/>
    <w:rsid w:val="00D86598"/>
    <w:rsid w:val="00D90660"/>
    <w:rsid w:val="00D92A64"/>
    <w:rsid w:val="00D930E0"/>
    <w:rsid w:val="00D939BF"/>
    <w:rsid w:val="00D95B4A"/>
    <w:rsid w:val="00D95E31"/>
    <w:rsid w:val="00DA0221"/>
    <w:rsid w:val="00DA1291"/>
    <w:rsid w:val="00DA12AD"/>
    <w:rsid w:val="00DA293E"/>
    <w:rsid w:val="00DA36D5"/>
    <w:rsid w:val="00DA4358"/>
    <w:rsid w:val="00DA56C3"/>
    <w:rsid w:val="00DA5E39"/>
    <w:rsid w:val="00DA75E1"/>
    <w:rsid w:val="00DA775D"/>
    <w:rsid w:val="00DB00F5"/>
    <w:rsid w:val="00DB053F"/>
    <w:rsid w:val="00DB070B"/>
    <w:rsid w:val="00DB25C0"/>
    <w:rsid w:val="00DB30A0"/>
    <w:rsid w:val="00DB3348"/>
    <w:rsid w:val="00DB3B5F"/>
    <w:rsid w:val="00DB41CE"/>
    <w:rsid w:val="00DB4560"/>
    <w:rsid w:val="00DB4C2E"/>
    <w:rsid w:val="00DB7B8A"/>
    <w:rsid w:val="00DC1000"/>
    <w:rsid w:val="00DC10E9"/>
    <w:rsid w:val="00DC2E50"/>
    <w:rsid w:val="00DC2F1C"/>
    <w:rsid w:val="00DC3296"/>
    <w:rsid w:val="00DC36D1"/>
    <w:rsid w:val="00DC3F86"/>
    <w:rsid w:val="00DC5D35"/>
    <w:rsid w:val="00DC63EB"/>
    <w:rsid w:val="00DD0451"/>
    <w:rsid w:val="00DD048F"/>
    <w:rsid w:val="00DD41F9"/>
    <w:rsid w:val="00DD4EE0"/>
    <w:rsid w:val="00DD689F"/>
    <w:rsid w:val="00DD745C"/>
    <w:rsid w:val="00DE102B"/>
    <w:rsid w:val="00DE1607"/>
    <w:rsid w:val="00DE2F6E"/>
    <w:rsid w:val="00DE3426"/>
    <w:rsid w:val="00DE38A9"/>
    <w:rsid w:val="00DE443C"/>
    <w:rsid w:val="00DE48BA"/>
    <w:rsid w:val="00DE496A"/>
    <w:rsid w:val="00DE5931"/>
    <w:rsid w:val="00DE5933"/>
    <w:rsid w:val="00DF29BA"/>
    <w:rsid w:val="00DF68AE"/>
    <w:rsid w:val="00DF75BC"/>
    <w:rsid w:val="00DF7C81"/>
    <w:rsid w:val="00E00404"/>
    <w:rsid w:val="00E01696"/>
    <w:rsid w:val="00E04E00"/>
    <w:rsid w:val="00E04FFE"/>
    <w:rsid w:val="00E0744B"/>
    <w:rsid w:val="00E113A3"/>
    <w:rsid w:val="00E1158E"/>
    <w:rsid w:val="00E11A93"/>
    <w:rsid w:val="00E13FCB"/>
    <w:rsid w:val="00E16D04"/>
    <w:rsid w:val="00E1741D"/>
    <w:rsid w:val="00E20AA5"/>
    <w:rsid w:val="00E20F81"/>
    <w:rsid w:val="00E246BD"/>
    <w:rsid w:val="00E24F44"/>
    <w:rsid w:val="00E25E92"/>
    <w:rsid w:val="00E2641B"/>
    <w:rsid w:val="00E31D07"/>
    <w:rsid w:val="00E32700"/>
    <w:rsid w:val="00E33652"/>
    <w:rsid w:val="00E351F0"/>
    <w:rsid w:val="00E353F6"/>
    <w:rsid w:val="00E36C6C"/>
    <w:rsid w:val="00E37A9A"/>
    <w:rsid w:val="00E43AF3"/>
    <w:rsid w:val="00E441A7"/>
    <w:rsid w:val="00E45363"/>
    <w:rsid w:val="00E52F09"/>
    <w:rsid w:val="00E536FB"/>
    <w:rsid w:val="00E54078"/>
    <w:rsid w:val="00E56DF4"/>
    <w:rsid w:val="00E57007"/>
    <w:rsid w:val="00E57163"/>
    <w:rsid w:val="00E6034B"/>
    <w:rsid w:val="00E6062E"/>
    <w:rsid w:val="00E62D26"/>
    <w:rsid w:val="00E63640"/>
    <w:rsid w:val="00E64162"/>
    <w:rsid w:val="00E6476E"/>
    <w:rsid w:val="00E64FB9"/>
    <w:rsid w:val="00E6543D"/>
    <w:rsid w:val="00E66657"/>
    <w:rsid w:val="00E70608"/>
    <w:rsid w:val="00E70903"/>
    <w:rsid w:val="00E72134"/>
    <w:rsid w:val="00E738FA"/>
    <w:rsid w:val="00E73CDB"/>
    <w:rsid w:val="00E7447D"/>
    <w:rsid w:val="00E7455F"/>
    <w:rsid w:val="00E75279"/>
    <w:rsid w:val="00E75A46"/>
    <w:rsid w:val="00E7625D"/>
    <w:rsid w:val="00E77606"/>
    <w:rsid w:val="00E81157"/>
    <w:rsid w:val="00E8208D"/>
    <w:rsid w:val="00E83A90"/>
    <w:rsid w:val="00E85F57"/>
    <w:rsid w:val="00E867E3"/>
    <w:rsid w:val="00E9074D"/>
    <w:rsid w:val="00E94786"/>
    <w:rsid w:val="00E9641B"/>
    <w:rsid w:val="00E967BB"/>
    <w:rsid w:val="00E96A13"/>
    <w:rsid w:val="00EA1E8C"/>
    <w:rsid w:val="00EA5194"/>
    <w:rsid w:val="00EA768C"/>
    <w:rsid w:val="00EA7E82"/>
    <w:rsid w:val="00EB0E97"/>
    <w:rsid w:val="00EB1E92"/>
    <w:rsid w:val="00EB215E"/>
    <w:rsid w:val="00EB2B5D"/>
    <w:rsid w:val="00EB2FE2"/>
    <w:rsid w:val="00EB5539"/>
    <w:rsid w:val="00EB7555"/>
    <w:rsid w:val="00EC128B"/>
    <w:rsid w:val="00EC36EE"/>
    <w:rsid w:val="00EC3E51"/>
    <w:rsid w:val="00EC4094"/>
    <w:rsid w:val="00EC698F"/>
    <w:rsid w:val="00ED0958"/>
    <w:rsid w:val="00ED3982"/>
    <w:rsid w:val="00ED5701"/>
    <w:rsid w:val="00ED62B3"/>
    <w:rsid w:val="00ED758F"/>
    <w:rsid w:val="00EE1771"/>
    <w:rsid w:val="00EE1B8B"/>
    <w:rsid w:val="00EF08CD"/>
    <w:rsid w:val="00EF2915"/>
    <w:rsid w:val="00EF2A25"/>
    <w:rsid w:val="00EF60BD"/>
    <w:rsid w:val="00EF60E2"/>
    <w:rsid w:val="00EF7F2D"/>
    <w:rsid w:val="00F0141E"/>
    <w:rsid w:val="00F065DF"/>
    <w:rsid w:val="00F07A5B"/>
    <w:rsid w:val="00F12252"/>
    <w:rsid w:val="00F139B4"/>
    <w:rsid w:val="00F144F1"/>
    <w:rsid w:val="00F14640"/>
    <w:rsid w:val="00F16802"/>
    <w:rsid w:val="00F169CE"/>
    <w:rsid w:val="00F22598"/>
    <w:rsid w:val="00F23CAE"/>
    <w:rsid w:val="00F249C8"/>
    <w:rsid w:val="00F24B63"/>
    <w:rsid w:val="00F27316"/>
    <w:rsid w:val="00F3236D"/>
    <w:rsid w:val="00F34739"/>
    <w:rsid w:val="00F42FC7"/>
    <w:rsid w:val="00F43033"/>
    <w:rsid w:val="00F4401C"/>
    <w:rsid w:val="00F46108"/>
    <w:rsid w:val="00F46CB6"/>
    <w:rsid w:val="00F50805"/>
    <w:rsid w:val="00F5186C"/>
    <w:rsid w:val="00F52114"/>
    <w:rsid w:val="00F52635"/>
    <w:rsid w:val="00F53510"/>
    <w:rsid w:val="00F55E5B"/>
    <w:rsid w:val="00F56F77"/>
    <w:rsid w:val="00F57541"/>
    <w:rsid w:val="00F60D80"/>
    <w:rsid w:val="00F619C2"/>
    <w:rsid w:val="00F62958"/>
    <w:rsid w:val="00F6322A"/>
    <w:rsid w:val="00F6563A"/>
    <w:rsid w:val="00F66132"/>
    <w:rsid w:val="00F6630E"/>
    <w:rsid w:val="00F669A2"/>
    <w:rsid w:val="00F66AF8"/>
    <w:rsid w:val="00F73E33"/>
    <w:rsid w:val="00F75ADC"/>
    <w:rsid w:val="00F769E3"/>
    <w:rsid w:val="00F816ED"/>
    <w:rsid w:val="00F857EB"/>
    <w:rsid w:val="00F87ABE"/>
    <w:rsid w:val="00F937EC"/>
    <w:rsid w:val="00F93BA2"/>
    <w:rsid w:val="00F94F3D"/>
    <w:rsid w:val="00F96477"/>
    <w:rsid w:val="00F964C8"/>
    <w:rsid w:val="00F96E28"/>
    <w:rsid w:val="00F97AA4"/>
    <w:rsid w:val="00FA099E"/>
    <w:rsid w:val="00FA498C"/>
    <w:rsid w:val="00FA54F3"/>
    <w:rsid w:val="00FA5BB4"/>
    <w:rsid w:val="00FA66A6"/>
    <w:rsid w:val="00FA6C4B"/>
    <w:rsid w:val="00FB0466"/>
    <w:rsid w:val="00FB10B2"/>
    <w:rsid w:val="00FB29FC"/>
    <w:rsid w:val="00FB33B3"/>
    <w:rsid w:val="00FB4293"/>
    <w:rsid w:val="00FB6144"/>
    <w:rsid w:val="00FC12FD"/>
    <w:rsid w:val="00FC352A"/>
    <w:rsid w:val="00FC3BD0"/>
    <w:rsid w:val="00FC4999"/>
    <w:rsid w:val="00FC4BB4"/>
    <w:rsid w:val="00FC5D9E"/>
    <w:rsid w:val="00FC6923"/>
    <w:rsid w:val="00FD0923"/>
    <w:rsid w:val="00FD1DF4"/>
    <w:rsid w:val="00FD3E53"/>
    <w:rsid w:val="00FD585D"/>
    <w:rsid w:val="00FD5D40"/>
    <w:rsid w:val="00FD6480"/>
    <w:rsid w:val="00FD69ED"/>
    <w:rsid w:val="00FD7286"/>
    <w:rsid w:val="00FD746B"/>
    <w:rsid w:val="00FE46B2"/>
    <w:rsid w:val="00FE594F"/>
    <w:rsid w:val="00FE63B7"/>
    <w:rsid w:val="00FE6853"/>
    <w:rsid w:val="00FE7BC9"/>
    <w:rsid w:val="00FF165B"/>
    <w:rsid w:val="00FF6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E039"/>
  <w15:chartTrackingRefBased/>
  <w15:docId w15:val="{42557CF6-5274-4C24-9E3A-5C3E55EB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82E"/>
    <w:pPr>
      <w:spacing w:after="200" w:line="276" w:lineRule="auto"/>
    </w:pPr>
    <w:rPr>
      <w:sz w:val="22"/>
      <w:szCs w:val="22"/>
      <w:lang w:eastAsia="en-US"/>
    </w:rPr>
  </w:style>
  <w:style w:type="paragraph" w:styleId="Heading1">
    <w:name w:val="heading 1"/>
    <w:basedOn w:val="Normal"/>
    <w:next w:val="Normal"/>
    <w:link w:val="Heading1Char"/>
    <w:uiPriority w:val="9"/>
    <w:qFormat/>
    <w:rsid w:val="00164A64"/>
    <w:pPr>
      <w:keepNext/>
      <w:keepLines/>
      <w:spacing w:before="480" w:after="0" w:line="259" w:lineRule="auto"/>
      <w:outlineLvl w:val="0"/>
    </w:pPr>
    <w:rPr>
      <w:rFonts w:eastAsia="Times New Roman"/>
      <w:b/>
      <w:bCs/>
      <w:color w:val="2F5496"/>
      <w:sz w:val="28"/>
      <w:szCs w:val="28"/>
    </w:rPr>
  </w:style>
  <w:style w:type="paragraph" w:styleId="Heading2">
    <w:name w:val="heading 2"/>
    <w:basedOn w:val="Normal"/>
    <w:next w:val="Normal"/>
    <w:link w:val="Heading2Char"/>
    <w:uiPriority w:val="9"/>
    <w:unhideWhenUsed/>
    <w:qFormat/>
    <w:rsid w:val="00164A64"/>
    <w:pPr>
      <w:keepNext/>
      <w:spacing w:before="240" w:after="60"/>
      <w:outlineLvl w:val="1"/>
    </w:pPr>
    <w:rPr>
      <w:rFonts w:eastAsia="Times New Roman"/>
      <w:b/>
      <w:bCs/>
      <w:iCs/>
      <w:color w:val="4F81BD"/>
      <w:sz w:val="24"/>
      <w:szCs w:val="28"/>
    </w:rPr>
  </w:style>
  <w:style w:type="paragraph" w:styleId="Heading3">
    <w:name w:val="heading 3"/>
    <w:basedOn w:val="Normal"/>
    <w:next w:val="Normal"/>
    <w:link w:val="Heading3Char"/>
    <w:uiPriority w:val="9"/>
    <w:unhideWhenUsed/>
    <w:qFormat/>
    <w:rsid w:val="00164A64"/>
    <w:pPr>
      <w:keepNext/>
      <w:spacing w:before="240" w:after="60"/>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53"/>
    <w:pPr>
      <w:ind w:left="720"/>
      <w:contextualSpacing/>
    </w:pPr>
  </w:style>
  <w:style w:type="table" w:styleId="TableGrid">
    <w:name w:val="Table Grid"/>
    <w:basedOn w:val="TableNormal"/>
    <w:uiPriority w:val="59"/>
    <w:rsid w:val="00F347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00F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B00F5"/>
    <w:rPr>
      <w:rFonts w:ascii="Tahoma" w:hAnsi="Tahoma" w:cs="Tahoma"/>
      <w:sz w:val="16"/>
      <w:szCs w:val="16"/>
      <w:lang w:eastAsia="en-US"/>
    </w:rPr>
  </w:style>
  <w:style w:type="paragraph" w:styleId="FootnoteText">
    <w:name w:val="footnote text"/>
    <w:basedOn w:val="Normal"/>
    <w:link w:val="FootnoteTextChar"/>
    <w:rsid w:val="000445E6"/>
    <w:pPr>
      <w:spacing w:after="0" w:line="240" w:lineRule="auto"/>
    </w:pPr>
    <w:rPr>
      <w:rFonts w:ascii="Times New Roman" w:eastAsia="Times New Roman" w:hAnsi="Times New Roman"/>
      <w:sz w:val="20"/>
      <w:szCs w:val="20"/>
      <w:lang w:val="x-none"/>
    </w:rPr>
  </w:style>
  <w:style w:type="character" w:customStyle="1" w:styleId="FootnoteTextChar">
    <w:name w:val="Footnote Text Char"/>
    <w:link w:val="FootnoteText"/>
    <w:rsid w:val="000445E6"/>
    <w:rPr>
      <w:rFonts w:ascii="Times New Roman" w:eastAsia="Times New Roman" w:hAnsi="Times New Roman"/>
      <w:lang w:eastAsia="en-US"/>
    </w:rPr>
  </w:style>
  <w:style w:type="character" w:styleId="FootnoteReference">
    <w:name w:val="footnote reference"/>
    <w:rsid w:val="000445E6"/>
    <w:rPr>
      <w:vertAlign w:val="superscript"/>
    </w:rPr>
  </w:style>
  <w:style w:type="paragraph" w:styleId="Header">
    <w:name w:val="header"/>
    <w:basedOn w:val="Normal"/>
    <w:link w:val="HeaderChar"/>
    <w:uiPriority w:val="99"/>
    <w:unhideWhenUsed/>
    <w:rsid w:val="00DB30A0"/>
    <w:pPr>
      <w:tabs>
        <w:tab w:val="center" w:pos="4513"/>
        <w:tab w:val="right" w:pos="9026"/>
      </w:tabs>
    </w:pPr>
    <w:rPr>
      <w:lang w:val="x-none"/>
    </w:rPr>
  </w:style>
  <w:style w:type="character" w:customStyle="1" w:styleId="HeaderChar">
    <w:name w:val="Header Char"/>
    <w:link w:val="Header"/>
    <w:uiPriority w:val="99"/>
    <w:rsid w:val="00DB30A0"/>
    <w:rPr>
      <w:sz w:val="22"/>
      <w:szCs w:val="22"/>
      <w:lang w:eastAsia="en-US"/>
    </w:rPr>
  </w:style>
  <w:style w:type="paragraph" w:styleId="Footer">
    <w:name w:val="footer"/>
    <w:basedOn w:val="Normal"/>
    <w:link w:val="FooterChar"/>
    <w:uiPriority w:val="99"/>
    <w:unhideWhenUsed/>
    <w:rsid w:val="00DB30A0"/>
    <w:pPr>
      <w:tabs>
        <w:tab w:val="center" w:pos="4513"/>
        <w:tab w:val="right" w:pos="9026"/>
      </w:tabs>
    </w:pPr>
    <w:rPr>
      <w:lang w:val="x-none"/>
    </w:rPr>
  </w:style>
  <w:style w:type="character" w:customStyle="1" w:styleId="FooterChar">
    <w:name w:val="Footer Char"/>
    <w:link w:val="Footer"/>
    <w:uiPriority w:val="99"/>
    <w:rsid w:val="00DB30A0"/>
    <w:rPr>
      <w:sz w:val="22"/>
      <w:szCs w:val="22"/>
      <w:lang w:eastAsia="en-US"/>
    </w:rPr>
  </w:style>
  <w:style w:type="character" w:styleId="CommentReference">
    <w:name w:val="annotation reference"/>
    <w:uiPriority w:val="99"/>
    <w:semiHidden/>
    <w:unhideWhenUsed/>
    <w:rsid w:val="00662731"/>
    <w:rPr>
      <w:sz w:val="16"/>
      <w:szCs w:val="16"/>
    </w:rPr>
  </w:style>
  <w:style w:type="paragraph" w:styleId="CommentText">
    <w:name w:val="annotation text"/>
    <w:basedOn w:val="Normal"/>
    <w:link w:val="CommentTextChar"/>
    <w:uiPriority w:val="99"/>
    <w:unhideWhenUsed/>
    <w:rsid w:val="00662731"/>
    <w:pPr>
      <w:spacing w:line="240" w:lineRule="auto"/>
    </w:pPr>
    <w:rPr>
      <w:sz w:val="20"/>
      <w:szCs w:val="20"/>
      <w:lang w:val="x-none"/>
    </w:rPr>
  </w:style>
  <w:style w:type="character" w:customStyle="1" w:styleId="CommentTextChar">
    <w:name w:val="Comment Text Char"/>
    <w:link w:val="CommentText"/>
    <w:uiPriority w:val="99"/>
    <w:rsid w:val="00662731"/>
    <w:rPr>
      <w:lang w:eastAsia="en-US"/>
    </w:rPr>
  </w:style>
  <w:style w:type="paragraph" w:styleId="CommentSubject">
    <w:name w:val="annotation subject"/>
    <w:basedOn w:val="CommentText"/>
    <w:next w:val="CommentText"/>
    <w:link w:val="CommentSubjectChar"/>
    <w:uiPriority w:val="99"/>
    <w:semiHidden/>
    <w:unhideWhenUsed/>
    <w:rsid w:val="00662731"/>
    <w:rPr>
      <w:b/>
      <w:bCs/>
    </w:rPr>
  </w:style>
  <w:style w:type="character" w:customStyle="1" w:styleId="CommentSubjectChar">
    <w:name w:val="Comment Subject Char"/>
    <w:link w:val="CommentSubject"/>
    <w:uiPriority w:val="99"/>
    <w:semiHidden/>
    <w:rsid w:val="00662731"/>
    <w:rPr>
      <w:b/>
      <w:bCs/>
      <w:lang w:eastAsia="en-US"/>
    </w:rPr>
  </w:style>
  <w:style w:type="paragraph" w:customStyle="1" w:styleId="NumberedAnnexParaCharChar">
    <w:name w:val="Numbered Annex Para Char Char"/>
    <w:basedOn w:val="Normal"/>
    <w:rsid w:val="00C45142"/>
    <w:pPr>
      <w:numPr>
        <w:numId w:val="1"/>
      </w:numPr>
      <w:spacing w:after="0" w:line="240" w:lineRule="auto"/>
    </w:pPr>
    <w:rPr>
      <w:rFonts w:ascii="Arial" w:eastAsia="Times New Roman" w:hAnsi="Arial"/>
      <w:sz w:val="24"/>
      <w:szCs w:val="24"/>
      <w:lang w:val="en-AU" w:eastAsia="en-GB"/>
    </w:rPr>
  </w:style>
  <w:style w:type="paragraph" w:customStyle="1" w:styleId="Default">
    <w:name w:val="Default"/>
    <w:rsid w:val="00105E7D"/>
    <w:pPr>
      <w:autoSpaceDE w:val="0"/>
      <w:autoSpaceDN w:val="0"/>
      <w:adjustRightInd w:val="0"/>
    </w:pPr>
    <w:rPr>
      <w:rFonts w:ascii="Trebuchet MS" w:hAnsi="Trebuchet MS" w:cs="Trebuchet MS"/>
      <w:color w:val="000000"/>
      <w:sz w:val="24"/>
      <w:szCs w:val="24"/>
    </w:rPr>
  </w:style>
  <w:style w:type="paragraph" w:styleId="Revision">
    <w:name w:val="Revision"/>
    <w:hidden/>
    <w:uiPriority w:val="99"/>
    <w:semiHidden/>
    <w:rsid w:val="00523BB8"/>
    <w:rPr>
      <w:sz w:val="22"/>
      <w:szCs w:val="22"/>
      <w:lang w:eastAsia="en-US"/>
    </w:rPr>
  </w:style>
  <w:style w:type="character" w:customStyle="1" w:styleId="Heading1Char">
    <w:name w:val="Heading 1 Char"/>
    <w:link w:val="Heading1"/>
    <w:uiPriority w:val="9"/>
    <w:rsid w:val="00164A64"/>
    <w:rPr>
      <w:rFonts w:ascii="Calibri" w:eastAsia="Times New Roman" w:hAnsi="Calibri"/>
      <w:b/>
      <w:bCs/>
      <w:color w:val="2F5496"/>
      <w:sz w:val="28"/>
      <w:szCs w:val="28"/>
      <w:lang w:eastAsia="en-US"/>
    </w:rPr>
  </w:style>
  <w:style w:type="character" w:customStyle="1" w:styleId="Heading2Char">
    <w:name w:val="Heading 2 Char"/>
    <w:link w:val="Heading2"/>
    <w:uiPriority w:val="9"/>
    <w:rsid w:val="00164A64"/>
    <w:rPr>
      <w:rFonts w:eastAsia="Times New Roman" w:cs="Times New Roman"/>
      <w:b/>
      <w:bCs/>
      <w:iCs/>
      <w:color w:val="4F81BD"/>
      <w:sz w:val="24"/>
      <w:szCs w:val="28"/>
      <w:lang w:eastAsia="en-US"/>
    </w:rPr>
  </w:style>
  <w:style w:type="character" w:customStyle="1" w:styleId="Heading3Char">
    <w:name w:val="Heading 3 Char"/>
    <w:link w:val="Heading3"/>
    <w:uiPriority w:val="9"/>
    <w:rsid w:val="00164A64"/>
    <w:rPr>
      <w:rFonts w:eastAsia="Times New Roman" w:cs="Times New Roman"/>
      <w:b/>
      <w:bCs/>
      <w:sz w:val="24"/>
      <w:szCs w:val="26"/>
      <w:lang w:eastAsia="en-US"/>
    </w:rPr>
  </w:style>
  <w:style w:type="paragraph" w:styleId="TOCHeading">
    <w:name w:val="TOC Heading"/>
    <w:basedOn w:val="Heading1"/>
    <w:next w:val="Normal"/>
    <w:uiPriority w:val="39"/>
    <w:semiHidden/>
    <w:unhideWhenUsed/>
    <w:qFormat/>
    <w:rsid w:val="000300AF"/>
    <w:pPr>
      <w:spacing w:line="276" w:lineRule="auto"/>
      <w:outlineLvl w:val="9"/>
    </w:pPr>
    <w:rPr>
      <w:rFonts w:ascii="Cambria" w:eastAsia="MS Gothic" w:hAnsi="Cambria"/>
      <w:color w:val="365F91"/>
      <w:lang w:val="en-US" w:eastAsia="ja-JP"/>
    </w:rPr>
  </w:style>
  <w:style w:type="paragraph" w:styleId="TOC1">
    <w:name w:val="toc 1"/>
    <w:basedOn w:val="Normal"/>
    <w:next w:val="Normal"/>
    <w:autoRedefine/>
    <w:uiPriority w:val="39"/>
    <w:unhideWhenUsed/>
    <w:rsid w:val="000300AF"/>
  </w:style>
  <w:style w:type="paragraph" w:styleId="TOC2">
    <w:name w:val="toc 2"/>
    <w:basedOn w:val="Normal"/>
    <w:next w:val="Normal"/>
    <w:autoRedefine/>
    <w:uiPriority w:val="39"/>
    <w:unhideWhenUsed/>
    <w:rsid w:val="000300AF"/>
    <w:pPr>
      <w:ind w:left="220"/>
    </w:pPr>
  </w:style>
  <w:style w:type="paragraph" w:styleId="TOC3">
    <w:name w:val="toc 3"/>
    <w:basedOn w:val="Normal"/>
    <w:next w:val="Normal"/>
    <w:autoRedefine/>
    <w:uiPriority w:val="39"/>
    <w:unhideWhenUsed/>
    <w:rsid w:val="000300AF"/>
    <w:pPr>
      <w:ind w:left="440"/>
    </w:pPr>
  </w:style>
  <w:style w:type="character" w:styleId="Hyperlink">
    <w:name w:val="Hyperlink"/>
    <w:uiPriority w:val="99"/>
    <w:unhideWhenUsed/>
    <w:rsid w:val="000300AF"/>
    <w:rPr>
      <w:color w:val="0000FF"/>
      <w:u w:val="single"/>
    </w:rPr>
  </w:style>
  <w:style w:type="character" w:styleId="FollowedHyperlink">
    <w:name w:val="FollowedHyperlink"/>
    <w:uiPriority w:val="99"/>
    <w:semiHidden/>
    <w:unhideWhenUsed/>
    <w:rsid w:val="00223262"/>
    <w:rPr>
      <w:color w:val="800080"/>
      <w:u w:val="single"/>
    </w:rPr>
  </w:style>
  <w:style w:type="character" w:styleId="SubtleEmphasis">
    <w:name w:val="Subtle Emphasis"/>
    <w:uiPriority w:val="19"/>
    <w:qFormat/>
    <w:rsid w:val="00F619C2"/>
    <w:rPr>
      <w:i/>
      <w:iCs/>
      <w:color w:val="808080"/>
    </w:rPr>
  </w:style>
  <w:style w:type="paragraph" w:styleId="NoSpacing">
    <w:name w:val="No Spacing"/>
    <w:uiPriority w:val="1"/>
    <w:qFormat/>
    <w:rsid w:val="008370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698">
      <w:bodyDiv w:val="1"/>
      <w:marLeft w:val="0"/>
      <w:marRight w:val="0"/>
      <w:marTop w:val="0"/>
      <w:marBottom w:val="0"/>
      <w:divBdr>
        <w:top w:val="none" w:sz="0" w:space="0" w:color="auto"/>
        <w:left w:val="none" w:sz="0" w:space="0" w:color="auto"/>
        <w:bottom w:val="none" w:sz="0" w:space="0" w:color="auto"/>
        <w:right w:val="none" w:sz="0" w:space="0" w:color="auto"/>
      </w:divBdr>
      <w:divsChild>
        <w:div w:id="134951989">
          <w:marLeft w:val="274"/>
          <w:marRight w:val="0"/>
          <w:marTop w:val="0"/>
          <w:marBottom w:val="120"/>
          <w:divBdr>
            <w:top w:val="none" w:sz="0" w:space="0" w:color="auto"/>
            <w:left w:val="none" w:sz="0" w:space="0" w:color="auto"/>
            <w:bottom w:val="none" w:sz="0" w:space="0" w:color="auto"/>
            <w:right w:val="none" w:sz="0" w:space="0" w:color="auto"/>
          </w:divBdr>
        </w:div>
        <w:div w:id="195892556">
          <w:marLeft w:val="274"/>
          <w:marRight w:val="0"/>
          <w:marTop w:val="0"/>
          <w:marBottom w:val="120"/>
          <w:divBdr>
            <w:top w:val="none" w:sz="0" w:space="0" w:color="auto"/>
            <w:left w:val="none" w:sz="0" w:space="0" w:color="auto"/>
            <w:bottom w:val="none" w:sz="0" w:space="0" w:color="auto"/>
            <w:right w:val="none" w:sz="0" w:space="0" w:color="auto"/>
          </w:divBdr>
        </w:div>
        <w:div w:id="893614188">
          <w:marLeft w:val="274"/>
          <w:marRight w:val="0"/>
          <w:marTop w:val="0"/>
          <w:marBottom w:val="120"/>
          <w:divBdr>
            <w:top w:val="none" w:sz="0" w:space="0" w:color="auto"/>
            <w:left w:val="none" w:sz="0" w:space="0" w:color="auto"/>
            <w:bottom w:val="none" w:sz="0" w:space="0" w:color="auto"/>
            <w:right w:val="none" w:sz="0" w:space="0" w:color="auto"/>
          </w:divBdr>
        </w:div>
      </w:divsChild>
    </w:div>
    <w:div w:id="48498714">
      <w:bodyDiv w:val="1"/>
      <w:marLeft w:val="0"/>
      <w:marRight w:val="0"/>
      <w:marTop w:val="0"/>
      <w:marBottom w:val="0"/>
      <w:divBdr>
        <w:top w:val="none" w:sz="0" w:space="0" w:color="auto"/>
        <w:left w:val="none" w:sz="0" w:space="0" w:color="auto"/>
        <w:bottom w:val="none" w:sz="0" w:space="0" w:color="auto"/>
        <w:right w:val="none" w:sz="0" w:space="0" w:color="auto"/>
      </w:divBdr>
    </w:div>
    <w:div w:id="89281174">
      <w:bodyDiv w:val="1"/>
      <w:marLeft w:val="0"/>
      <w:marRight w:val="0"/>
      <w:marTop w:val="0"/>
      <w:marBottom w:val="0"/>
      <w:divBdr>
        <w:top w:val="none" w:sz="0" w:space="0" w:color="auto"/>
        <w:left w:val="none" w:sz="0" w:space="0" w:color="auto"/>
        <w:bottom w:val="none" w:sz="0" w:space="0" w:color="auto"/>
        <w:right w:val="none" w:sz="0" w:space="0" w:color="auto"/>
      </w:divBdr>
      <w:divsChild>
        <w:div w:id="953901944">
          <w:marLeft w:val="274"/>
          <w:marRight w:val="0"/>
          <w:marTop w:val="0"/>
          <w:marBottom w:val="120"/>
          <w:divBdr>
            <w:top w:val="none" w:sz="0" w:space="0" w:color="auto"/>
            <w:left w:val="none" w:sz="0" w:space="0" w:color="auto"/>
            <w:bottom w:val="none" w:sz="0" w:space="0" w:color="auto"/>
            <w:right w:val="none" w:sz="0" w:space="0" w:color="auto"/>
          </w:divBdr>
        </w:div>
      </w:divsChild>
    </w:div>
    <w:div w:id="125856935">
      <w:bodyDiv w:val="1"/>
      <w:marLeft w:val="0"/>
      <w:marRight w:val="0"/>
      <w:marTop w:val="0"/>
      <w:marBottom w:val="0"/>
      <w:divBdr>
        <w:top w:val="none" w:sz="0" w:space="0" w:color="auto"/>
        <w:left w:val="none" w:sz="0" w:space="0" w:color="auto"/>
        <w:bottom w:val="none" w:sz="0" w:space="0" w:color="auto"/>
        <w:right w:val="none" w:sz="0" w:space="0" w:color="auto"/>
      </w:divBdr>
      <w:divsChild>
        <w:div w:id="163016516">
          <w:marLeft w:val="274"/>
          <w:marRight w:val="0"/>
          <w:marTop w:val="0"/>
          <w:marBottom w:val="60"/>
          <w:divBdr>
            <w:top w:val="none" w:sz="0" w:space="0" w:color="auto"/>
            <w:left w:val="none" w:sz="0" w:space="0" w:color="auto"/>
            <w:bottom w:val="none" w:sz="0" w:space="0" w:color="auto"/>
            <w:right w:val="none" w:sz="0" w:space="0" w:color="auto"/>
          </w:divBdr>
        </w:div>
        <w:div w:id="530186836">
          <w:marLeft w:val="274"/>
          <w:marRight w:val="0"/>
          <w:marTop w:val="0"/>
          <w:marBottom w:val="60"/>
          <w:divBdr>
            <w:top w:val="none" w:sz="0" w:space="0" w:color="auto"/>
            <w:left w:val="none" w:sz="0" w:space="0" w:color="auto"/>
            <w:bottom w:val="none" w:sz="0" w:space="0" w:color="auto"/>
            <w:right w:val="none" w:sz="0" w:space="0" w:color="auto"/>
          </w:divBdr>
        </w:div>
        <w:div w:id="618033417">
          <w:marLeft w:val="274"/>
          <w:marRight w:val="0"/>
          <w:marTop w:val="0"/>
          <w:marBottom w:val="60"/>
          <w:divBdr>
            <w:top w:val="none" w:sz="0" w:space="0" w:color="auto"/>
            <w:left w:val="none" w:sz="0" w:space="0" w:color="auto"/>
            <w:bottom w:val="none" w:sz="0" w:space="0" w:color="auto"/>
            <w:right w:val="none" w:sz="0" w:space="0" w:color="auto"/>
          </w:divBdr>
        </w:div>
        <w:div w:id="850409328">
          <w:marLeft w:val="274"/>
          <w:marRight w:val="0"/>
          <w:marTop w:val="0"/>
          <w:marBottom w:val="60"/>
          <w:divBdr>
            <w:top w:val="none" w:sz="0" w:space="0" w:color="auto"/>
            <w:left w:val="none" w:sz="0" w:space="0" w:color="auto"/>
            <w:bottom w:val="none" w:sz="0" w:space="0" w:color="auto"/>
            <w:right w:val="none" w:sz="0" w:space="0" w:color="auto"/>
          </w:divBdr>
        </w:div>
        <w:div w:id="1434008087">
          <w:marLeft w:val="274"/>
          <w:marRight w:val="0"/>
          <w:marTop w:val="0"/>
          <w:marBottom w:val="60"/>
          <w:divBdr>
            <w:top w:val="none" w:sz="0" w:space="0" w:color="auto"/>
            <w:left w:val="none" w:sz="0" w:space="0" w:color="auto"/>
            <w:bottom w:val="none" w:sz="0" w:space="0" w:color="auto"/>
            <w:right w:val="none" w:sz="0" w:space="0" w:color="auto"/>
          </w:divBdr>
        </w:div>
        <w:div w:id="1435050890">
          <w:marLeft w:val="274"/>
          <w:marRight w:val="0"/>
          <w:marTop w:val="0"/>
          <w:marBottom w:val="60"/>
          <w:divBdr>
            <w:top w:val="none" w:sz="0" w:space="0" w:color="auto"/>
            <w:left w:val="none" w:sz="0" w:space="0" w:color="auto"/>
            <w:bottom w:val="none" w:sz="0" w:space="0" w:color="auto"/>
            <w:right w:val="none" w:sz="0" w:space="0" w:color="auto"/>
          </w:divBdr>
        </w:div>
        <w:div w:id="1683972300">
          <w:marLeft w:val="274"/>
          <w:marRight w:val="0"/>
          <w:marTop w:val="0"/>
          <w:marBottom w:val="60"/>
          <w:divBdr>
            <w:top w:val="none" w:sz="0" w:space="0" w:color="auto"/>
            <w:left w:val="none" w:sz="0" w:space="0" w:color="auto"/>
            <w:bottom w:val="none" w:sz="0" w:space="0" w:color="auto"/>
            <w:right w:val="none" w:sz="0" w:space="0" w:color="auto"/>
          </w:divBdr>
        </w:div>
      </w:divsChild>
    </w:div>
    <w:div w:id="298463035">
      <w:bodyDiv w:val="1"/>
      <w:marLeft w:val="0"/>
      <w:marRight w:val="0"/>
      <w:marTop w:val="0"/>
      <w:marBottom w:val="0"/>
      <w:divBdr>
        <w:top w:val="none" w:sz="0" w:space="0" w:color="auto"/>
        <w:left w:val="none" w:sz="0" w:space="0" w:color="auto"/>
        <w:bottom w:val="none" w:sz="0" w:space="0" w:color="auto"/>
        <w:right w:val="none" w:sz="0" w:space="0" w:color="auto"/>
      </w:divBdr>
      <w:divsChild>
        <w:div w:id="579288859">
          <w:marLeft w:val="288"/>
          <w:marRight w:val="0"/>
          <w:marTop w:val="0"/>
          <w:marBottom w:val="160"/>
          <w:divBdr>
            <w:top w:val="none" w:sz="0" w:space="0" w:color="auto"/>
            <w:left w:val="none" w:sz="0" w:space="0" w:color="auto"/>
            <w:bottom w:val="none" w:sz="0" w:space="0" w:color="auto"/>
            <w:right w:val="none" w:sz="0" w:space="0" w:color="auto"/>
          </w:divBdr>
        </w:div>
        <w:div w:id="1180390729">
          <w:marLeft w:val="288"/>
          <w:marRight w:val="0"/>
          <w:marTop w:val="0"/>
          <w:marBottom w:val="160"/>
          <w:divBdr>
            <w:top w:val="none" w:sz="0" w:space="0" w:color="auto"/>
            <w:left w:val="none" w:sz="0" w:space="0" w:color="auto"/>
            <w:bottom w:val="none" w:sz="0" w:space="0" w:color="auto"/>
            <w:right w:val="none" w:sz="0" w:space="0" w:color="auto"/>
          </w:divBdr>
        </w:div>
        <w:div w:id="2055881273">
          <w:marLeft w:val="288"/>
          <w:marRight w:val="0"/>
          <w:marTop w:val="0"/>
          <w:marBottom w:val="160"/>
          <w:divBdr>
            <w:top w:val="none" w:sz="0" w:space="0" w:color="auto"/>
            <w:left w:val="none" w:sz="0" w:space="0" w:color="auto"/>
            <w:bottom w:val="none" w:sz="0" w:space="0" w:color="auto"/>
            <w:right w:val="none" w:sz="0" w:space="0" w:color="auto"/>
          </w:divBdr>
        </w:div>
      </w:divsChild>
    </w:div>
    <w:div w:id="394082674">
      <w:bodyDiv w:val="1"/>
      <w:marLeft w:val="0"/>
      <w:marRight w:val="0"/>
      <w:marTop w:val="0"/>
      <w:marBottom w:val="0"/>
      <w:divBdr>
        <w:top w:val="none" w:sz="0" w:space="0" w:color="auto"/>
        <w:left w:val="none" w:sz="0" w:space="0" w:color="auto"/>
        <w:bottom w:val="none" w:sz="0" w:space="0" w:color="auto"/>
        <w:right w:val="none" w:sz="0" w:space="0" w:color="auto"/>
      </w:divBdr>
    </w:div>
    <w:div w:id="448206895">
      <w:bodyDiv w:val="1"/>
      <w:marLeft w:val="0"/>
      <w:marRight w:val="0"/>
      <w:marTop w:val="0"/>
      <w:marBottom w:val="0"/>
      <w:divBdr>
        <w:top w:val="none" w:sz="0" w:space="0" w:color="auto"/>
        <w:left w:val="none" w:sz="0" w:space="0" w:color="auto"/>
        <w:bottom w:val="none" w:sz="0" w:space="0" w:color="auto"/>
        <w:right w:val="none" w:sz="0" w:space="0" w:color="auto"/>
      </w:divBdr>
      <w:divsChild>
        <w:div w:id="310672805">
          <w:marLeft w:val="274"/>
          <w:marRight w:val="0"/>
          <w:marTop w:val="0"/>
          <w:marBottom w:val="120"/>
          <w:divBdr>
            <w:top w:val="none" w:sz="0" w:space="0" w:color="auto"/>
            <w:left w:val="none" w:sz="0" w:space="0" w:color="auto"/>
            <w:bottom w:val="none" w:sz="0" w:space="0" w:color="auto"/>
            <w:right w:val="none" w:sz="0" w:space="0" w:color="auto"/>
          </w:divBdr>
        </w:div>
        <w:div w:id="592712421">
          <w:marLeft w:val="274"/>
          <w:marRight w:val="0"/>
          <w:marTop w:val="0"/>
          <w:marBottom w:val="120"/>
          <w:divBdr>
            <w:top w:val="none" w:sz="0" w:space="0" w:color="auto"/>
            <w:left w:val="none" w:sz="0" w:space="0" w:color="auto"/>
            <w:bottom w:val="none" w:sz="0" w:space="0" w:color="auto"/>
            <w:right w:val="none" w:sz="0" w:space="0" w:color="auto"/>
          </w:divBdr>
        </w:div>
        <w:div w:id="671224210">
          <w:marLeft w:val="274"/>
          <w:marRight w:val="0"/>
          <w:marTop w:val="0"/>
          <w:marBottom w:val="120"/>
          <w:divBdr>
            <w:top w:val="none" w:sz="0" w:space="0" w:color="auto"/>
            <w:left w:val="none" w:sz="0" w:space="0" w:color="auto"/>
            <w:bottom w:val="none" w:sz="0" w:space="0" w:color="auto"/>
            <w:right w:val="none" w:sz="0" w:space="0" w:color="auto"/>
          </w:divBdr>
        </w:div>
      </w:divsChild>
    </w:div>
    <w:div w:id="466775212">
      <w:bodyDiv w:val="1"/>
      <w:marLeft w:val="0"/>
      <w:marRight w:val="0"/>
      <w:marTop w:val="0"/>
      <w:marBottom w:val="0"/>
      <w:divBdr>
        <w:top w:val="none" w:sz="0" w:space="0" w:color="auto"/>
        <w:left w:val="none" w:sz="0" w:space="0" w:color="auto"/>
        <w:bottom w:val="none" w:sz="0" w:space="0" w:color="auto"/>
        <w:right w:val="none" w:sz="0" w:space="0" w:color="auto"/>
      </w:divBdr>
    </w:div>
    <w:div w:id="560404961">
      <w:bodyDiv w:val="1"/>
      <w:marLeft w:val="0"/>
      <w:marRight w:val="0"/>
      <w:marTop w:val="0"/>
      <w:marBottom w:val="0"/>
      <w:divBdr>
        <w:top w:val="none" w:sz="0" w:space="0" w:color="auto"/>
        <w:left w:val="none" w:sz="0" w:space="0" w:color="auto"/>
        <w:bottom w:val="none" w:sz="0" w:space="0" w:color="auto"/>
        <w:right w:val="none" w:sz="0" w:space="0" w:color="auto"/>
      </w:divBdr>
      <w:divsChild>
        <w:div w:id="494036680">
          <w:marLeft w:val="288"/>
          <w:marRight w:val="0"/>
          <w:marTop w:val="0"/>
          <w:marBottom w:val="160"/>
          <w:divBdr>
            <w:top w:val="none" w:sz="0" w:space="0" w:color="auto"/>
            <w:left w:val="none" w:sz="0" w:space="0" w:color="auto"/>
            <w:bottom w:val="none" w:sz="0" w:space="0" w:color="auto"/>
            <w:right w:val="none" w:sz="0" w:space="0" w:color="auto"/>
          </w:divBdr>
        </w:div>
        <w:div w:id="935018274">
          <w:marLeft w:val="288"/>
          <w:marRight w:val="0"/>
          <w:marTop w:val="0"/>
          <w:marBottom w:val="160"/>
          <w:divBdr>
            <w:top w:val="none" w:sz="0" w:space="0" w:color="auto"/>
            <w:left w:val="none" w:sz="0" w:space="0" w:color="auto"/>
            <w:bottom w:val="none" w:sz="0" w:space="0" w:color="auto"/>
            <w:right w:val="none" w:sz="0" w:space="0" w:color="auto"/>
          </w:divBdr>
        </w:div>
        <w:div w:id="1943100593">
          <w:marLeft w:val="288"/>
          <w:marRight w:val="0"/>
          <w:marTop w:val="0"/>
          <w:marBottom w:val="160"/>
          <w:divBdr>
            <w:top w:val="none" w:sz="0" w:space="0" w:color="auto"/>
            <w:left w:val="none" w:sz="0" w:space="0" w:color="auto"/>
            <w:bottom w:val="none" w:sz="0" w:space="0" w:color="auto"/>
            <w:right w:val="none" w:sz="0" w:space="0" w:color="auto"/>
          </w:divBdr>
        </w:div>
      </w:divsChild>
    </w:div>
    <w:div w:id="599879060">
      <w:bodyDiv w:val="1"/>
      <w:marLeft w:val="0"/>
      <w:marRight w:val="0"/>
      <w:marTop w:val="0"/>
      <w:marBottom w:val="0"/>
      <w:divBdr>
        <w:top w:val="none" w:sz="0" w:space="0" w:color="auto"/>
        <w:left w:val="none" w:sz="0" w:space="0" w:color="auto"/>
        <w:bottom w:val="none" w:sz="0" w:space="0" w:color="auto"/>
        <w:right w:val="none" w:sz="0" w:space="0" w:color="auto"/>
      </w:divBdr>
      <w:divsChild>
        <w:div w:id="288584944">
          <w:marLeft w:val="274"/>
          <w:marRight w:val="0"/>
          <w:marTop w:val="0"/>
          <w:marBottom w:val="40"/>
          <w:divBdr>
            <w:top w:val="none" w:sz="0" w:space="0" w:color="auto"/>
            <w:left w:val="none" w:sz="0" w:space="0" w:color="auto"/>
            <w:bottom w:val="none" w:sz="0" w:space="0" w:color="auto"/>
            <w:right w:val="none" w:sz="0" w:space="0" w:color="auto"/>
          </w:divBdr>
        </w:div>
        <w:div w:id="324280447">
          <w:marLeft w:val="274"/>
          <w:marRight w:val="0"/>
          <w:marTop w:val="0"/>
          <w:marBottom w:val="40"/>
          <w:divBdr>
            <w:top w:val="none" w:sz="0" w:space="0" w:color="auto"/>
            <w:left w:val="none" w:sz="0" w:space="0" w:color="auto"/>
            <w:bottom w:val="none" w:sz="0" w:space="0" w:color="auto"/>
            <w:right w:val="none" w:sz="0" w:space="0" w:color="auto"/>
          </w:divBdr>
        </w:div>
        <w:div w:id="673846247">
          <w:marLeft w:val="274"/>
          <w:marRight w:val="0"/>
          <w:marTop w:val="0"/>
          <w:marBottom w:val="40"/>
          <w:divBdr>
            <w:top w:val="none" w:sz="0" w:space="0" w:color="auto"/>
            <w:left w:val="none" w:sz="0" w:space="0" w:color="auto"/>
            <w:bottom w:val="none" w:sz="0" w:space="0" w:color="auto"/>
            <w:right w:val="none" w:sz="0" w:space="0" w:color="auto"/>
          </w:divBdr>
        </w:div>
        <w:div w:id="1025130081">
          <w:marLeft w:val="274"/>
          <w:marRight w:val="0"/>
          <w:marTop w:val="0"/>
          <w:marBottom w:val="40"/>
          <w:divBdr>
            <w:top w:val="none" w:sz="0" w:space="0" w:color="auto"/>
            <w:left w:val="none" w:sz="0" w:space="0" w:color="auto"/>
            <w:bottom w:val="none" w:sz="0" w:space="0" w:color="auto"/>
            <w:right w:val="none" w:sz="0" w:space="0" w:color="auto"/>
          </w:divBdr>
        </w:div>
        <w:div w:id="1042945310">
          <w:marLeft w:val="274"/>
          <w:marRight w:val="0"/>
          <w:marTop w:val="0"/>
          <w:marBottom w:val="40"/>
          <w:divBdr>
            <w:top w:val="none" w:sz="0" w:space="0" w:color="auto"/>
            <w:left w:val="none" w:sz="0" w:space="0" w:color="auto"/>
            <w:bottom w:val="none" w:sz="0" w:space="0" w:color="auto"/>
            <w:right w:val="none" w:sz="0" w:space="0" w:color="auto"/>
          </w:divBdr>
        </w:div>
        <w:div w:id="1604999298">
          <w:marLeft w:val="274"/>
          <w:marRight w:val="0"/>
          <w:marTop w:val="0"/>
          <w:marBottom w:val="40"/>
          <w:divBdr>
            <w:top w:val="none" w:sz="0" w:space="0" w:color="auto"/>
            <w:left w:val="none" w:sz="0" w:space="0" w:color="auto"/>
            <w:bottom w:val="none" w:sz="0" w:space="0" w:color="auto"/>
            <w:right w:val="none" w:sz="0" w:space="0" w:color="auto"/>
          </w:divBdr>
        </w:div>
        <w:div w:id="1659993042">
          <w:marLeft w:val="274"/>
          <w:marRight w:val="0"/>
          <w:marTop w:val="0"/>
          <w:marBottom w:val="40"/>
          <w:divBdr>
            <w:top w:val="none" w:sz="0" w:space="0" w:color="auto"/>
            <w:left w:val="none" w:sz="0" w:space="0" w:color="auto"/>
            <w:bottom w:val="none" w:sz="0" w:space="0" w:color="auto"/>
            <w:right w:val="none" w:sz="0" w:space="0" w:color="auto"/>
          </w:divBdr>
        </w:div>
        <w:div w:id="1702053907">
          <w:marLeft w:val="274"/>
          <w:marRight w:val="0"/>
          <w:marTop w:val="0"/>
          <w:marBottom w:val="40"/>
          <w:divBdr>
            <w:top w:val="none" w:sz="0" w:space="0" w:color="auto"/>
            <w:left w:val="none" w:sz="0" w:space="0" w:color="auto"/>
            <w:bottom w:val="none" w:sz="0" w:space="0" w:color="auto"/>
            <w:right w:val="none" w:sz="0" w:space="0" w:color="auto"/>
          </w:divBdr>
        </w:div>
        <w:div w:id="1873229790">
          <w:marLeft w:val="274"/>
          <w:marRight w:val="0"/>
          <w:marTop w:val="0"/>
          <w:marBottom w:val="40"/>
          <w:divBdr>
            <w:top w:val="none" w:sz="0" w:space="0" w:color="auto"/>
            <w:left w:val="none" w:sz="0" w:space="0" w:color="auto"/>
            <w:bottom w:val="none" w:sz="0" w:space="0" w:color="auto"/>
            <w:right w:val="none" w:sz="0" w:space="0" w:color="auto"/>
          </w:divBdr>
        </w:div>
      </w:divsChild>
    </w:div>
    <w:div w:id="645010739">
      <w:bodyDiv w:val="1"/>
      <w:marLeft w:val="0"/>
      <w:marRight w:val="0"/>
      <w:marTop w:val="0"/>
      <w:marBottom w:val="0"/>
      <w:divBdr>
        <w:top w:val="none" w:sz="0" w:space="0" w:color="auto"/>
        <w:left w:val="none" w:sz="0" w:space="0" w:color="auto"/>
        <w:bottom w:val="none" w:sz="0" w:space="0" w:color="auto"/>
        <w:right w:val="none" w:sz="0" w:space="0" w:color="auto"/>
      </w:divBdr>
      <w:divsChild>
        <w:div w:id="998115546">
          <w:marLeft w:val="274"/>
          <w:marRight w:val="0"/>
          <w:marTop w:val="0"/>
          <w:marBottom w:val="120"/>
          <w:divBdr>
            <w:top w:val="none" w:sz="0" w:space="0" w:color="auto"/>
            <w:left w:val="none" w:sz="0" w:space="0" w:color="auto"/>
            <w:bottom w:val="none" w:sz="0" w:space="0" w:color="auto"/>
            <w:right w:val="none" w:sz="0" w:space="0" w:color="auto"/>
          </w:divBdr>
        </w:div>
      </w:divsChild>
    </w:div>
    <w:div w:id="669482974">
      <w:bodyDiv w:val="1"/>
      <w:marLeft w:val="0"/>
      <w:marRight w:val="0"/>
      <w:marTop w:val="0"/>
      <w:marBottom w:val="0"/>
      <w:divBdr>
        <w:top w:val="none" w:sz="0" w:space="0" w:color="auto"/>
        <w:left w:val="none" w:sz="0" w:space="0" w:color="auto"/>
        <w:bottom w:val="none" w:sz="0" w:space="0" w:color="auto"/>
        <w:right w:val="none" w:sz="0" w:space="0" w:color="auto"/>
      </w:divBdr>
    </w:div>
    <w:div w:id="676158311">
      <w:bodyDiv w:val="1"/>
      <w:marLeft w:val="0"/>
      <w:marRight w:val="0"/>
      <w:marTop w:val="0"/>
      <w:marBottom w:val="0"/>
      <w:divBdr>
        <w:top w:val="none" w:sz="0" w:space="0" w:color="auto"/>
        <w:left w:val="none" w:sz="0" w:space="0" w:color="auto"/>
        <w:bottom w:val="none" w:sz="0" w:space="0" w:color="auto"/>
        <w:right w:val="none" w:sz="0" w:space="0" w:color="auto"/>
      </w:divBdr>
    </w:div>
    <w:div w:id="703138164">
      <w:bodyDiv w:val="1"/>
      <w:marLeft w:val="0"/>
      <w:marRight w:val="0"/>
      <w:marTop w:val="0"/>
      <w:marBottom w:val="0"/>
      <w:divBdr>
        <w:top w:val="none" w:sz="0" w:space="0" w:color="auto"/>
        <w:left w:val="none" w:sz="0" w:space="0" w:color="auto"/>
        <w:bottom w:val="none" w:sz="0" w:space="0" w:color="auto"/>
        <w:right w:val="none" w:sz="0" w:space="0" w:color="auto"/>
      </w:divBdr>
    </w:div>
    <w:div w:id="724181269">
      <w:bodyDiv w:val="1"/>
      <w:marLeft w:val="0"/>
      <w:marRight w:val="0"/>
      <w:marTop w:val="0"/>
      <w:marBottom w:val="0"/>
      <w:divBdr>
        <w:top w:val="none" w:sz="0" w:space="0" w:color="auto"/>
        <w:left w:val="none" w:sz="0" w:space="0" w:color="auto"/>
        <w:bottom w:val="none" w:sz="0" w:space="0" w:color="auto"/>
        <w:right w:val="none" w:sz="0" w:space="0" w:color="auto"/>
      </w:divBdr>
      <w:divsChild>
        <w:div w:id="546063676">
          <w:marLeft w:val="288"/>
          <w:marRight w:val="0"/>
          <w:marTop w:val="0"/>
          <w:marBottom w:val="120"/>
          <w:divBdr>
            <w:top w:val="none" w:sz="0" w:space="0" w:color="auto"/>
            <w:left w:val="none" w:sz="0" w:space="0" w:color="auto"/>
            <w:bottom w:val="none" w:sz="0" w:space="0" w:color="auto"/>
            <w:right w:val="none" w:sz="0" w:space="0" w:color="auto"/>
          </w:divBdr>
        </w:div>
        <w:div w:id="781994127">
          <w:marLeft w:val="288"/>
          <w:marRight w:val="0"/>
          <w:marTop w:val="0"/>
          <w:marBottom w:val="120"/>
          <w:divBdr>
            <w:top w:val="none" w:sz="0" w:space="0" w:color="auto"/>
            <w:left w:val="none" w:sz="0" w:space="0" w:color="auto"/>
            <w:bottom w:val="none" w:sz="0" w:space="0" w:color="auto"/>
            <w:right w:val="none" w:sz="0" w:space="0" w:color="auto"/>
          </w:divBdr>
        </w:div>
        <w:div w:id="1203984459">
          <w:marLeft w:val="288"/>
          <w:marRight w:val="0"/>
          <w:marTop w:val="0"/>
          <w:marBottom w:val="120"/>
          <w:divBdr>
            <w:top w:val="none" w:sz="0" w:space="0" w:color="auto"/>
            <w:left w:val="none" w:sz="0" w:space="0" w:color="auto"/>
            <w:bottom w:val="none" w:sz="0" w:space="0" w:color="auto"/>
            <w:right w:val="none" w:sz="0" w:space="0" w:color="auto"/>
          </w:divBdr>
        </w:div>
        <w:div w:id="1300302168">
          <w:marLeft w:val="288"/>
          <w:marRight w:val="0"/>
          <w:marTop w:val="0"/>
          <w:marBottom w:val="120"/>
          <w:divBdr>
            <w:top w:val="none" w:sz="0" w:space="0" w:color="auto"/>
            <w:left w:val="none" w:sz="0" w:space="0" w:color="auto"/>
            <w:bottom w:val="none" w:sz="0" w:space="0" w:color="auto"/>
            <w:right w:val="none" w:sz="0" w:space="0" w:color="auto"/>
          </w:divBdr>
        </w:div>
        <w:div w:id="1574198676">
          <w:marLeft w:val="288"/>
          <w:marRight w:val="0"/>
          <w:marTop w:val="0"/>
          <w:marBottom w:val="120"/>
          <w:divBdr>
            <w:top w:val="none" w:sz="0" w:space="0" w:color="auto"/>
            <w:left w:val="none" w:sz="0" w:space="0" w:color="auto"/>
            <w:bottom w:val="none" w:sz="0" w:space="0" w:color="auto"/>
            <w:right w:val="none" w:sz="0" w:space="0" w:color="auto"/>
          </w:divBdr>
        </w:div>
        <w:div w:id="1723867350">
          <w:marLeft w:val="288"/>
          <w:marRight w:val="0"/>
          <w:marTop w:val="0"/>
          <w:marBottom w:val="120"/>
          <w:divBdr>
            <w:top w:val="none" w:sz="0" w:space="0" w:color="auto"/>
            <w:left w:val="none" w:sz="0" w:space="0" w:color="auto"/>
            <w:bottom w:val="none" w:sz="0" w:space="0" w:color="auto"/>
            <w:right w:val="none" w:sz="0" w:space="0" w:color="auto"/>
          </w:divBdr>
        </w:div>
      </w:divsChild>
    </w:div>
    <w:div w:id="729690100">
      <w:bodyDiv w:val="1"/>
      <w:marLeft w:val="0"/>
      <w:marRight w:val="0"/>
      <w:marTop w:val="0"/>
      <w:marBottom w:val="0"/>
      <w:divBdr>
        <w:top w:val="none" w:sz="0" w:space="0" w:color="auto"/>
        <w:left w:val="none" w:sz="0" w:space="0" w:color="auto"/>
        <w:bottom w:val="none" w:sz="0" w:space="0" w:color="auto"/>
        <w:right w:val="none" w:sz="0" w:space="0" w:color="auto"/>
      </w:divBdr>
      <w:divsChild>
        <w:div w:id="69736936">
          <w:marLeft w:val="274"/>
          <w:marRight w:val="0"/>
          <w:marTop w:val="0"/>
          <w:marBottom w:val="40"/>
          <w:divBdr>
            <w:top w:val="none" w:sz="0" w:space="0" w:color="auto"/>
            <w:left w:val="none" w:sz="0" w:space="0" w:color="auto"/>
            <w:bottom w:val="none" w:sz="0" w:space="0" w:color="auto"/>
            <w:right w:val="none" w:sz="0" w:space="0" w:color="auto"/>
          </w:divBdr>
        </w:div>
        <w:div w:id="229464945">
          <w:marLeft w:val="274"/>
          <w:marRight w:val="0"/>
          <w:marTop w:val="0"/>
          <w:marBottom w:val="40"/>
          <w:divBdr>
            <w:top w:val="none" w:sz="0" w:space="0" w:color="auto"/>
            <w:left w:val="none" w:sz="0" w:space="0" w:color="auto"/>
            <w:bottom w:val="none" w:sz="0" w:space="0" w:color="auto"/>
            <w:right w:val="none" w:sz="0" w:space="0" w:color="auto"/>
          </w:divBdr>
        </w:div>
        <w:div w:id="359863603">
          <w:marLeft w:val="274"/>
          <w:marRight w:val="0"/>
          <w:marTop w:val="0"/>
          <w:marBottom w:val="40"/>
          <w:divBdr>
            <w:top w:val="none" w:sz="0" w:space="0" w:color="auto"/>
            <w:left w:val="none" w:sz="0" w:space="0" w:color="auto"/>
            <w:bottom w:val="none" w:sz="0" w:space="0" w:color="auto"/>
            <w:right w:val="none" w:sz="0" w:space="0" w:color="auto"/>
          </w:divBdr>
        </w:div>
        <w:div w:id="571702672">
          <w:marLeft w:val="274"/>
          <w:marRight w:val="0"/>
          <w:marTop w:val="0"/>
          <w:marBottom w:val="40"/>
          <w:divBdr>
            <w:top w:val="none" w:sz="0" w:space="0" w:color="auto"/>
            <w:left w:val="none" w:sz="0" w:space="0" w:color="auto"/>
            <w:bottom w:val="none" w:sz="0" w:space="0" w:color="auto"/>
            <w:right w:val="none" w:sz="0" w:space="0" w:color="auto"/>
          </w:divBdr>
        </w:div>
        <w:div w:id="582420115">
          <w:marLeft w:val="274"/>
          <w:marRight w:val="0"/>
          <w:marTop w:val="0"/>
          <w:marBottom w:val="40"/>
          <w:divBdr>
            <w:top w:val="none" w:sz="0" w:space="0" w:color="auto"/>
            <w:left w:val="none" w:sz="0" w:space="0" w:color="auto"/>
            <w:bottom w:val="none" w:sz="0" w:space="0" w:color="auto"/>
            <w:right w:val="none" w:sz="0" w:space="0" w:color="auto"/>
          </w:divBdr>
        </w:div>
        <w:div w:id="843277826">
          <w:marLeft w:val="274"/>
          <w:marRight w:val="0"/>
          <w:marTop w:val="0"/>
          <w:marBottom w:val="40"/>
          <w:divBdr>
            <w:top w:val="none" w:sz="0" w:space="0" w:color="auto"/>
            <w:left w:val="none" w:sz="0" w:space="0" w:color="auto"/>
            <w:bottom w:val="none" w:sz="0" w:space="0" w:color="auto"/>
            <w:right w:val="none" w:sz="0" w:space="0" w:color="auto"/>
          </w:divBdr>
        </w:div>
        <w:div w:id="966349060">
          <w:marLeft w:val="274"/>
          <w:marRight w:val="0"/>
          <w:marTop w:val="0"/>
          <w:marBottom w:val="40"/>
          <w:divBdr>
            <w:top w:val="none" w:sz="0" w:space="0" w:color="auto"/>
            <w:left w:val="none" w:sz="0" w:space="0" w:color="auto"/>
            <w:bottom w:val="none" w:sz="0" w:space="0" w:color="auto"/>
            <w:right w:val="none" w:sz="0" w:space="0" w:color="auto"/>
          </w:divBdr>
        </w:div>
        <w:div w:id="972517588">
          <w:marLeft w:val="274"/>
          <w:marRight w:val="0"/>
          <w:marTop w:val="0"/>
          <w:marBottom w:val="40"/>
          <w:divBdr>
            <w:top w:val="none" w:sz="0" w:space="0" w:color="auto"/>
            <w:left w:val="none" w:sz="0" w:space="0" w:color="auto"/>
            <w:bottom w:val="none" w:sz="0" w:space="0" w:color="auto"/>
            <w:right w:val="none" w:sz="0" w:space="0" w:color="auto"/>
          </w:divBdr>
        </w:div>
        <w:div w:id="1871916425">
          <w:marLeft w:val="274"/>
          <w:marRight w:val="0"/>
          <w:marTop w:val="0"/>
          <w:marBottom w:val="40"/>
          <w:divBdr>
            <w:top w:val="none" w:sz="0" w:space="0" w:color="auto"/>
            <w:left w:val="none" w:sz="0" w:space="0" w:color="auto"/>
            <w:bottom w:val="none" w:sz="0" w:space="0" w:color="auto"/>
            <w:right w:val="none" w:sz="0" w:space="0" w:color="auto"/>
          </w:divBdr>
        </w:div>
      </w:divsChild>
    </w:div>
    <w:div w:id="801845885">
      <w:bodyDiv w:val="1"/>
      <w:marLeft w:val="0"/>
      <w:marRight w:val="0"/>
      <w:marTop w:val="0"/>
      <w:marBottom w:val="0"/>
      <w:divBdr>
        <w:top w:val="none" w:sz="0" w:space="0" w:color="auto"/>
        <w:left w:val="none" w:sz="0" w:space="0" w:color="auto"/>
        <w:bottom w:val="none" w:sz="0" w:space="0" w:color="auto"/>
        <w:right w:val="none" w:sz="0" w:space="0" w:color="auto"/>
      </w:divBdr>
    </w:div>
    <w:div w:id="812676272">
      <w:bodyDiv w:val="1"/>
      <w:marLeft w:val="0"/>
      <w:marRight w:val="0"/>
      <w:marTop w:val="0"/>
      <w:marBottom w:val="0"/>
      <w:divBdr>
        <w:top w:val="none" w:sz="0" w:space="0" w:color="auto"/>
        <w:left w:val="none" w:sz="0" w:space="0" w:color="auto"/>
        <w:bottom w:val="none" w:sz="0" w:space="0" w:color="auto"/>
        <w:right w:val="none" w:sz="0" w:space="0" w:color="auto"/>
      </w:divBdr>
    </w:div>
    <w:div w:id="851190575">
      <w:bodyDiv w:val="1"/>
      <w:marLeft w:val="0"/>
      <w:marRight w:val="0"/>
      <w:marTop w:val="0"/>
      <w:marBottom w:val="0"/>
      <w:divBdr>
        <w:top w:val="none" w:sz="0" w:space="0" w:color="auto"/>
        <w:left w:val="none" w:sz="0" w:space="0" w:color="auto"/>
        <w:bottom w:val="none" w:sz="0" w:space="0" w:color="auto"/>
        <w:right w:val="none" w:sz="0" w:space="0" w:color="auto"/>
      </w:divBdr>
      <w:divsChild>
        <w:div w:id="263920962">
          <w:marLeft w:val="274"/>
          <w:marRight w:val="0"/>
          <w:marTop w:val="0"/>
          <w:marBottom w:val="40"/>
          <w:divBdr>
            <w:top w:val="none" w:sz="0" w:space="0" w:color="auto"/>
            <w:left w:val="none" w:sz="0" w:space="0" w:color="auto"/>
            <w:bottom w:val="none" w:sz="0" w:space="0" w:color="auto"/>
            <w:right w:val="none" w:sz="0" w:space="0" w:color="auto"/>
          </w:divBdr>
        </w:div>
        <w:div w:id="434785042">
          <w:marLeft w:val="274"/>
          <w:marRight w:val="0"/>
          <w:marTop w:val="0"/>
          <w:marBottom w:val="40"/>
          <w:divBdr>
            <w:top w:val="none" w:sz="0" w:space="0" w:color="auto"/>
            <w:left w:val="none" w:sz="0" w:space="0" w:color="auto"/>
            <w:bottom w:val="none" w:sz="0" w:space="0" w:color="auto"/>
            <w:right w:val="none" w:sz="0" w:space="0" w:color="auto"/>
          </w:divBdr>
        </w:div>
        <w:div w:id="681929603">
          <w:marLeft w:val="274"/>
          <w:marRight w:val="0"/>
          <w:marTop w:val="0"/>
          <w:marBottom w:val="40"/>
          <w:divBdr>
            <w:top w:val="none" w:sz="0" w:space="0" w:color="auto"/>
            <w:left w:val="none" w:sz="0" w:space="0" w:color="auto"/>
            <w:bottom w:val="none" w:sz="0" w:space="0" w:color="auto"/>
            <w:right w:val="none" w:sz="0" w:space="0" w:color="auto"/>
          </w:divBdr>
        </w:div>
        <w:div w:id="843861711">
          <w:marLeft w:val="274"/>
          <w:marRight w:val="0"/>
          <w:marTop w:val="0"/>
          <w:marBottom w:val="40"/>
          <w:divBdr>
            <w:top w:val="none" w:sz="0" w:space="0" w:color="auto"/>
            <w:left w:val="none" w:sz="0" w:space="0" w:color="auto"/>
            <w:bottom w:val="none" w:sz="0" w:space="0" w:color="auto"/>
            <w:right w:val="none" w:sz="0" w:space="0" w:color="auto"/>
          </w:divBdr>
        </w:div>
        <w:div w:id="1062556474">
          <w:marLeft w:val="274"/>
          <w:marRight w:val="0"/>
          <w:marTop w:val="0"/>
          <w:marBottom w:val="40"/>
          <w:divBdr>
            <w:top w:val="none" w:sz="0" w:space="0" w:color="auto"/>
            <w:left w:val="none" w:sz="0" w:space="0" w:color="auto"/>
            <w:bottom w:val="none" w:sz="0" w:space="0" w:color="auto"/>
            <w:right w:val="none" w:sz="0" w:space="0" w:color="auto"/>
          </w:divBdr>
        </w:div>
        <w:div w:id="1751198154">
          <w:marLeft w:val="274"/>
          <w:marRight w:val="0"/>
          <w:marTop w:val="0"/>
          <w:marBottom w:val="40"/>
          <w:divBdr>
            <w:top w:val="none" w:sz="0" w:space="0" w:color="auto"/>
            <w:left w:val="none" w:sz="0" w:space="0" w:color="auto"/>
            <w:bottom w:val="none" w:sz="0" w:space="0" w:color="auto"/>
            <w:right w:val="none" w:sz="0" w:space="0" w:color="auto"/>
          </w:divBdr>
        </w:div>
        <w:div w:id="1817450114">
          <w:marLeft w:val="274"/>
          <w:marRight w:val="0"/>
          <w:marTop w:val="0"/>
          <w:marBottom w:val="40"/>
          <w:divBdr>
            <w:top w:val="none" w:sz="0" w:space="0" w:color="auto"/>
            <w:left w:val="none" w:sz="0" w:space="0" w:color="auto"/>
            <w:bottom w:val="none" w:sz="0" w:space="0" w:color="auto"/>
            <w:right w:val="none" w:sz="0" w:space="0" w:color="auto"/>
          </w:divBdr>
        </w:div>
        <w:div w:id="1847986697">
          <w:marLeft w:val="274"/>
          <w:marRight w:val="0"/>
          <w:marTop w:val="0"/>
          <w:marBottom w:val="40"/>
          <w:divBdr>
            <w:top w:val="none" w:sz="0" w:space="0" w:color="auto"/>
            <w:left w:val="none" w:sz="0" w:space="0" w:color="auto"/>
            <w:bottom w:val="none" w:sz="0" w:space="0" w:color="auto"/>
            <w:right w:val="none" w:sz="0" w:space="0" w:color="auto"/>
          </w:divBdr>
        </w:div>
      </w:divsChild>
    </w:div>
    <w:div w:id="915819431">
      <w:bodyDiv w:val="1"/>
      <w:marLeft w:val="0"/>
      <w:marRight w:val="0"/>
      <w:marTop w:val="0"/>
      <w:marBottom w:val="0"/>
      <w:divBdr>
        <w:top w:val="none" w:sz="0" w:space="0" w:color="auto"/>
        <w:left w:val="none" w:sz="0" w:space="0" w:color="auto"/>
        <w:bottom w:val="none" w:sz="0" w:space="0" w:color="auto"/>
        <w:right w:val="none" w:sz="0" w:space="0" w:color="auto"/>
      </w:divBdr>
      <w:divsChild>
        <w:div w:id="282270073">
          <w:marLeft w:val="274"/>
          <w:marRight w:val="0"/>
          <w:marTop w:val="0"/>
          <w:marBottom w:val="120"/>
          <w:divBdr>
            <w:top w:val="none" w:sz="0" w:space="0" w:color="auto"/>
            <w:left w:val="none" w:sz="0" w:space="0" w:color="auto"/>
            <w:bottom w:val="none" w:sz="0" w:space="0" w:color="auto"/>
            <w:right w:val="none" w:sz="0" w:space="0" w:color="auto"/>
          </w:divBdr>
        </w:div>
        <w:div w:id="588587197">
          <w:marLeft w:val="274"/>
          <w:marRight w:val="0"/>
          <w:marTop w:val="0"/>
          <w:marBottom w:val="120"/>
          <w:divBdr>
            <w:top w:val="none" w:sz="0" w:space="0" w:color="auto"/>
            <w:left w:val="none" w:sz="0" w:space="0" w:color="auto"/>
            <w:bottom w:val="none" w:sz="0" w:space="0" w:color="auto"/>
            <w:right w:val="none" w:sz="0" w:space="0" w:color="auto"/>
          </w:divBdr>
        </w:div>
      </w:divsChild>
    </w:div>
    <w:div w:id="922641511">
      <w:bodyDiv w:val="1"/>
      <w:marLeft w:val="0"/>
      <w:marRight w:val="0"/>
      <w:marTop w:val="0"/>
      <w:marBottom w:val="0"/>
      <w:divBdr>
        <w:top w:val="none" w:sz="0" w:space="0" w:color="auto"/>
        <w:left w:val="none" w:sz="0" w:space="0" w:color="auto"/>
        <w:bottom w:val="none" w:sz="0" w:space="0" w:color="auto"/>
        <w:right w:val="none" w:sz="0" w:space="0" w:color="auto"/>
      </w:divBdr>
      <w:divsChild>
        <w:div w:id="188226540">
          <w:marLeft w:val="274"/>
          <w:marRight w:val="0"/>
          <w:marTop w:val="0"/>
          <w:marBottom w:val="60"/>
          <w:divBdr>
            <w:top w:val="none" w:sz="0" w:space="0" w:color="auto"/>
            <w:left w:val="none" w:sz="0" w:space="0" w:color="auto"/>
            <w:bottom w:val="none" w:sz="0" w:space="0" w:color="auto"/>
            <w:right w:val="none" w:sz="0" w:space="0" w:color="auto"/>
          </w:divBdr>
        </w:div>
        <w:div w:id="210119186">
          <w:marLeft w:val="274"/>
          <w:marRight w:val="0"/>
          <w:marTop w:val="0"/>
          <w:marBottom w:val="60"/>
          <w:divBdr>
            <w:top w:val="none" w:sz="0" w:space="0" w:color="auto"/>
            <w:left w:val="none" w:sz="0" w:space="0" w:color="auto"/>
            <w:bottom w:val="none" w:sz="0" w:space="0" w:color="auto"/>
            <w:right w:val="none" w:sz="0" w:space="0" w:color="auto"/>
          </w:divBdr>
        </w:div>
        <w:div w:id="521359005">
          <w:marLeft w:val="274"/>
          <w:marRight w:val="0"/>
          <w:marTop w:val="0"/>
          <w:marBottom w:val="60"/>
          <w:divBdr>
            <w:top w:val="none" w:sz="0" w:space="0" w:color="auto"/>
            <w:left w:val="none" w:sz="0" w:space="0" w:color="auto"/>
            <w:bottom w:val="none" w:sz="0" w:space="0" w:color="auto"/>
            <w:right w:val="none" w:sz="0" w:space="0" w:color="auto"/>
          </w:divBdr>
        </w:div>
        <w:div w:id="817263972">
          <w:marLeft w:val="274"/>
          <w:marRight w:val="0"/>
          <w:marTop w:val="0"/>
          <w:marBottom w:val="60"/>
          <w:divBdr>
            <w:top w:val="none" w:sz="0" w:space="0" w:color="auto"/>
            <w:left w:val="none" w:sz="0" w:space="0" w:color="auto"/>
            <w:bottom w:val="none" w:sz="0" w:space="0" w:color="auto"/>
            <w:right w:val="none" w:sz="0" w:space="0" w:color="auto"/>
          </w:divBdr>
        </w:div>
        <w:div w:id="1075932291">
          <w:marLeft w:val="274"/>
          <w:marRight w:val="0"/>
          <w:marTop w:val="0"/>
          <w:marBottom w:val="60"/>
          <w:divBdr>
            <w:top w:val="none" w:sz="0" w:space="0" w:color="auto"/>
            <w:left w:val="none" w:sz="0" w:space="0" w:color="auto"/>
            <w:bottom w:val="none" w:sz="0" w:space="0" w:color="auto"/>
            <w:right w:val="none" w:sz="0" w:space="0" w:color="auto"/>
          </w:divBdr>
        </w:div>
        <w:div w:id="1695304703">
          <w:marLeft w:val="274"/>
          <w:marRight w:val="0"/>
          <w:marTop w:val="0"/>
          <w:marBottom w:val="60"/>
          <w:divBdr>
            <w:top w:val="none" w:sz="0" w:space="0" w:color="auto"/>
            <w:left w:val="none" w:sz="0" w:space="0" w:color="auto"/>
            <w:bottom w:val="none" w:sz="0" w:space="0" w:color="auto"/>
            <w:right w:val="none" w:sz="0" w:space="0" w:color="auto"/>
          </w:divBdr>
        </w:div>
        <w:div w:id="1868252074">
          <w:marLeft w:val="274"/>
          <w:marRight w:val="0"/>
          <w:marTop w:val="0"/>
          <w:marBottom w:val="60"/>
          <w:divBdr>
            <w:top w:val="none" w:sz="0" w:space="0" w:color="auto"/>
            <w:left w:val="none" w:sz="0" w:space="0" w:color="auto"/>
            <w:bottom w:val="none" w:sz="0" w:space="0" w:color="auto"/>
            <w:right w:val="none" w:sz="0" w:space="0" w:color="auto"/>
          </w:divBdr>
        </w:div>
        <w:div w:id="2080207688">
          <w:marLeft w:val="274"/>
          <w:marRight w:val="0"/>
          <w:marTop w:val="0"/>
          <w:marBottom w:val="60"/>
          <w:divBdr>
            <w:top w:val="none" w:sz="0" w:space="0" w:color="auto"/>
            <w:left w:val="none" w:sz="0" w:space="0" w:color="auto"/>
            <w:bottom w:val="none" w:sz="0" w:space="0" w:color="auto"/>
            <w:right w:val="none" w:sz="0" w:space="0" w:color="auto"/>
          </w:divBdr>
        </w:div>
        <w:div w:id="2111968563">
          <w:marLeft w:val="274"/>
          <w:marRight w:val="0"/>
          <w:marTop w:val="0"/>
          <w:marBottom w:val="60"/>
          <w:divBdr>
            <w:top w:val="none" w:sz="0" w:space="0" w:color="auto"/>
            <w:left w:val="none" w:sz="0" w:space="0" w:color="auto"/>
            <w:bottom w:val="none" w:sz="0" w:space="0" w:color="auto"/>
            <w:right w:val="none" w:sz="0" w:space="0" w:color="auto"/>
          </w:divBdr>
        </w:div>
      </w:divsChild>
    </w:div>
    <w:div w:id="1007366710">
      <w:bodyDiv w:val="1"/>
      <w:marLeft w:val="0"/>
      <w:marRight w:val="0"/>
      <w:marTop w:val="0"/>
      <w:marBottom w:val="0"/>
      <w:divBdr>
        <w:top w:val="none" w:sz="0" w:space="0" w:color="auto"/>
        <w:left w:val="none" w:sz="0" w:space="0" w:color="auto"/>
        <w:bottom w:val="none" w:sz="0" w:space="0" w:color="auto"/>
        <w:right w:val="none" w:sz="0" w:space="0" w:color="auto"/>
      </w:divBdr>
      <w:divsChild>
        <w:div w:id="1479876388">
          <w:marLeft w:val="274"/>
          <w:marRight w:val="0"/>
          <w:marTop w:val="0"/>
          <w:marBottom w:val="120"/>
          <w:divBdr>
            <w:top w:val="none" w:sz="0" w:space="0" w:color="auto"/>
            <w:left w:val="none" w:sz="0" w:space="0" w:color="auto"/>
            <w:bottom w:val="none" w:sz="0" w:space="0" w:color="auto"/>
            <w:right w:val="none" w:sz="0" w:space="0" w:color="auto"/>
          </w:divBdr>
        </w:div>
        <w:div w:id="1923371396">
          <w:marLeft w:val="274"/>
          <w:marRight w:val="0"/>
          <w:marTop w:val="0"/>
          <w:marBottom w:val="120"/>
          <w:divBdr>
            <w:top w:val="none" w:sz="0" w:space="0" w:color="auto"/>
            <w:left w:val="none" w:sz="0" w:space="0" w:color="auto"/>
            <w:bottom w:val="none" w:sz="0" w:space="0" w:color="auto"/>
            <w:right w:val="none" w:sz="0" w:space="0" w:color="auto"/>
          </w:divBdr>
        </w:div>
      </w:divsChild>
    </w:div>
    <w:div w:id="1117338231">
      <w:bodyDiv w:val="1"/>
      <w:marLeft w:val="0"/>
      <w:marRight w:val="0"/>
      <w:marTop w:val="0"/>
      <w:marBottom w:val="0"/>
      <w:divBdr>
        <w:top w:val="none" w:sz="0" w:space="0" w:color="auto"/>
        <w:left w:val="none" w:sz="0" w:space="0" w:color="auto"/>
        <w:bottom w:val="none" w:sz="0" w:space="0" w:color="auto"/>
        <w:right w:val="none" w:sz="0" w:space="0" w:color="auto"/>
      </w:divBdr>
      <w:divsChild>
        <w:div w:id="270281080">
          <w:marLeft w:val="274"/>
          <w:marRight w:val="0"/>
          <w:marTop w:val="0"/>
          <w:marBottom w:val="120"/>
          <w:divBdr>
            <w:top w:val="none" w:sz="0" w:space="0" w:color="auto"/>
            <w:left w:val="none" w:sz="0" w:space="0" w:color="auto"/>
            <w:bottom w:val="none" w:sz="0" w:space="0" w:color="auto"/>
            <w:right w:val="none" w:sz="0" w:space="0" w:color="auto"/>
          </w:divBdr>
        </w:div>
        <w:div w:id="276914657">
          <w:marLeft w:val="274"/>
          <w:marRight w:val="0"/>
          <w:marTop w:val="0"/>
          <w:marBottom w:val="120"/>
          <w:divBdr>
            <w:top w:val="none" w:sz="0" w:space="0" w:color="auto"/>
            <w:left w:val="none" w:sz="0" w:space="0" w:color="auto"/>
            <w:bottom w:val="none" w:sz="0" w:space="0" w:color="auto"/>
            <w:right w:val="none" w:sz="0" w:space="0" w:color="auto"/>
          </w:divBdr>
        </w:div>
        <w:div w:id="1240554011">
          <w:marLeft w:val="274"/>
          <w:marRight w:val="0"/>
          <w:marTop w:val="0"/>
          <w:marBottom w:val="120"/>
          <w:divBdr>
            <w:top w:val="none" w:sz="0" w:space="0" w:color="auto"/>
            <w:left w:val="none" w:sz="0" w:space="0" w:color="auto"/>
            <w:bottom w:val="none" w:sz="0" w:space="0" w:color="auto"/>
            <w:right w:val="none" w:sz="0" w:space="0" w:color="auto"/>
          </w:divBdr>
        </w:div>
        <w:div w:id="1370836516">
          <w:marLeft w:val="274"/>
          <w:marRight w:val="0"/>
          <w:marTop w:val="0"/>
          <w:marBottom w:val="120"/>
          <w:divBdr>
            <w:top w:val="none" w:sz="0" w:space="0" w:color="auto"/>
            <w:left w:val="none" w:sz="0" w:space="0" w:color="auto"/>
            <w:bottom w:val="none" w:sz="0" w:space="0" w:color="auto"/>
            <w:right w:val="none" w:sz="0" w:space="0" w:color="auto"/>
          </w:divBdr>
        </w:div>
        <w:div w:id="1691644705">
          <w:marLeft w:val="274"/>
          <w:marRight w:val="0"/>
          <w:marTop w:val="0"/>
          <w:marBottom w:val="120"/>
          <w:divBdr>
            <w:top w:val="none" w:sz="0" w:space="0" w:color="auto"/>
            <w:left w:val="none" w:sz="0" w:space="0" w:color="auto"/>
            <w:bottom w:val="none" w:sz="0" w:space="0" w:color="auto"/>
            <w:right w:val="none" w:sz="0" w:space="0" w:color="auto"/>
          </w:divBdr>
        </w:div>
        <w:div w:id="1851677017">
          <w:marLeft w:val="274"/>
          <w:marRight w:val="0"/>
          <w:marTop w:val="0"/>
          <w:marBottom w:val="120"/>
          <w:divBdr>
            <w:top w:val="none" w:sz="0" w:space="0" w:color="auto"/>
            <w:left w:val="none" w:sz="0" w:space="0" w:color="auto"/>
            <w:bottom w:val="none" w:sz="0" w:space="0" w:color="auto"/>
            <w:right w:val="none" w:sz="0" w:space="0" w:color="auto"/>
          </w:divBdr>
        </w:div>
      </w:divsChild>
    </w:div>
    <w:div w:id="1148550103">
      <w:bodyDiv w:val="1"/>
      <w:marLeft w:val="0"/>
      <w:marRight w:val="0"/>
      <w:marTop w:val="0"/>
      <w:marBottom w:val="0"/>
      <w:divBdr>
        <w:top w:val="none" w:sz="0" w:space="0" w:color="auto"/>
        <w:left w:val="none" w:sz="0" w:space="0" w:color="auto"/>
        <w:bottom w:val="none" w:sz="0" w:space="0" w:color="auto"/>
        <w:right w:val="none" w:sz="0" w:space="0" w:color="auto"/>
      </w:divBdr>
      <w:divsChild>
        <w:div w:id="368998451">
          <w:marLeft w:val="274"/>
          <w:marRight w:val="0"/>
          <w:marTop w:val="0"/>
          <w:marBottom w:val="120"/>
          <w:divBdr>
            <w:top w:val="none" w:sz="0" w:space="0" w:color="auto"/>
            <w:left w:val="none" w:sz="0" w:space="0" w:color="auto"/>
            <w:bottom w:val="none" w:sz="0" w:space="0" w:color="auto"/>
            <w:right w:val="none" w:sz="0" w:space="0" w:color="auto"/>
          </w:divBdr>
        </w:div>
        <w:div w:id="1745375093">
          <w:marLeft w:val="274"/>
          <w:marRight w:val="0"/>
          <w:marTop w:val="0"/>
          <w:marBottom w:val="120"/>
          <w:divBdr>
            <w:top w:val="none" w:sz="0" w:space="0" w:color="auto"/>
            <w:left w:val="none" w:sz="0" w:space="0" w:color="auto"/>
            <w:bottom w:val="none" w:sz="0" w:space="0" w:color="auto"/>
            <w:right w:val="none" w:sz="0" w:space="0" w:color="auto"/>
          </w:divBdr>
        </w:div>
        <w:div w:id="2119400719">
          <w:marLeft w:val="274"/>
          <w:marRight w:val="0"/>
          <w:marTop w:val="0"/>
          <w:marBottom w:val="120"/>
          <w:divBdr>
            <w:top w:val="none" w:sz="0" w:space="0" w:color="auto"/>
            <w:left w:val="none" w:sz="0" w:space="0" w:color="auto"/>
            <w:bottom w:val="none" w:sz="0" w:space="0" w:color="auto"/>
            <w:right w:val="none" w:sz="0" w:space="0" w:color="auto"/>
          </w:divBdr>
        </w:div>
      </w:divsChild>
    </w:div>
    <w:div w:id="1152482526">
      <w:bodyDiv w:val="1"/>
      <w:marLeft w:val="0"/>
      <w:marRight w:val="0"/>
      <w:marTop w:val="0"/>
      <w:marBottom w:val="0"/>
      <w:divBdr>
        <w:top w:val="none" w:sz="0" w:space="0" w:color="auto"/>
        <w:left w:val="none" w:sz="0" w:space="0" w:color="auto"/>
        <w:bottom w:val="none" w:sz="0" w:space="0" w:color="auto"/>
        <w:right w:val="none" w:sz="0" w:space="0" w:color="auto"/>
      </w:divBdr>
    </w:div>
    <w:div w:id="1161966598">
      <w:bodyDiv w:val="1"/>
      <w:marLeft w:val="0"/>
      <w:marRight w:val="0"/>
      <w:marTop w:val="0"/>
      <w:marBottom w:val="0"/>
      <w:divBdr>
        <w:top w:val="none" w:sz="0" w:space="0" w:color="auto"/>
        <w:left w:val="none" w:sz="0" w:space="0" w:color="auto"/>
        <w:bottom w:val="none" w:sz="0" w:space="0" w:color="auto"/>
        <w:right w:val="none" w:sz="0" w:space="0" w:color="auto"/>
      </w:divBdr>
      <w:divsChild>
        <w:div w:id="1100638294">
          <w:marLeft w:val="274"/>
          <w:marRight w:val="0"/>
          <w:marTop w:val="0"/>
          <w:marBottom w:val="120"/>
          <w:divBdr>
            <w:top w:val="none" w:sz="0" w:space="0" w:color="auto"/>
            <w:left w:val="none" w:sz="0" w:space="0" w:color="auto"/>
            <w:bottom w:val="none" w:sz="0" w:space="0" w:color="auto"/>
            <w:right w:val="none" w:sz="0" w:space="0" w:color="auto"/>
          </w:divBdr>
        </w:div>
      </w:divsChild>
    </w:div>
    <w:div w:id="1165975027">
      <w:bodyDiv w:val="1"/>
      <w:marLeft w:val="0"/>
      <w:marRight w:val="0"/>
      <w:marTop w:val="0"/>
      <w:marBottom w:val="0"/>
      <w:divBdr>
        <w:top w:val="none" w:sz="0" w:space="0" w:color="auto"/>
        <w:left w:val="none" w:sz="0" w:space="0" w:color="auto"/>
        <w:bottom w:val="none" w:sz="0" w:space="0" w:color="auto"/>
        <w:right w:val="none" w:sz="0" w:space="0" w:color="auto"/>
      </w:divBdr>
      <w:divsChild>
        <w:div w:id="124396979">
          <w:marLeft w:val="274"/>
          <w:marRight w:val="0"/>
          <w:marTop w:val="0"/>
          <w:marBottom w:val="120"/>
          <w:divBdr>
            <w:top w:val="none" w:sz="0" w:space="0" w:color="auto"/>
            <w:left w:val="none" w:sz="0" w:space="0" w:color="auto"/>
            <w:bottom w:val="none" w:sz="0" w:space="0" w:color="auto"/>
            <w:right w:val="none" w:sz="0" w:space="0" w:color="auto"/>
          </w:divBdr>
        </w:div>
      </w:divsChild>
    </w:div>
    <w:div w:id="1228683318">
      <w:bodyDiv w:val="1"/>
      <w:marLeft w:val="0"/>
      <w:marRight w:val="0"/>
      <w:marTop w:val="0"/>
      <w:marBottom w:val="0"/>
      <w:divBdr>
        <w:top w:val="none" w:sz="0" w:space="0" w:color="auto"/>
        <w:left w:val="none" w:sz="0" w:space="0" w:color="auto"/>
        <w:bottom w:val="none" w:sz="0" w:space="0" w:color="auto"/>
        <w:right w:val="none" w:sz="0" w:space="0" w:color="auto"/>
      </w:divBdr>
    </w:div>
    <w:div w:id="1337269007">
      <w:bodyDiv w:val="1"/>
      <w:marLeft w:val="0"/>
      <w:marRight w:val="0"/>
      <w:marTop w:val="0"/>
      <w:marBottom w:val="0"/>
      <w:divBdr>
        <w:top w:val="none" w:sz="0" w:space="0" w:color="auto"/>
        <w:left w:val="none" w:sz="0" w:space="0" w:color="auto"/>
        <w:bottom w:val="none" w:sz="0" w:space="0" w:color="auto"/>
        <w:right w:val="none" w:sz="0" w:space="0" w:color="auto"/>
      </w:divBdr>
      <w:divsChild>
        <w:div w:id="357967621">
          <w:marLeft w:val="288"/>
          <w:marRight w:val="0"/>
          <w:marTop w:val="0"/>
          <w:marBottom w:val="120"/>
          <w:divBdr>
            <w:top w:val="none" w:sz="0" w:space="0" w:color="auto"/>
            <w:left w:val="none" w:sz="0" w:space="0" w:color="auto"/>
            <w:bottom w:val="none" w:sz="0" w:space="0" w:color="auto"/>
            <w:right w:val="none" w:sz="0" w:space="0" w:color="auto"/>
          </w:divBdr>
        </w:div>
        <w:div w:id="629481479">
          <w:marLeft w:val="288"/>
          <w:marRight w:val="0"/>
          <w:marTop w:val="0"/>
          <w:marBottom w:val="120"/>
          <w:divBdr>
            <w:top w:val="none" w:sz="0" w:space="0" w:color="auto"/>
            <w:left w:val="none" w:sz="0" w:space="0" w:color="auto"/>
            <w:bottom w:val="none" w:sz="0" w:space="0" w:color="auto"/>
            <w:right w:val="none" w:sz="0" w:space="0" w:color="auto"/>
          </w:divBdr>
        </w:div>
        <w:div w:id="1238706389">
          <w:marLeft w:val="288"/>
          <w:marRight w:val="0"/>
          <w:marTop w:val="0"/>
          <w:marBottom w:val="120"/>
          <w:divBdr>
            <w:top w:val="none" w:sz="0" w:space="0" w:color="auto"/>
            <w:left w:val="none" w:sz="0" w:space="0" w:color="auto"/>
            <w:bottom w:val="none" w:sz="0" w:space="0" w:color="auto"/>
            <w:right w:val="none" w:sz="0" w:space="0" w:color="auto"/>
          </w:divBdr>
        </w:div>
        <w:div w:id="1583489292">
          <w:marLeft w:val="288"/>
          <w:marRight w:val="0"/>
          <w:marTop w:val="0"/>
          <w:marBottom w:val="120"/>
          <w:divBdr>
            <w:top w:val="none" w:sz="0" w:space="0" w:color="auto"/>
            <w:left w:val="none" w:sz="0" w:space="0" w:color="auto"/>
            <w:bottom w:val="none" w:sz="0" w:space="0" w:color="auto"/>
            <w:right w:val="none" w:sz="0" w:space="0" w:color="auto"/>
          </w:divBdr>
        </w:div>
        <w:div w:id="1610165653">
          <w:marLeft w:val="288"/>
          <w:marRight w:val="0"/>
          <w:marTop w:val="0"/>
          <w:marBottom w:val="120"/>
          <w:divBdr>
            <w:top w:val="none" w:sz="0" w:space="0" w:color="auto"/>
            <w:left w:val="none" w:sz="0" w:space="0" w:color="auto"/>
            <w:bottom w:val="none" w:sz="0" w:space="0" w:color="auto"/>
            <w:right w:val="none" w:sz="0" w:space="0" w:color="auto"/>
          </w:divBdr>
        </w:div>
        <w:div w:id="1874876287">
          <w:marLeft w:val="288"/>
          <w:marRight w:val="0"/>
          <w:marTop w:val="0"/>
          <w:marBottom w:val="120"/>
          <w:divBdr>
            <w:top w:val="none" w:sz="0" w:space="0" w:color="auto"/>
            <w:left w:val="none" w:sz="0" w:space="0" w:color="auto"/>
            <w:bottom w:val="none" w:sz="0" w:space="0" w:color="auto"/>
            <w:right w:val="none" w:sz="0" w:space="0" w:color="auto"/>
          </w:divBdr>
        </w:div>
      </w:divsChild>
    </w:div>
    <w:div w:id="1403453503">
      <w:bodyDiv w:val="1"/>
      <w:marLeft w:val="0"/>
      <w:marRight w:val="0"/>
      <w:marTop w:val="0"/>
      <w:marBottom w:val="0"/>
      <w:divBdr>
        <w:top w:val="none" w:sz="0" w:space="0" w:color="auto"/>
        <w:left w:val="none" w:sz="0" w:space="0" w:color="auto"/>
        <w:bottom w:val="none" w:sz="0" w:space="0" w:color="auto"/>
        <w:right w:val="none" w:sz="0" w:space="0" w:color="auto"/>
      </w:divBdr>
    </w:div>
    <w:div w:id="1455294415">
      <w:bodyDiv w:val="1"/>
      <w:marLeft w:val="0"/>
      <w:marRight w:val="0"/>
      <w:marTop w:val="0"/>
      <w:marBottom w:val="0"/>
      <w:divBdr>
        <w:top w:val="none" w:sz="0" w:space="0" w:color="auto"/>
        <w:left w:val="none" w:sz="0" w:space="0" w:color="auto"/>
        <w:bottom w:val="none" w:sz="0" w:space="0" w:color="auto"/>
        <w:right w:val="none" w:sz="0" w:space="0" w:color="auto"/>
      </w:divBdr>
      <w:divsChild>
        <w:div w:id="203252241">
          <w:marLeft w:val="274"/>
          <w:marRight w:val="0"/>
          <w:marTop w:val="0"/>
          <w:marBottom w:val="120"/>
          <w:divBdr>
            <w:top w:val="none" w:sz="0" w:space="0" w:color="auto"/>
            <w:left w:val="none" w:sz="0" w:space="0" w:color="auto"/>
            <w:bottom w:val="none" w:sz="0" w:space="0" w:color="auto"/>
            <w:right w:val="none" w:sz="0" w:space="0" w:color="auto"/>
          </w:divBdr>
        </w:div>
        <w:div w:id="314993857">
          <w:marLeft w:val="274"/>
          <w:marRight w:val="0"/>
          <w:marTop w:val="0"/>
          <w:marBottom w:val="120"/>
          <w:divBdr>
            <w:top w:val="none" w:sz="0" w:space="0" w:color="auto"/>
            <w:left w:val="none" w:sz="0" w:space="0" w:color="auto"/>
            <w:bottom w:val="none" w:sz="0" w:space="0" w:color="auto"/>
            <w:right w:val="none" w:sz="0" w:space="0" w:color="auto"/>
          </w:divBdr>
        </w:div>
        <w:div w:id="829490849">
          <w:marLeft w:val="274"/>
          <w:marRight w:val="0"/>
          <w:marTop w:val="0"/>
          <w:marBottom w:val="120"/>
          <w:divBdr>
            <w:top w:val="none" w:sz="0" w:space="0" w:color="auto"/>
            <w:left w:val="none" w:sz="0" w:space="0" w:color="auto"/>
            <w:bottom w:val="none" w:sz="0" w:space="0" w:color="auto"/>
            <w:right w:val="none" w:sz="0" w:space="0" w:color="auto"/>
          </w:divBdr>
        </w:div>
        <w:div w:id="886799606">
          <w:marLeft w:val="274"/>
          <w:marRight w:val="0"/>
          <w:marTop w:val="0"/>
          <w:marBottom w:val="120"/>
          <w:divBdr>
            <w:top w:val="none" w:sz="0" w:space="0" w:color="auto"/>
            <w:left w:val="none" w:sz="0" w:space="0" w:color="auto"/>
            <w:bottom w:val="none" w:sz="0" w:space="0" w:color="auto"/>
            <w:right w:val="none" w:sz="0" w:space="0" w:color="auto"/>
          </w:divBdr>
        </w:div>
        <w:div w:id="1285623716">
          <w:marLeft w:val="274"/>
          <w:marRight w:val="0"/>
          <w:marTop w:val="0"/>
          <w:marBottom w:val="120"/>
          <w:divBdr>
            <w:top w:val="none" w:sz="0" w:space="0" w:color="auto"/>
            <w:left w:val="none" w:sz="0" w:space="0" w:color="auto"/>
            <w:bottom w:val="none" w:sz="0" w:space="0" w:color="auto"/>
            <w:right w:val="none" w:sz="0" w:space="0" w:color="auto"/>
          </w:divBdr>
        </w:div>
        <w:div w:id="1416125111">
          <w:marLeft w:val="274"/>
          <w:marRight w:val="0"/>
          <w:marTop w:val="0"/>
          <w:marBottom w:val="120"/>
          <w:divBdr>
            <w:top w:val="none" w:sz="0" w:space="0" w:color="auto"/>
            <w:left w:val="none" w:sz="0" w:space="0" w:color="auto"/>
            <w:bottom w:val="none" w:sz="0" w:space="0" w:color="auto"/>
            <w:right w:val="none" w:sz="0" w:space="0" w:color="auto"/>
          </w:divBdr>
        </w:div>
        <w:div w:id="1482968845">
          <w:marLeft w:val="274"/>
          <w:marRight w:val="0"/>
          <w:marTop w:val="0"/>
          <w:marBottom w:val="120"/>
          <w:divBdr>
            <w:top w:val="none" w:sz="0" w:space="0" w:color="auto"/>
            <w:left w:val="none" w:sz="0" w:space="0" w:color="auto"/>
            <w:bottom w:val="none" w:sz="0" w:space="0" w:color="auto"/>
            <w:right w:val="none" w:sz="0" w:space="0" w:color="auto"/>
          </w:divBdr>
        </w:div>
        <w:div w:id="1750151894">
          <w:marLeft w:val="274"/>
          <w:marRight w:val="0"/>
          <w:marTop w:val="0"/>
          <w:marBottom w:val="120"/>
          <w:divBdr>
            <w:top w:val="none" w:sz="0" w:space="0" w:color="auto"/>
            <w:left w:val="none" w:sz="0" w:space="0" w:color="auto"/>
            <w:bottom w:val="none" w:sz="0" w:space="0" w:color="auto"/>
            <w:right w:val="none" w:sz="0" w:space="0" w:color="auto"/>
          </w:divBdr>
        </w:div>
        <w:div w:id="1750956591">
          <w:marLeft w:val="274"/>
          <w:marRight w:val="0"/>
          <w:marTop w:val="0"/>
          <w:marBottom w:val="120"/>
          <w:divBdr>
            <w:top w:val="none" w:sz="0" w:space="0" w:color="auto"/>
            <w:left w:val="none" w:sz="0" w:space="0" w:color="auto"/>
            <w:bottom w:val="none" w:sz="0" w:space="0" w:color="auto"/>
            <w:right w:val="none" w:sz="0" w:space="0" w:color="auto"/>
          </w:divBdr>
        </w:div>
      </w:divsChild>
    </w:div>
    <w:div w:id="1467626185">
      <w:bodyDiv w:val="1"/>
      <w:marLeft w:val="0"/>
      <w:marRight w:val="0"/>
      <w:marTop w:val="0"/>
      <w:marBottom w:val="0"/>
      <w:divBdr>
        <w:top w:val="none" w:sz="0" w:space="0" w:color="auto"/>
        <w:left w:val="none" w:sz="0" w:space="0" w:color="auto"/>
        <w:bottom w:val="none" w:sz="0" w:space="0" w:color="auto"/>
        <w:right w:val="none" w:sz="0" w:space="0" w:color="auto"/>
      </w:divBdr>
    </w:div>
    <w:div w:id="1490561797">
      <w:bodyDiv w:val="1"/>
      <w:marLeft w:val="0"/>
      <w:marRight w:val="0"/>
      <w:marTop w:val="0"/>
      <w:marBottom w:val="0"/>
      <w:divBdr>
        <w:top w:val="none" w:sz="0" w:space="0" w:color="auto"/>
        <w:left w:val="none" w:sz="0" w:space="0" w:color="auto"/>
        <w:bottom w:val="none" w:sz="0" w:space="0" w:color="auto"/>
        <w:right w:val="none" w:sz="0" w:space="0" w:color="auto"/>
      </w:divBdr>
      <w:divsChild>
        <w:div w:id="868642929">
          <w:marLeft w:val="274"/>
          <w:marRight w:val="0"/>
          <w:marTop w:val="0"/>
          <w:marBottom w:val="120"/>
          <w:divBdr>
            <w:top w:val="none" w:sz="0" w:space="0" w:color="auto"/>
            <w:left w:val="none" w:sz="0" w:space="0" w:color="auto"/>
            <w:bottom w:val="none" w:sz="0" w:space="0" w:color="auto"/>
            <w:right w:val="none" w:sz="0" w:space="0" w:color="auto"/>
          </w:divBdr>
        </w:div>
        <w:div w:id="884023478">
          <w:marLeft w:val="274"/>
          <w:marRight w:val="0"/>
          <w:marTop w:val="0"/>
          <w:marBottom w:val="120"/>
          <w:divBdr>
            <w:top w:val="none" w:sz="0" w:space="0" w:color="auto"/>
            <w:left w:val="none" w:sz="0" w:space="0" w:color="auto"/>
            <w:bottom w:val="none" w:sz="0" w:space="0" w:color="auto"/>
            <w:right w:val="none" w:sz="0" w:space="0" w:color="auto"/>
          </w:divBdr>
        </w:div>
        <w:div w:id="909189527">
          <w:marLeft w:val="274"/>
          <w:marRight w:val="0"/>
          <w:marTop w:val="0"/>
          <w:marBottom w:val="120"/>
          <w:divBdr>
            <w:top w:val="none" w:sz="0" w:space="0" w:color="auto"/>
            <w:left w:val="none" w:sz="0" w:space="0" w:color="auto"/>
            <w:bottom w:val="none" w:sz="0" w:space="0" w:color="auto"/>
            <w:right w:val="none" w:sz="0" w:space="0" w:color="auto"/>
          </w:divBdr>
        </w:div>
      </w:divsChild>
    </w:div>
    <w:div w:id="1552304871">
      <w:bodyDiv w:val="1"/>
      <w:marLeft w:val="0"/>
      <w:marRight w:val="0"/>
      <w:marTop w:val="0"/>
      <w:marBottom w:val="0"/>
      <w:divBdr>
        <w:top w:val="none" w:sz="0" w:space="0" w:color="auto"/>
        <w:left w:val="none" w:sz="0" w:space="0" w:color="auto"/>
        <w:bottom w:val="none" w:sz="0" w:space="0" w:color="auto"/>
        <w:right w:val="none" w:sz="0" w:space="0" w:color="auto"/>
      </w:divBdr>
      <w:divsChild>
        <w:div w:id="612136003">
          <w:marLeft w:val="274"/>
          <w:marRight w:val="0"/>
          <w:marTop w:val="0"/>
          <w:marBottom w:val="120"/>
          <w:divBdr>
            <w:top w:val="none" w:sz="0" w:space="0" w:color="auto"/>
            <w:left w:val="none" w:sz="0" w:space="0" w:color="auto"/>
            <w:bottom w:val="none" w:sz="0" w:space="0" w:color="auto"/>
            <w:right w:val="none" w:sz="0" w:space="0" w:color="auto"/>
          </w:divBdr>
        </w:div>
        <w:div w:id="750079272">
          <w:marLeft w:val="274"/>
          <w:marRight w:val="0"/>
          <w:marTop w:val="0"/>
          <w:marBottom w:val="120"/>
          <w:divBdr>
            <w:top w:val="none" w:sz="0" w:space="0" w:color="auto"/>
            <w:left w:val="none" w:sz="0" w:space="0" w:color="auto"/>
            <w:bottom w:val="none" w:sz="0" w:space="0" w:color="auto"/>
            <w:right w:val="none" w:sz="0" w:space="0" w:color="auto"/>
          </w:divBdr>
        </w:div>
        <w:div w:id="770473017">
          <w:marLeft w:val="274"/>
          <w:marRight w:val="0"/>
          <w:marTop w:val="0"/>
          <w:marBottom w:val="120"/>
          <w:divBdr>
            <w:top w:val="none" w:sz="0" w:space="0" w:color="auto"/>
            <w:left w:val="none" w:sz="0" w:space="0" w:color="auto"/>
            <w:bottom w:val="none" w:sz="0" w:space="0" w:color="auto"/>
            <w:right w:val="none" w:sz="0" w:space="0" w:color="auto"/>
          </w:divBdr>
        </w:div>
        <w:div w:id="790053488">
          <w:marLeft w:val="274"/>
          <w:marRight w:val="0"/>
          <w:marTop w:val="0"/>
          <w:marBottom w:val="120"/>
          <w:divBdr>
            <w:top w:val="none" w:sz="0" w:space="0" w:color="auto"/>
            <w:left w:val="none" w:sz="0" w:space="0" w:color="auto"/>
            <w:bottom w:val="none" w:sz="0" w:space="0" w:color="auto"/>
            <w:right w:val="none" w:sz="0" w:space="0" w:color="auto"/>
          </w:divBdr>
        </w:div>
        <w:div w:id="880629947">
          <w:marLeft w:val="274"/>
          <w:marRight w:val="0"/>
          <w:marTop w:val="0"/>
          <w:marBottom w:val="120"/>
          <w:divBdr>
            <w:top w:val="none" w:sz="0" w:space="0" w:color="auto"/>
            <w:left w:val="none" w:sz="0" w:space="0" w:color="auto"/>
            <w:bottom w:val="none" w:sz="0" w:space="0" w:color="auto"/>
            <w:right w:val="none" w:sz="0" w:space="0" w:color="auto"/>
          </w:divBdr>
        </w:div>
        <w:div w:id="1109466926">
          <w:marLeft w:val="274"/>
          <w:marRight w:val="0"/>
          <w:marTop w:val="0"/>
          <w:marBottom w:val="120"/>
          <w:divBdr>
            <w:top w:val="none" w:sz="0" w:space="0" w:color="auto"/>
            <w:left w:val="none" w:sz="0" w:space="0" w:color="auto"/>
            <w:bottom w:val="none" w:sz="0" w:space="0" w:color="auto"/>
            <w:right w:val="none" w:sz="0" w:space="0" w:color="auto"/>
          </w:divBdr>
        </w:div>
      </w:divsChild>
    </w:div>
    <w:div w:id="1604846995">
      <w:bodyDiv w:val="1"/>
      <w:marLeft w:val="0"/>
      <w:marRight w:val="0"/>
      <w:marTop w:val="0"/>
      <w:marBottom w:val="0"/>
      <w:divBdr>
        <w:top w:val="none" w:sz="0" w:space="0" w:color="auto"/>
        <w:left w:val="none" w:sz="0" w:space="0" w:color="auto"/>
        <w:bottom w:val="none" w:sz="0" w:space="0" w:color="auto"/>
        <w:right w:val="none" w:sz="0" w:space="0" w:color="auto"/>
      </w:divBdr>
      <w:divsChild>
        <w:div w:id="170994636">
          <w:marLeft w:val="274"/>
          <w:marRight w:val="0"/>
          <w:marTop w:val="0"/>
          <w:marBottom w:val="120"/>
          <w:divBdr>
            <w:top w:val="none" w:sz="0" w:space="0" w:color="auto"/>
            <w:left w:val="none" w:sz="0" w:space="0" w:color="auto"/>
            <w:bottom w:val="none" w:sz="0" w:space="0" w:color="auto"/>
            <w:right w:val="none" w:sz="0" w:space="0" w:color="auto"/>
          </w:divBdr>
        </w:div>
        <w:div w:id="515194250">
          <w:marLeft w:val="274"/>
          <w:marRight w:val="0"/>
          <w:marTop w:val="0"/>
          <w:marBottom w:val="120"/>
          <w:divBdr>
            <w:top w:val="none" w:sz="0" w:space="0" w:color="auto"/>
            <w:left w:val="none" w:sz="0" w:space="0" w:color="auto"/>
            <w:bottom w:val="none" w:sz="0" w:space="0" w:color="auto"/>
            <w:right w:val="none" w:sz="0" w:space="0" w:color="auto"/>
          </w:divBdr>
        </w:div>
        <w:div w:id="648827459">
          <w:marLeft w:val="274"/>
          <w:marRight w:val="0"/>
          <w:marTop w:val="0"/>
          <w:marBottom w:val="120"/>
          <w:divBdr>
            <w:top w:val="none" w:sz="0" w:space="0" w:color="auto"/>
            <w:left w:val="none" w:sz="0" w:space="0" w:color="auto"/>
            <w:bottom w:val="none" w:sz="0" w:space="0" w:color="auto"/>
            <w:right w:val="none" w:sz="0" w:space="0" w:color="auto"/>
          </w:divBdr>
        </w:div>
        <w:div w:id="978654164">
          <w:marLeft w:val="274"/>
          <w:marRight w:val="0"/>
          <w:marTop w:val="0"/>
          <w:marBottom w:val="120"/>
          <w:divBdr>
            <w:top w:val="none" w:sz="0" w:space="0" w:color="auto"/>
            <w:left w:val="none" w:sz="0" w:space="0" w:color="auto"/>
            <w:bottom w:val="none" w:sz="0" w:space="0" w:color="auto"/>
            <w:right w:val="none" w:sz="0" w:space="0" w:color="auto"/>
          </w:divBdr>
        </w:div>
        <w:div w:id="1112358424">
          <w:marLeft w:val="274"/>
          <w:marRight w:val="0"/>
          <w:marTop w:val="0"/>
          <w:marBottom w:val="120"/>
          <w:divBdr>
            <w:top w:val="none" w:sz="0" w:space="0" w:color="auto"/>
            <w:left w:val="none" w:sz="0" w:space="0" w:color="auto"/>
            <w:bottom w:val="none" w:sz="0" w:space="0" w:color="auto"/>
            <w:right w:val="none" w:sz="0" w:space="0" w:color="auto"/>
          </w:divBdr>
        </w:div>
        <w:div w:id="1153714367">
          <w:marLeft w:val="274"/>
          <w:marRight w:val="0"/>
          <w:marTop w:val="0"/>
          <w:marBottom w:val="120"/>
          <w:divBdr>
            <w:top w:val="none" w:sz="0" w:space="0" w:color="auto"/>
            <w:left w:val="none" w:sz="0" w:space="0" w:color="auto"/>
            <w:bottom w:val="none" w:sz="0" w:space="0" w:color="auto"/>
            <w:right w:val="none" w:sz="0" w:space="0" w:color="auto"/>
          </w:divBdr>
        </w:div>
        <w:div w:id="1430854832">
          <w:marLeft w:val="274"/>
          <w:marRight w:val="0"/>
          <w:marTop w:val="0"/>
          <w:marBottom w:val="120"/>
          <w:divBdr>
            <w:top w:val="none" w:sz="0" w:space="0" w:color="auto"/>
            <w:left w:val="none" w:sz="0" w:space="0" w:color="auto"/>
            <w:bottom w:val="none" w:sz="0" w:space="0" w:color="auto"/>
            <w:right w:val="none" w:sz="0" w:space="0" w:color="auto"/>
          </w:divBdr>
        </w:div>
        <w:div w:id="1911648692">
          <w:marLeft w:val="274"/>
          <w:marRight w:val="0"/>
          <w:marTop w:val="0"/>
          <w:marBottom w:val="120"/>
          <w:divBdr>
            <w:top w:val="none" w:sz="0" w:space="0" w:color="auto"/>
            <w:left w:val="none" w:sz="0" w:space="0" w:color="auto"/>
            <w:bottom w:val="none" w:sz="0" w:space="0" w:color="auto"/>
            <w:right w:val="none" w:sz="0" w:space="0" w:color="auto"/>
          </w:divBdr>
        </w:div>
      </w:divsChild>
    </w:div>
    <w:div w:id="1638681443">
      <w:bodyDiv w:val="1"/>
      <w:marLeft w:val="0"/>
      <w:marRight w:val="0"/>
      <w:marTop w:val="0"/>
      <w:marBottom w:val="0"/>
      <w:divBdr>
        <w:top w:val="none" w:sz="0" w:space="0" w:color="auto"/>
        <w:left w:val="none" w:sz="0" w:space="0" w:color="auto"/>
        <w:bottom w:val="none" w:sz="0" w:space="0" w:color="auto"/>
        <w:right w:val="none" w:sz="0" w:space="0" w:color="auto"/>
      </w:divBdr>
      <w:divsChild>
        <w:div w:id="1028751255">
          <w:marLeft w:val="274"/>
          <w:marRight w:val="0"/>
          <w:marTop w:val="0"/>
          <w:marBottom w:val="120"/>
          <w:divBdr>
            <w:top w:val="none" w:sz="0" w:space="0" w:color="auto"/>
            <w:left w:val="none" w:sz="0" w:space="0" w:color="auto"/>
            <w:bottom w:val="none" w:sz="0" w:space="0" w:color="auto"/>
            <w:right w:val="none" w:sz="0" w:space="0" w:color="auto"/>
          </w:divBdr>
        </w:div>
        <w:div w:id="1703046355">
          <w:marLeft w:val="274"/>
          <w:marRight w:val="0"/>
          <w:marTop w:val="0"/>
          <w:marBottom w:val="120"/>
          <w:divBdr>
            <w:top w:val="none" w:sz="0" w:space="0" w:color="auto"/>
            <w:left w:val="none" w:sz="0" w:space="0" w:color="auto"/>
            <w:bottom w:val="none" w:sz="0" w:space="0" w:color="auto"/>
            <w:right w:val="none" w:sz="0" w:space="0" w:color="auto"/>
          </w:divBdr>
        </w:div>
        <w:div w:id="1782917301">
          <w:marLeft w:val="274"/>
          <w:marRight w:val="0"/>
          <w:marTop w:val="0"/>
          <w:marBottom w:val="120"/>
          <w:divBdr>
            <w:top w:val="none" w:sz="0" w:space="0" w:color="auto"/>
            <w:left w:val="none" w:sz="0" w:space="0" w:color="auto"/>
            <w:bottom w:val="none" w:sz="0" w:space="0" w:color="auto"/>
            <w:right w:val="none" w:sz="0" w:space="0" w:color="auto"/>
          </w:divBdr>
        </w:div>
      </w:divsChild>
    </w:div>
    <w:div w:id="1711221507">
      <w:bodyDiv w:val="1"/>
      <w:marLeft w:val="0"/>
      <w:marRight w:val="0"/>
      <w:marTop w:val="0"/>
      <w:marBottom w:val="0"/>
      <w:divBdr>
        <w:top w:val="none" w:sz="0" w:space="0" w:color="auto"/>
        <w:left w:val="none" w:sz="0" w:space="0" w:color="auto"/>
        <w:bottom w:val="none" w:sz="0" w:space="0" w:color="auto"/>
        <w:right w:val="none" w:sz="0" w:space="0" w:color="auto"/>
      </w:divBdr>
      <w:divsChild>
        <w:div w:id="486674996">
          <w:marLeft w:val="274"/>
          <w:marRight w:val="0"/>
          <w:marTop w:val="0"/>
          <w:marBottom w:val="120"/>
          <w:divBdr>
            <w:top w:val="none" w:sz="0" w:space="0" w:color="auto"/>
            <w:left w:val="none" w:sz="0" w:space="0" w:color="auto"/>
            <w:bottom w:val="none" w:sz="0" w:space="0" w:color="auto"/>
            <w:right w:val="none" w:sz="0" w:space="0" w:color="auto"/>
          </w:divBdr>
        </w:div>
        <w:div w:id="589237451">
          <w:marLeft w:val="274"/>
          <w:marRight w:val="0"/>
          <w:marTop w:val="0"/>
          <w:marBottom w:val="120"/>
          <w:divBdr>
            <w:top w:val="none" w:sz="0" w:space="0" w:color="auto"/>
            <w:left w:val="none" w:sz="0" w:space="0" w:color="auto"/>
            <w:bottom w:val="none" w:sz="0" w:space="0" w:color="auto"/>
            <w:right w:val="none" w:sz="0" w:space="0" w:color="auto"/>
          </w:divBdr>
        </w:div>
        <w:div w:id="1366100381">
          <w:marLeft w:val="274"/>
          <w:marRight w:val="0"/>
          <w:marTop w:val="0"/>
          <w:marBottom w:val="120"/>
          <w:divBdr>
            <w:top w:val="none" w:sz="0" w:space="0" w:color="auto"/>
            <w:left w:val="none" w:sz="0" w:space="0" w:color="auto"/>
            <w:bottom w:val="none" w:sz="0" w:space="0" w:color="auto"/>
            <w:right w:val="none" w:sz="0" w:space="0" w:color="auto"/>
          </w:divBdr>
        </w:div>
        <w:div w:id="1373113008">
          <w:marLeft w:val="274"/>
          <w:marRight w:val="0"/>
          <w:marTop w:val="0"/>
          <w:marBottom w:val="120"/>
          <w:divBdr>
            <w:top w:val="none" w:sz="0" w:space="0" w:color="auto"/>
            <w:left w:val="none" w:sz="0" w:space="0" w:color="auto"/>
            <w:bottom w:val="none" w:sz="0" w:space="0" w:color="auto"/>
            <w:right w:val="none" w:sz="0" w:space="0" w:color="auto"/>
          </w:divBdr>
        </w:div>
        <w:div w:id="1462308891">
          <w:marLeft w:val="274"/>
          <w:marRight w:val="0"/>
          <w:marTop w:val="0"/>
          <w:marBottom w:val="120"/>
          <w:divBdr>
            <w:top w:val="none" w:sz="0" w:space="0" w:color="auto"/>
            <w:left w:val="none" w:sz="0" w:space="0" w:color="auto"/>
            <w:bottom w:val="none" w:sz="0" w:space="0" w:color="auto"/>
            <w:right w:val="none" w:sz="0" w:space="0" w:color="auto"/>
          </w:divBdr>
        </w:div>
        <w:div w:id="1575630387">
          <w:marLeft w:val="274"/>
          <w:marRight w:val="0"/>
          <w:marTop w:val="0"/>
          <w:marBottom w:val="120"/>
          <w:divBdr>
            <w:top w:val="none" w:sz="0" w:space="0" w:color="auto"/>
            <w:left w:val="none" w:sz="0" w:space="0" w:color="auto"/>
            <w:bottom w:val="none" w:sz="0" w:space="0" w:color="auto"/>
            <w:right w:val="none" w:sz="0" w:space="0" w:color="auto"/>
          </w:divBdr>
        </w:div>
      </w:divsChild>
    </w:div>
    <w:div w:id="1782604201">
      <w:bodyDiv w:val="1"/>
      <w:marLeft w:val="0"/>
      <w:marRight w:val="0"/>
      <w:marTop w:val="0"/>
      <w:marBottom w:val="0"/>
      <w:divBdr>
        <w:top w:val="none" w:sz="0" w:space="0" w:color="auto"/>
        <w:left w:val="none" w:sz="0" w:space="0" w:color="auto"/>
        <w:bottom w:val="none" w:sz="0" w:space="0" w:color="auto"/>
        <w:right w:val="none" w:sz="0" w:space="0" w:color="auto"/>
      </w:divBdr>
      <w:divsChild>
        <w:div w:id="104884084">
          <w:marLeft w:val="288"/>
          <w:marRight w:val="0"/>
          <w:marTop w:val="0"/>
          <w:marBottom w:val="120"/>
          <w:divBdr>
            <w:top w:val="none" w:sz="0" w:space="0" w:color="auto"/>
            <w:left w:val="none" w:sz="0" w:space="0" w:color="auto"/>
            <w:bottom w:val="none" w:sz="0" w:space="0" w:color="auto"/>
            <w:right w:val="none" w:sz="0" w:space="0" w:color="auto"/>
          </w:divBdr>
        </w:div>
        <w:div w:id="350449710">
          <w:marLeft w:val="288"/>
          <w:marRight w:val="0"/>
          <w:marTop w:val="0"/>
          <w:marBottom w:val="120"/>
          <w:divBdr>
            <w:top w:val="none" w:sz="0" w:space="0" w:color="auto"/>
            <w:left w:val="none" w:sz="0" w:space="0" w:color="auto"/>
            <w:bottom w:val="none" w:sz="0" w:space="0" w:color="auto"/>
            <w:right w:val="none" w:sz="0" w:space="0" w:color="auto"/>
          </w:divBdr>
        </w:div>
        <w:div w:id="748580919">
          <w:marLeft w:val="288"/>
          <w:marRight w:val="0"/>
          <w:marTop w:val="0"/>
          <w:marBottom w:val="120"/>
          <w:divBdr>
            <w:top w:val="none" w:sz="0" w:space="0" w:color="auto"/>
            <w:left w:val="none" w:sz="0" w:space="0" w:color="auto"/>
            <w:bottom w:val="none" w:sz="0" w:space="0" w:color="auto"/>
            <w:right w:val="none" w:sz="0" w:space="0" w:color="auto"/>
          </w:divBdr>
        </w:div>
        <w:div w:id="786046678">
          <w:marLeft w:val="288"/>
          <w:marRight w:val="0"/>
          <w:marTop w:val="0"/>
          <w:marBottom w:val="120"/>
          <w:divBdr>
            <w:top w:val="none" w:sz="0" w:space="0" w:color="auto"/>
            <w:left w:val="none" w:sz="0" w:space="0" w:color="auto"/>
            <w:bottom w:val="none" w:sz="0" w:space="0" w:color="auto"/>
            <w:right w:val="none" w:sz="0" w:space="0" w:color="auto"/>
          </w:divBdr>
        </w:div>
        <w:div w:id="823549760">
          <w:marLeft w:val="288"/>
          <w:marRight w:val="0"/>
          <w:marTop w:val="0"/>
          <w:marBottom w:val="120"/>
          <w:divBdr>
            <w:top w:val="none" w:sz="0" w:space="0" w:color="auto"/>
            <w:left w:val="none" w:sz="0" w:space="0" w:color="auto"/>
            <w:bottom w:val="none" w:sz="0" w:space="0" w:color="auto"/>
            <w:right w:val="none" w:sz="0" w:space="0" w:color="auto"/>
          </w:divBdr>
        </w:div>
        <w:div w:id="1171943313">
          <w:marLeft w:val="288"/>
          <w:marRight w:val="0"/>
          <w:marTop w:val="0"/>
          <w:marBottom w:val="120"/>
          <w:divBdr>
            <w:top w:val="none" w:sz="0" w:space="0" w:color="auto"/>
            <w:left w:val="none" w:sz="0" w:space="0" w:color="auto"/>
            <w:bottom w:val="none" w:sz="0" w:space="0" w:color="auto"/>
            <w:right w:val="none" w:sz="0" w:space="0" w:color="auto"/>
          </w:divBdr>
        </w:div>
        <w:div w:id="1957329945">
          <w:marLeft w:val="288"/>
          <w:marRight w:val="0"/>
          <w:marTop w:val="0"/>
          <w:marBottom w:val="120"/>
          <w:divBdr>
            <w:top w:val="none" w:sz="0" w:space="0" w:color="auto"/>
            <w:left w:val="none" w:sz="0" w:space="0" w:color="auto"/>
            <w:bottom w:val="none" w:sz="0" w:space="0" w:color="auto"/>
            <w:right w:val="none" w:sz="0" w:space="0" w:color="auto"/>
          </w:divBdr>
        </w:div>
      </w:divsChild>
    </w:div>
    <w:div w:id="1790512471">
      <w:bodyDiv w:val="1"/>
      <w:marLeft w:val="0"/>
      <w:marRight w:val="0"/>
      <w:marTop w:val="0"/>
      <w:marBottom w:val="0"/>
      <w:divBdr>
        <w:top w:val="none" w:sz="0" w:space="0" w:color="auto"/>
        <w:left w:val="none" w:sz="0" w:space="0" w:color="auto"/>
        <w:bottom w:val="none" w:sz="0" w:space="0" w:color="auto"/>
        <w:right w:val="none" w:sz="0" w:space="0" w:color="auto"/>
      </w:divBdr>
      <w:divsChild>
        <w:div w:id="482159552">
          <w:marLeft w:val="274"/>
          <w:marRight w:val="0"/>
          <w:marTop w:val="0"/>
          <w:marBottom w:val="120"/>
          <w:divBdr>
            <w:top w:val="none" w:sz="0" w:space="0" w:color="auto"/>
            <w:left w:val="none" w:sz="0" w:space="0" w:color="auto"/>
            <w:bottom w:val="none" w:sz="0" w:space="0" w:color="auto"/>
            <w:right w:val="none" w:sz="0" w:space="0" w:color="auto"/>
          </w:divBdr>
        </w:div>
        <w:div w:id="657610921">
          <w:marLeft w:val="274"/>
          <w:marRight w:val="0"/>
          <w:marTop w:val="0"/>
          <w:marBottom w:val="120"/>
          <w:divBdr>
            <w:top w:val="none" w:sz="0" w:space="0" w:color="auto"/>
            <w:left w:val="none" w:sz="0" w:space="0" w:color="auto"/>
            <w:bottom w:val="none" w:sz="0" w:space="0" w:color="auto"/>
            <w:right w:val="none" w:sz="0" w:space="0" w:color="auto"/>
          </w:divBdr>
        </w:div>
        <w:div w:id="1061099112">
          <w:marLeft w:val="274"/>
          <w:marRight w:val="0"/>
          <w:marTop w:val="0"/>
          <w:marBottom w:val="120"/>
          <w:divBdr>
            <w:top w:val="none" w:sz="0" w:space="0" w:color="auto"/>
            <w:left w:val="none" w:sz="0" w:space="0" w:color="auto"/>
            <w:bottom w:val="none" w:sz="0" w:space="0" w:color="auto"/>
            <w:right w:val="none" w:sz="0" w:space="0" w:color="auto"/>
          </w:divBdr>
        </w:div>
        <w:div w:id="1341278874">
          <w:marLeft w:val="274"/>
          <w:marRight w:val="0"/>
          <w:marTop w:val="0"/>
          <w:marBottom w:val="120"/>
          <w:divBdr>
            <w:top w:val="none" w:sz="0" w:space="0" w:color="auto"/>
            <w:left w:val="none" w:sz="0" w:space="0" w:color="auto"/>
            <w:bottom w:val="none" w:sz="0" w:space="0" w:color="auto"/>
            <w:right w:val="none" w:sz="0" w:space="0" w:color="auto"/>
          </w:divBdr>
        </w:div>
        <w:div w:id="1946384511">
          <w:marLeft w:val="274"/>
          <w:marRight w:val="0"/>
          <w:marTop w:val="0"/>
          <w:marBottom w:val="120"/>
          <w:divBdr>
            <w:top w:val="none" w:sz="0" w:space="0" w:color="auto"/>
            <w:left w:val="none" w:sz="0" w:space="0" w:color="auto"/>
            <w:bottom w:val="none" w:sz="0" w:space="0" w:color="auto"/>
            <w:right w:val="none" w:sz="0" w:space="0" w:color="auto"/>
          </w:divBdr>
        </w:div>
        <w:div w:id="1974559349">
          <w:marLeft w:val="274"/>
          <w:marRight w:val="0"/>
          <w:marTop w:val="0"/>
          <w:marBottom w:val="120"/>
          <w:divBdr>
            <w:top w:val="none" w:sz="0" w:space="0" w:color="auto"/>
            <w:left w:val="none" w:sz="0" w:space="0" w:color="auto"/>
            <w:bottom w:val="none" w:sz="0" w:space="0" w:color="auto"/>
            <w:right w:val="none" w:sz="0" w:space="0" w:color="auto"/>
          </w:divBdr>
        </w:div>
      </w:divsChild>
    </w:div>
    <w:div w:id="1820606501">
      <w:bodyDiv w:val="1"/>
      <w:marLeft w:val="0"/>
      <w:marRight w:val="0"/>
      <w:marTop w:val="0"/>
      <w:marBottom w:val="0"/>
      <w:divBdr>
        <w:top w:val="none" w:sz="0" w:space="0" w:color="auto"/>
        <w:left w:val="none" w:sz="0" w:space="0" w:color="auto"/>
        <w:bottom w:val="none" w:sz="0" w:space="0" w:color="auto"/>
        <w:right w:val="none" w:sz="0" w:space="0" w:color="auto"/>
      </w:divBdr>
    </w:div>
    <w:div w:id="1828088212">
      <w:bodyDiv w:val="1"/>
      <w:marLeft w:val="0"/>
      <w:marRight w:val="0"/>
      <w:marTop w:val="0"/>
      <w:marBottom w:val="0"/>
      <w:divBdr>
        <w:top w:val="none" w:sz="0" w:space="0" w:color="auto"/>
        <w:left w:val="none" w:sz="0" w:space="0" w:color="auto"/>
        <w:bottom w:val="none" w:sz="0" w:space="0" w:color="auto"/>
        <w:right w:val="none" w:sz="0" w:space="0" w:color="auto"/>
      </w:divBdr>
    </w:div>
    <w:div w:id="1850173086">
      <w:bodyDiv w:val="1"/>
      <w:marLeft w:val="0"/>
      <w:marRight w:val="0"/>
      <w:marTop w:val="0"/>
      <w:marBottom w:val="0"/>
      <w:divBdr>
        <w:top w:val="none" w:sz="0" w:space="0" w:color="auto"/>
        <w:left w:val="none" w:sz="0" w:space="0" w:color="auto"/>
        <w:bottom w:val="none" w:sz="0" w:space="0" w:color="auto"/>
        <w:right w:val="none" w:sz="0" w:space="0" w:color="auto"/>
      </w:divBdr>
      <w:divsChild>
        <w:div w:id="181011995">
          <w:marLeft w:val="288"/>
          <w:marRight w:val="0"/>
          <w:marTop w:val="0"/>
          <w:marBottom w:val="160"/>
          <w:divBdr>
            <w:top w:val="none" w:sz="0" w:space="0" w:color="auto"/>
            <w:left w:val="none" w:sz="0" w:space="0" w:color="auto"/>
            <w:bottom w:val="none" w:sz="0" w:space="0" w:color="auto"/>
            <w:right w:val="none" w:sz="0" w:space="0" w:color="auto"/>
          </w:divBdr>
        </w:div>
        <w:div w:id="1276211500">
          <w:marLeft w:val="288"/>
          <w:marRight w:val="0"/>
          <w:marTop w:val="0"/>
          <w:marBottom w:val="160"/>
          <w:divBdr>
            <w:top w:val="none" w:sz="0" w:space="0" w:color="auto"/>
            <w:left w:val="none" w:sz="0" w:space="0" w:color="auto"/>
            <w:bottom w:val="none" w:sz="0" w:space="0" w:color="auto"/>
            <w:right w:val="none" w:sz="0" w:space="0" w:color="auto"/>
          </w:divBdr>
        </w:div>
        <w:div w:id="1403288070">
          <w:marLeft w:val="288"/>
          <w:marRight w:val="0"/>
          <w:marTop w:val="0"/>
          <w:marBottom w:val="160"/>
          <w:divBdr>
            <w:top w:val="none" w:sz="0" w:space="0" w:color="auto"/>
            <w:left w:val="none" w:sz="0" w:space="0" w:color="auto"/>
            <w:bottom w:val="none" w:sz="0" w:space="0" w:color="auto"/>
            <w:right w:val="none" w:sz="0" w:space="0" w:color="auto"/>
          </w:divBdr>
        </w:div>
      </w:divsChild>
    </w:div>
    <w:div w:id="1857301477">
      <w:bodyDiv w:val="1"/>
      <w:marLeft w:val="0"/>
      <w:marRight w:val="0"/>
      <w:marTop w:val="0"/>
      <w:marBottom w:val="0"/>
      <w:divBdr>
        <w:top w:val="none" w:sz="0" w:space="0" w:color="auto"/>
        <w:left w:val="none" w:sz="0" w:space="0" w:color="auto"/>
        <w:bottom w:val="none" w:sz="0" w:space="0" w:color="auto"/>
        <w:right w:val="none" w:sz="0" w:space="0" w:color="auto"/>
      </w:divBdr>
      <w:divsChild>
        <w:div w:id="115759978">
          <w:marLeft w:val="288"/>
          <w:marRight w:val="0"/>
          <w:marTop w:val="0"/>
          <w:marBottom w:val="80"/>
          <w:divBdr>
            <w:top w:val="none" w:sz="0" w:space="0" w:color="auto"/>
            <w:left w:val="none" w:sz="0" w:space="0" w:color="auto"/>
            <w:bottom w:val="none" w:sz="0" w:space="0" w:color="auto"/>
            <w:right w:val="none" w:sz="0" w:space="0" w:color="auto"/>
          </w:divBdr>
        </w:div>
        <w:div w:id="489562146">
          <w:marLeft w:val="288"/>
          <w:marRight w:val="0"/>
          <w:marTop w:val="0"/>
          <w:marBottom w:val="80"/>
          <w:divBdr>
            <w:top w:val="none" w:sz="0" w:space="0" w:color="auto"/>
            <w:left w:val="none" w:sz="0" w:space="0" w:color="auto"/>
            <w:bottom w:val="none" w:sz="0" w:space="0" w:color="auto"/>
            <w:right w:val="none" w:sz="0" w:space="0" w:color="auto"/>
          </w:divBdr>
        </w:div>
        <w:div w:id="522793611">
          <w:marLeft w:val="288"/>
          <w:marRight w:val="0"/>
          <w:marTop w:val="0"/>
          <w:marBottom w:val="80"/>
          <w:divBdr>
            <w:top w:val="none" w:sz="0" w:space="0" w:color="auto"/>
            <w:left w:val="none" w:sz="0" w:space="0" w:color="auto"/>
            <w:bottom w:val="none" w:sz="0" w:space="0" w:color="auto"/>
            <w:right w:val="none" w:sz="0" w:space="0" w:color="auto"/>
          </w:divBdr>
        </w:div>
        <w:div w:id="576482344">
          <w:marLeft w:val="288"/>
          <w:marRight w:val="0"/>
          <w:marTop w:val="0"/>
          <w:marBottom w:val="80"/>
          <w:divBdr>
            <w:top w:val="none" w:sz="0" w:space="0" w:color="auto"/>
            <w:left w:val="none" w:sz="0" w:space="0" w:color="auto"/>
            <w:bottom w:val="none" w:sz="0" w:space="0" w:color="auto"/>
            <w:right w:val="none" w:sz="0" w:space="0" w:color="auto"/>
          </w:divBdr>
        </w:div>
        <w:div w:id="965700081">
          <w:marLeft w:val="288"/>
          <w:marRight w:val="0"/>
          <w:marTop w:val="0"/>
          <w:marBottom w:val="80"/>
          <w:divBdr>
            <w:top w:val="none" w:sz="0" w:space="0" w:color="auto"/>
            <w:left w:val="none" w:sz="0" w:space="0" w:color="auto"/>
            <w:bottom w:val="none" w:sz="0" w:space="0" w:color="auto"/>
            <w:right w:val="none" w:sz="0" w:space="0" w:color="auto"/>
          </w:divBdr>
        </w:div>
        <w:div w:id="1539662902">
          <w:marLeft w:val="288"/>
          <w:marRight w:val="0"/>
          <w:marTop w:val="0"/>
          <w:marBottom w:val="80"/>
          <w:divBdr>
            <w:top w:val="none" w:sz="0" w:space="0" w:color="auto"/>
            <w:left w:val="none" w:sz="0" w:space="0" w:color="auto"/>
            <w:bottom w:val="none" w:sz="0" w:space="0" w:color="auto"/>
            <w:right w:val="none" w:sz="0" w:space="0" w:color="auto"/>
          </w:divBdr>
        </w:div>
        <w:div w:id="1803845175">
          <w:marLeft w:val="288"/>
          <w:marRight w:val="0"/>
          <w:marTop w:val="0"/>
          <w:marBottom w:val="80"/>
          <w:divBdr>
            <w:top w:val="none" w:sz="0" w:space="0" w:color="auto"/>
            <w:left w:val="none" w:sz="0" w:space="0" w:color="auto"/>
            <w:bottom w:val="none" w:sz="0" w:space="0" w:color="auto"/>
            <w:right w:val="none" w:sz="0" w:space="0" w:color="auto"/>
          </w:divBdr>
        </w:div>
        <w:div w:id="1903442160">
          <w:marLeft w:val="288"/>
          <w:marRight w:val="0"/>
          <w:marTop w:val="0"/>
          <w:marBottom w:val="80"/>
          <w:divBdr>
            <w:top w:val="none" w:sz="0" w:space="0" w:color="auto"/>
            <w:left w:val="none" w:sz="0" w:space="0" w:color="auto"/>
            <w:bottom w:val="none" w:sz="0" w:space="0" w:color="auto"/>
            <w:right w:val="none" w:sz="0" w:space="0" w:color="auto"/>
          </w:divBdr>
        </w:div>
      </w:divsChild>
    </w:div>
    <w:div w:id="1867399856">
      <w:bodyDiv w:val="1"/>
      <w:marLeft w:val="0"/>
      <w:marRight w:val="0"/>
      <w:marTop w:val="0"/>
      <w:marBottom w:val="0"/>
      <w:divBdr>
        <w:top w:val="none" w:sz="0" w:space="0" w:color="auto"/>
        <w:left w:val="none" w:sz="0" w:space="0" w:color="auto"/>
        <w:bottom w:val="none" w:sz="0" w:space="0" w:color="auto"/>
        <w:right w:val="none" w:sz="0" w:space="0" w:color="auto"/>
      </w:divBdr>
    </w:div>
    <w:div w:id="1889292533">
      <w:bodyDiv w:val="1"/>
      <w:marLeft w:val="0"/>
      <w:marRight w:val="0"/>
      <w:marTop w:val="0"/>
      <w:marBottom w:val="0"/>
      <w:divBdr>
        <w:top w:val="none" w:sz="0" w:space="0" w:color="auto"/>
        <w:left w:val="none" w:sz="0" w:space="0" w:color="auto"/>
        <w:bottom w:val="none" w:sz="0" w:space="0" w:color="auto"/>
        <w:right w:val="none" w:sz="0" w:space="0" w:color="auto"/>
      </w:divBdr>
    </w:div>
    <w:div w:id="1896502432">
      <w:bodyDiv w:val="1"/>
      <w:marLeft w:val="0"/>
      <w:marRight w:val="0"/>
      <w:marTop w:val="0"/>
      <w:marBottom w:val="0"/>
      <w:divBdr>
        <w:top w:val="none" w:sz="0" w:space="0" w:color="auto"/>
        <w:left w:val="none" w:sz="0" w:space="0" w:color="auto"/>
        <w:bottom w:val="none" w:sz="0" w:space="0" w:color="auto"/>
        <w:right w:val="none" w:sz="0" w:space="0" w:color="auto"/>
      </w:divBdr>
      <w:divsChild>
        <w:div w:id="640427043">
          <w:marLeft w:val="288"/>
          <w:marRight w:val="0"/>
          <w:marTop w:val="0"/>
          <w:marBottom w:val="160"/>
          <w:divBdr>
            <w:top w:val="none" w:sz="0" w:space="0" w:color="auto"/>
            <w:left w:val="none" w:sz="0" w:space="0" w:color="auto"/>
            <w:bottom w:val="none" w:sz="0" w:space="0" w:color="auto"/>
            <w:right w:val="none" w:sz="0" w:space="0" w:color="auto"/>
          </w:divBdr>
        </w:div>
        <w:div w:id="800807764">
          <w:marLeft w:val="288"/>
          <w:marRight w:val="0"/>
          <w:marTop w:val="0"/>
          <w:marBottom w:val="160"/>
          <w:divBdr>
            <w:top w:val="none" w:sz="0" w:space="0" w:color="auto"/>
            <w:left w:val="none" w:sz="0" w:space="0" w:color="auto"/>
            <w:bottom w:val="none" w:sz="0" w:space="0" w:color="auto"/>
            <w:right w:val="none" w:sz="0" w:space="0" w:color="auto"/>
          </w:divBdr>
        </w:div>
        <w:div w:id="1276863536">
          <w:marLeft w:val="288"/>
          <w:marRight w:val="0"/>
          <w:marTop w:val="0"/>
          <w:marBottom w:val="160"/>
          <w:divBdr>
            <w:top w:val="none" w:sz="0" w:space="0" w:color="auto"/>
            <w:left w:val="none" w:sz="0" w:space="0" w:color="auto"/>
            <w:bottom w:val="none" w:sz="0" w:space="0" w:color="auto"/>
            <w:right w:val="none" w:sz="0" w:space="0" w:color="auto"/>
          </w:divBdr>
        </w:div>
      </w:divsChild>
    </w:div>
    <w:div w:id="2100561282">
      <w:bodyDiv w:val="1"/>
      <w:marLeft w:val="0"/>
      <w:marRight w:val="0"/>
      <w:marTop w:val="0"/>
      <w:marBottom w:val="0"/>
      <w:divBdr>
        <w:top w:val="none" w:sz="0" w:space="0" w:color="auto"/>
        <w:left w:val="none" w:sz="0" w:space="0" w:color="auto"/>
        <w:bottom w:val="none" w:sz="0" w:space="0" w:color="auto"/>
        <w:right w:val="none" w:sz="0" w:space="0" w:color="auto"/>
      </w:divBdr>
      <w:divsChild>
        <w:div w:id="77295764">
          <w:marLeft w:val="274"/>
          <w:marRight w:val="0"/>
          <w:marTop w:val="0"/>
          <w:marBottom w:val="120"/>
          <w:divBdr>
            <w:top w:val="none" w:sz="0" w:space="0" w:color="auto"/>
            <w:left w:val="none" w:sz="0" w:space="0" w:color="auto"/>
            <w:bottom w:val="none" w:sz="0" w:space="0" w:color="auto"/>
            <w:right w:val="none" w:sz="0" w:space="0" w:color="auto"/>
          </w:divBdr>
        </w:div>
      </w:divsChild>
    </w:div>
    <w:div w:id="2146504526">
      <w:bodyDiv w:val="1"/>
      <w:marLeft w:val="0"/>
      <w:marRight w:val="0"/>
      <w:marTop w:val="0"/>
      <w:marBottom w:val="0"/>
      <w:divBdr>
        <w:top w:val="none" w:sz="0" w:space="0" w:color="auto"/>
        <w:left w:val="none" w:sz="0" w:space="0" w:color="auto"/>
        <w:bottom w:val="none" w:sz="0" w:space="0" w:color="auto"/>
        <w:right w:val="none" w:sz="0" w:space="0" w:color="auto"/>
      </w:divBdr>
      <w:divsChild>
        <w:div w:id="435516315">
          <w:marLeft w:val="274"/>
          <w:marRight w:val="0"/>
          <w:marTop w:val="0"/>
          <w:marBottom w:val="120"/>
          <w:divBdr>
            <w:top w:val="none" w:sz="0" w:space="0" w:color="auto"/>
            <w:left w:val="none" w:sz="0" w:space="0" w:color="auto"/>
            <w:bottom w:val="none" w:sz="0" w:space="0" w:color="auto"/>
            <w:right w:val="none" w:sz="0" w:space="0" w:color="auto"/>
          </w:divBdr>
        </w:div>
        <w:div w:id="1118446429">
          <w:marLeft w:val="274"/>
          <w:marRight w:val="0"/>
          <w:marTop w:val="0"/>
          <w:marBottom w:val="120"/>
          <w:divBdr>
            <w:top w:val="none" w:sz="0" w:space="0" w:color="auto"/>
            <w:left w:val="none" w:sz="0" w:space="0" w:color="auto"/>
            <w:bottom w:val="none" w:sz="0" w:space="0" w:color="auto"/>
            <w:right w:val="none" w:sz="0" w:space="0" w:color="auto"/>
          </w:divBdr>
        </w:div>
        <w:div w:id="1820030885">
          <w:marLeft w:val="274"/>
          <w:marRight w:val="0"/>
          <w:marTop w:val="0"/>
          <w:marBottom w:val="120"/>
          <w:divBdr>
            <w:top w:val="none" w:sz="0" w:space="0" w:color="auto"/>
            <w:left w:val="none" w:sz="0" w:space="0" w:color="auto"/>
            <w:bottom w:val="none" w:sz="0" w:space="0" w:color="auto"/>
            <w:right w:val="none" w:sz="0" w:space="0" w:color="auto"/>
          </w:divBdr>
        </w:div>
        <w:div w:id="1963875718">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BB240-75DF-4DCC-841B-D024C8BB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10315</Words>
  <Characters>58802</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68980</CharactersWithSpaces>
  <SharedDoc>false</SharedDoc>
  <HLinks>
    <vt:vector size="228" baseType="variant">
      <vt:variant>
        <vt:i4>1048628</vt:i4>
      </vt:variant>
      <vt:variant>
        <vt:i4>224</vt:i4>
      </vt:variant>
      <vt:variant>
        <vt:i4>0</vt:i4>
      </vt:variant>
      <vt:variant>
        <vt:i4>5</vt:i4>
      </vt:variant>
      <vt:variant>
        <vt:lpwstr/>
      </vt:variant>
      <vt:variant>
        <vt:lpwstr>_Toc115768696</vt:lpwstr>
      </vt:variant>
      <vt:variant>
        <vt:i4>1048628</vt:i4>
      </vt:variant>
      <vt:variant>
        <vt:i4>218</vt:i4>
      </vt:variant>
      <vt:variant>
        <vt:i4>0</vt:i4>
      </vt:variant>
      <vt:variant>
        <vt:i4>5</vt:i4>
      </vt:variant>
      <vt:variant>
        <vt:lpwstr/>
      </vt:variant>
      <vt:variant>
        <vt:lpwstr>_Toc115768695</vt:lpwstr>
      </vt:variant>
      <vt:variant>
        <vt:i4>1048628</vt:i4>
      </vt:variant>
      <vt:variant>
        <vt:i4>212</vt:i4>
      </vt:variant>
      <vt:variant>
        <vt:i4>0</vt:i4>
      </vt:variant>
      <vt:variant>
        <vt:i4>5</vt:i4>
      </vt:variant>
      <vt:variant>
        <vt:lpwstr/>
      </vt:variant>
      <vt:variant>
        <vt:lpwstr>_Toc115768693</vt:lpwstr>
      </vt:variant>
      <vt:variant>
        <vt:i4>1048628</vt:i4>
      </vt:variant>
      <vt:variant>
        <vt:i4>206</vt:i4>
      </vt:variant>
      <vt:variant>
        <vt:i4>0</vt:i4>
      </vt:variant>
      <vt:variant>
        <vt:i4>5</vt:i4>
      </vt:variant>
      <vt:variant>
        <vt:lpwstr/>
      </vt:variant>
      <vt:variant>
        <vt:lpwstr>_Toc115768692</vt:lpwstr>
      </vt:variant>
      <vt:variant>
        <vt:i4>1048628</vt:i4>
      </vt:variant>
      <vt:variant>
        <vt:i4>200</vt:i4>
      </vt:variant>
      <vt:variant>
        <vt:i4>0</vt:i4>
      </vt:variant>
      <vt:variant>
        <vt:i4>5</vt:i4>
      </vt:variant>
      <vt:variant>
        <vt:lpwstr/>
      </vt:variant>
      <vt:variant>
        <vt:lpwstr>_Toc115768691</vt:lpwstr>
      </vt:variant>
      <vt:variant>
        <vt:i4>1048628</vt:i4>
      </vt:variant>
      <vt:variant>
        <vt:i4>194</vt:i4>
      </vt:variant>
      <vt:variant>
        <vt:i4>0</vt:i4>
      </vt:variant>
      <vt:variant>
        <vt:i4>5</vt:i4>
      </vt:variant>
      <vt:variant>
        <vt:lpwstr/>
      </vt:variant>
      <vt:variant>
        <vt:lpwstr>_Toc115768690</vt:lpwstr>
      </vt:variant>
      <vt:variant>
        <vt:i4>1114164</vt:i4>
      </vt:variant>
      <vt:variant>
        <vt:i4>188</vt:i4>
      </vt:variant>
      <vt:variant>
        <vt:i4>0</vt:i4>
      </vt:variant>
      <vt:variant>
        <vt:i4>5</vt:i4>
      </vt:variant>
      <vt:variant>
        <vt:lpwstr/>
      </vt:variant>
      <vt:variant>
        <vt:lpwstr>_Toc115768689</vt:lpwstr>
      </vt:variant>
      <vt:variant>
        <vt:i4>1114164</vt:i4>
      </vt:variant>
      <vt:variant>
        <vt:i4>182</vt:i4>
      </vt:variant>
      <vt:variant>
        <vt:i4>0</vt:i4>
      </vt:variant>
      <vt:variant>
        <vt:i4>5</vt:i4>
      </vt:variant>
      <vt:variant>
        <vt:lpwstr/>
      </vt:variant>
      <vt:variant>
        <vt:lpwstr>_Toc115768688</vt:lpwstr>
      </vt:variant>
      <vt:variant>
        <vt:i4>1114164</vt:i4>
      </vt:variant>
      <vt:variant>
        <vt:i4>176</vt:i4>
      </vt:variant>
      <vt:variant>
        <vt:i4>0</vt:i4>
      </vt:variant>
      <vt:variant>
        <vt:i4>5</vt:i4>
      </vt:variant>
      <vt:variant>
        <vt:lpwstr/>
      </vt:variant>
      <vt:variant>
        <vt:lpwstr>_Toc115768687</vt:lpwstr>
      </vt:variant>
      <vt:variant>
        <vt:i4>1114164</vt:i4>
      </vt:variant>
      <vt:variant>
        <vt:i4>170</vt:i4>
      </vt:variant>
      <vt:variant>
        <vt:i4>0</vt:i4>
      </vt:variant>
      <vt:variant>
        <vt:i4>5</vt:i4>
      </vt:variant>
      <vt:variant>
        <vt:lpwstr/>
      </vt:variant>
      <vt:variant>
        <vt:lpwstr>_Toc115768686</vt:lpwstr>
      </vt:variant>
      <vt:variant>
        <vt:i4>1114164</vt:i4>
      </vt:variant>
      <vt:variant>
        <vt:i4>164</vt:i4>
      </vt:variant>
      <vt:variant>
        <vt:i4>0</vt:i4>
      </vt:variant>
      <vt:variant>
        <vt:i4>5</vt:i4>
      </vt:variant>
      <vt:variant>
        <vt:lpwstr/>
      </vt:variant>
      <vt:variant>
        <vt:lpwstr>_Toc115768685</vt:lpwstr>
      </vt:variant>
      <vt:variant>
        <vt:i4>1114164</vt:i4>
      </vt:variant>
      <vt:variant>
        <vt:i4>158</vt:i4>
      </vt:variant>
      <vt:variant>
        <vt:i4>0</vt:i4>
      </vt:variant>
      <vt:variant>
        <vt:i4>5</vt:i4>
      </vt:variant>
      <vt:variant>
        <vt:lpwstr/>
      </vt:variant>
      <vt:variant>
        <vt:lpwstr>_Toc115768684</vt:lpwstr>
      </vt:variant>
      <vt:variant>
        <vt:i4>1114164</vt:i4>
      </vt:variant>
      <vt:variant>
        <vt:i4>152</vt:i4>
      </vt:variant>
      <vt:variant>
        <vt:i4>0</vt:i4>
      </vt:variant>
      <vt:variant>
        <vt:i4>5</vt:i4>
      </vt:variant>
      <vt:variant>
        <vt:lpwstr/>
      </vt:variant>
      <vt:variant>
        <vt:lpwstr>_Toc115768683</vt:lpwstr>
      </vt:variant>
      <vt:variant>
        <vt:i4>1114164</vt:i4>
      </vt:variant>
      <vt:variant>
        <vt:i4>146</vt:i4>
      </vt:variant>
      <vt:variant>
        <vt:i4>0</vt:i4>
      </vt:variant>
      <vt:variant>
        <vt:i4>5</vt:i4>
      </vt:variant>
      <vt:variant>
        <vt:lpwstr/>
      </vt:variant>
      <vt:variant>
        <vt:lpwstr>_Toc115768682</vt:lpwstr>
      </vt:variant>
      <vt:variant>
        <vt:i4>1114164</vt:i4>
      </vt:variant>
      <vt:variant>
        <vt:i4>140</vt:i4>
      </vt:variant>
      <vt:variant>
        <vt:i4>0</vt:i4>
      </vt:variant>
      <vt:variant>
        <vt:i4>5</vt:i4>
      </vt:variant>
      <vt:variant>
        <vt:lpwstr/>
      </vt:variant>
      <vt:variant>
        <vt:lpwstr>_Toc115768681</vt:lpwstr>
      </vt:variant>
      <vt:variant>
        <vt:i4>1114164</vt:i4>
      </vt:variant>
      <vt:variant>
        <vt:i4>134</vt:i4>
      </vt:variant>
      <vt:variant>
        <vt:i4>0</vt:i4>
      </vt:variant>
      <vt:variant>
        <vt:i4>5</vt:i4>
      </vt:variant>
      <vt:variant>
        <vt:lpwstr/>
      </vt:variant>
      <vt:variant>
        <vt:lpwstr>_Toc115768680</vt:lpwstr>
      </vt:variant>
      <vt:variant>
        <vt:i4>1966132</vt:i4>
      </vt:variant>
      <vt:variant>
        <vt:i4>128</vt:i4>
      </vt:variant>
      <vt:variant>
        <vt:i4>0</vt:i4>
      </vt:variant>
      <vt:variant>
        <vt:i4>5</vt:i4>
      </vt:variant>
      <vt:variant>
        <vt:lpwstr/>
      </vt:variant>
      <vt:variant>
        <vt:lpwstr>_Toc115768679</vt:lpwstr>
      </vt:variant>
      <vt:variant>
        <vt:i4>1966132</vt:i4>
      </vt:variant>
      <vt:variant>
        <vt:i4>122</vt:i4>
      </vt:variant>
      <vt:variant>
        <vt:i4>0</vt:i4>
      </vt:variant>
      <vt:variant>
        <vt:i4>5</vt:i4>
      </vt:variant>
      <vt:variant>
        <vt:lpwstr/>
      </vt:variant>
      <vt:variant>
        <vt:lpwstr>_Toc115768678</vt:lpwstr>
      </vt:variant>
      <vt:variant>
        <vt:i4>1966132</vt:i4>
      </vt:variant>
      <vt:variant>
        <vt:i4>116</vt:i4>
      </vt:variant>
      <vt:variant>
        <vt:i4>0</vt:i4>
      </vt:variant>
      <vt:variant>
        <vt:i4>5</vt:i4>
      </vt:variant>
      <vt:variant>
        <vt:lpwstr/>
      </vt:variant>
      <vt:variant>
        <vt:lpwstr>_Toc115768677</vt:lpwstr>
      </vt:variant>
      <vt:variant>
        <vt:i4>1966132</vt:i4>
      </vt:variant>
      <vt:variant>
        <vt:i4>110</vt:i4>
      </vt:variant>
      <vt:variant>
        <vt:i4>0</vt:i4>
      </vt:variant>
      <vt:variant>
        <vt:i4>5</vt:i4>
      </vt:variant>
      <vt:variant>
        <vt:lpwstr/>
      </vt:variant>
      <vt:variant>
        <vt:lpwstr>_Toc115768676</vt:lpwstr>
      </vt:variant>
      <vt:variant>
        <vt:i4>1966132</vt:i4>
      </vt:variant>
      <vt:variant>
        <vt:i4>104</vt:i4>
      </vt:variant>
      <vt:variant>
        <vt:i4>0</vt:i4>
      </vt:variant>
      <vt:variant>
        <vt:i4>5</vt:i4>
      </vt:variant>
      <vt:variant>
        <vt:lpwstr/>
      </vt:variant>
      <vt:variant>
        <vt:lpwstr>_Toc115768675</vt:lpwstr>
      </vt:variant>
      <vt:variant>
        <vt:i4>1966132</vt:i4>
      </vt:variant>
      <vt:variant>
        <vt:i4>98</vt:i4>
      </vt:variant>
      <vt:variant>
        <vt:i4>0</vt:i4>
      </vt:variant>
      <vt:variant>
        <vt:i4>5</vt:i4>
      </vt:variant>
      <vt:variant>
        <vt:lpwstr/>
      </vt:variant>
      <vt:variant>
        <vt:lpwstr>_Toc115768674</vt:lpwstr>
      </vt:variant>
      <vt:variant>
        <vt:i4>1966132</vt:i4>
      </vt:variant>
      <vt:variant>
        <vt:i4>92</vt:i4>
      </vt:variant>
      <vt:variant>
        <vt:i4>0</vt:i4>
      </vt:variant>
      <vt:variant>
        <vt:i4>5</vt:i4>
      </vt:variant>
      <vt:variant>
        <vt:lpwstr/>
      </vt:variant>
      <vt:variant>
        <vt:lpwstr>_Toc115768673</vt:lpwstr>
      </vt:variant>
      <vt:variant>
        <vt:i4>1966132</vt:i4>
      </vt:variant>
      <vt:variant>
        <vt:i4>86</vt:i4>
      </vt:variant>
      <vt:variant>
        <vt:i4>0</vt:i4>
      </vt:variant>
      <vt:variant>
        <vt:i4>5</vt:i4>
      </vt:variant>
      <vt:variant>
        <vt:lpwstr/>
      </vt:variant>
      <vt:variant>
        <vt:lpwstr>_Toc115768672</vt:lpwstr>
      </vt:variant>
      <vt:variant>
        <vt:i4>1966132</vt:i4>
      </vt:variant>
      <vt:variant>
        <vt:i4>80</vt:i4>
      </vt:variant>
      <vt:variant>
        <vt:i4>0</vt:i4>
      </vt:variant>
      <vt:variant>
        <vt:i4>5</vt:i4>
      </vt:variant>
      <vt:variant>
        <vt:lpwstr/>
      </vt:variant>
      <vt:variant>
        <vt:lpwstr>_Toc115768671</vt:lpwstr>
      </vt:variant>
      <vt:variant>
        <vt:i4>1966132</vt:i4>
      </vt:variant>
      <vt:variant>
        <vt:i4>74</vt:i4>
      </vt:variant>
      <vt:variant>
        <vt:i4>0</vt:i4>
      </vt:variant>
      <vt:variant>
        <vt:i4>5</vt:i4>
      </vt:variant>
      <vt:variant>
        <vt:lpwstr/>
      </vt:variant>
      <vt:variant>
        <vt:lpwstr>_Toc115768670</vt:lpwstr>
      </vt:variant>
      <vt:variant>
        <vt:i4>2031668</vt:i4>
      </vt:variant>
      <vt:variant>
        <vt:i4>68</vt:i4>
      </vt:variant>
      <vt:variant>
        <vt:i4>0</vt:i4>
      </vt:variant>
      <vt:variant>
        <vt:i4>5</vt:i4>
      </vt:variant>
      <vt:variant>
        <vt:lpwstr/>
      </vt:variant>
      <vt:variant>
        <vt:lpwstr>_Toc115768669</vt:lpwstr>
      </vt:variant>
      <vt:variant>
        <vt:i4>2031668</vt:i4>
      </vt:variant>
      <vt:variant>
        <vt:i4>62</vt:i4>
      </vt:variant>
      <vt:variant>
        <vt:i4>0</vt:i4>
      </vt:variant>
      <vt:variant>
        <vt:i4>5</vt:i4>
      </vt:variant>
      <vt:variant>
        <vt:lpwstr/>
      </vt:variant>
      <vt:variant>
        <vt:lpwstr>_Toc115768668</vt:lpwstr>
      </vt:variant>
      <vt:variant>
        <vt:i4>2031668</vt:i4>
      </vt:variant>
      <vt:variant>
        <vt:i4>56</vt:i4>
      </vt:variant>
      <vt:variant>
        <vt:i4>0</vt:i4>
      </vt:variant>
      <vt:variant>
        <vt:i4>5</vt:i4>
      </vt:variant>
      <vt:variant>
        <vt:lpwstr/>
      </vt:variant>
      <vt:variant>
        <vt:lpwstr>_Toc115768667</vt:lpwstr>
      </vt:variant>
      <vt:variant>
        <vt:i4>2031668</vt:i4>
      </vt:variant>
      <vt:variant>
        <vt:i4>50</vt:i4>
      </vt:variant>
      <vt:variant>
        <vt:i4>0</vt:i4>
      </vt:variant>
      <vt:variant>
        <vt:i4>5</vt:i4>
      </vt:variant>
      <vt:variant>
        <vt:lpwstr/>
      </vt:variant>
      <vt:variant>
        <vt:lpwstr>_Toc115768666</vt:lpwstr>
      </vt:variant>
      <vt:variant>
        <vt:i4>2031668</vt:i4>
      </vt:variant>
      <vt:variant>
        <vt:i4>44</vt:i4>
      </vt:variant>
      <vt:variant>
        <vt:i4>0</vt:i4>
      </vt:variant>
      <vt:variant>
        <vt:i4>5</vt:i4>
      </vt:variant>
      <vt:variant>
        <vt:lpwstr/>
      </vt:variant>
      <vt:variant>
        <vt:lpwstr>_Toc115768665</vt:lpwstr>
      </vt:variant>
      <vt:variant>
        <vt:i4>2031668</vt:i4>
      </vt:variant>
      <vt:variant>
        <vt:i4>38</vt:i4>
      </vt:variant>
      <vt:variant>
        <vt:i4>0</vt:i4>
      </vt:variant>
      <vt:variant>
        <vt:i4>5</vt:i4>
      </vt:variant>
      <vt:variant>
        <vt:lpwstr/>
      </vt:variant>
      <vt:variant>
        <vt:lpwstr>_Toc115768664</vt:lpwstr>
      </vt:variant>
      <vt:variant>
        <vt:i4>2031668</vt:i4>
      </vt:variant>
      <vt:variant>
        <vt:i4>32</vt:i4>
      </vt:variant>
      <vt:variant>
        <vt:i4>0</vt:i4>
      </vt:variant>
      <vt:variant>
        <vt:i4>5</vt:i4>
      </vt:variant>
      <vt:variant>
        <vt:lpwstr/>
      </vt:variant>
      <vt:variant>
        <vt:lpwstr>_Toc115768663</vt:lpwstr>
      </vt:variant>
      <vt:variant>
        <vt:i4>2031668</vt:i4>
      </vt:variant>
      <vt:variant>
        <vt:i4>26</vt:i4>
      </vt:variant>
      <vt:variant>
        <vt:i4>0</vt:i4>
      </vt:variant>
      <vt:variant>
        <vt:i4>5</vt:i4>
      </vt:variant>
      <vt:variant>
        <vt:lpwstr/>
      </vt:variant>
      <vt:variant>
        <vt:lpwstr>_Toc115768662</vt:lpwstr>
      </vt:variant>
      <vt:variant>
        <vt:i4>2031668</vt:i4>
      </vt:variant>
      <vt:variant>
        <vt:i4>20</vt:i4>
      </vt:variant>
      <vt:variant>
        <vt:i4>0</vt:i4>
      </vt:variant>
      <vt:variant>
        <vt:i4>5</vt:i4>
      </vt:variant>
      <vt:variant>
        <vt:lpwstr/>
      </vt:variant>
      <vt:variant>
        <vt:lpwstr>_Toc115768661</vt:lpwstr>
      </vt:variant>
      <vt:variant>
        <vt:i4>2031668</vt:i4>
      </vt:variant>
      <vt:variant>
        <vt:i4>14</vt:i4>
      </vt:variant>
      <vt:variant>
        <vt:i4>0</vt:i4>
      </vt:variant>
      <vt:variant>
        <vt:i4>5</vt:i4>
      </vt:variant>
      <vt:variant>
        <vt:lpwstr/>
      </vt:variant>
      <vt:variant>
        <vt:lpwstr>_Toc115768660</vt:lpwstr>
      </vt:variant>
      <vt:variant>
        <vt:i4>1835060</vt:i4>
      </vt:variant>
      <vt:variant>
        <vt:i4>8</vt:i4>
      </vt:variant>
      <vt:variant>
        <vt:i4>0</vt:i4>
      </vt:variant>
      <vt:variant>
        <vt:i4>5</vt:i4>
      </vt:variant>
      <vt:variant>
        <vt:lpwstr/>
      </vt:variant>
      <vt:variant>
        <vt:lpwstr>_Toc115768659</vt:lpwstr>
      </vt:variant>
      <vt:variant>
        <vt:i4>1835060</vt:i4>
      </vt:variant>
      <vt:variant>
        <vt:i4>2</vt:i4>
      </vt:variant>
      <vt:variant>
        <vt:i4>0</vt:i4>
      </vt:variant>
      <vt:variant>
        <vt:i4>5</vt:i4>
      </vt:variant>
      <vt:variant>
        <vt:lpwstr/>
      </vt:variant>
      <vt:variant>
        <vt:lpwstr>_Toc115768658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Horsfield</dc:creator>
  <cp:keywords/>
  <cp:lastModifiedBy>Barry Knight</cp:lastModifiedBy>
  <cp:revision>2</cp:revision>
  <cp:lastPrinted>2022-10-04T11:55:00Z</cp:lastPrinted>
  <dcterms:created xsi:type="dcterms:W3CDTF">2024-02-28T11:52:00Z</dcterms:created>
  <dcterms:modified xsi:type="dcterms:W3CDTF">2024-02-28T11:52:00Z</dcterms:modified>
</cp:coreProperties>
</file>