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7FA3" w:rsidRPr="00853590" w:rsidRDefault="00FA7FA3">
      <w:pPr>
        <w:jc w:val="right"/>
        <w:rPr>
          <w:rFonts w:asciiTheme="minorHAnsi" w:hAnsiTheme="minorHAnsi" w:cstheme="minorHAnsi"/>
          <w:b/>
          <w:bCs/>
          <w:sz w:val="28"/>
          <w:szCs w:val="28"/>
        </w:rPr>
      </w:pPr>
    </w:p>
    <w:p w:rsidR="00183652" w:rsidRPr="0068094B" w:rsidRDefault="00A043DD" w:rsidP="008343D3">
      <w:pPr>
        <w:widowControl/>
        <w:suppressAutoHyphens w:val="0"/>
        <w:jc w:val="center"/>
        <w:rPr>
          <w:rFonts w:asciiTheme="minorHAnsi" w:hAnsiTheme="minorHAnsi" w:cstheme="minorHAnsi"/>
          <w:iCs/>
          <w:sz w:val="22"/>
          <w:szCs w:val="22"/>
        </w:rPr>
      </w:pPr>
      <w:r w:rsidRPr="0068094B">
        <w:rPr>
          <w:rFonts w:asciiTheme="minorHAnsi" w:hAnsiTheme="minorHAnsi" w:cstheme="minorHAnsi"/>
          <w:noProof/>
          <w:sz w:val="22"/>
          <w:szCs w:val="22"/>
          <w:lang w:eastAsia="en-GB"/>
        </w:rPr>
        <w:drawing>
          <wp:inline distT="0" distB="0" distL="0" distR="0" wp14:anchorId="69C71A12" wp14:editId="7AC0BF53">
            <wp:extent cx="1390650" cy="1409700"/>
            <wp:effectExtent l="0" t="0" r="0" b="0"/>
            <wp:docPr id="6" name="Picture 1" descr="Chichester District Coun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409700"/>
                    </a:xfrm>
                    <a:prstGeom prst="rect">
                      <a:avLst/>
                    </a:prstGeom>
                    <a:solidFill>
                      <a:srgbClr val="FFFFFF"/>
                    </a:solidFill>
                    <a:ln>
                      <a:noFill/>
                    </a:ln>
                  </pic:spPr>
                </pic:pic>
              </a:graphicData>
            </a:graphic>
          </wp:inline>
        </w:drawing>
      </w:r>
    </w:p>
    <w:p w:rsidR="00706C9B" w:rsidRPr="000A0320" w:rsidRDefault="00706C9B" w:rsidP="000A0320">
      <w:pPr>
        <w:pStyle w:val="Heading6"/>
        <w:numPr>
          <w:ilvl w:val="0"/>
          <w:numId w:val="0"/>
        </w:numPr>
        <w:rPr>
          <w:rFonts w:asciiTheme="minorHAnsi" w:hAnsiTheme="minorHAnsi" w:cstheme="minorHAnsi"/>
          <w:i w:val="0"/>
          <w:iCs/>
          <w:sz w:val="22"/>
          <w:szCs w:val="22"/>
        </w:rPr>
      </w:pPr>
    </w:p>
    <w:p w:rsidR="00183652" w:rsidRPr="0068094B" w:rsidRDefault="00183652" w:rsidP="000A0320">
      <w:pPr>
        <w:spacing w:before="480"/>
        <w:rPr>
          <w:rFonts w:asciiTheme="minorHAnsi" w:hAnsiTheme="minorHAnsi" w:cstheme="minorHAnsi"/>
          <w:sz w:val="22"/>
          <w:szCs w:val="22"/>
        </w:rPr>
      </w:pPr>
    </w:p>
    <w:p w:rsidR="00183652" w:rsidRPr="008343D3" w:rsidRDefault="004A6511" w:rsidP="008343D3">
      <w:pPr>
        <w:pStyle w:val="Heading6"/>
        <w:jc w:val="center"/>
        <w:rPr>
          <w:rFonts w:asciiTheme="minorHAnsi" w:hAnsiTheme="minorHAnsi" w:cstheme="minorHAnsi"/>
          <w:i w:val="0"/>
          <w:iCs/>
          <w:sz w:val="56"/>
          <w:szCs w:val="56"/>
        </w:rPr>
      </w:pPr>
      <w:r w:rsidRPr="008343D3">
        <w:rPr>
          <w:rFonts w:asciiTheme="minorHAnsi" w:hAnsiTheme="minorHAnsi" w:cstheme="minorHAnsi"/>
          <w:i w:val="0"/>
          <w:iCs/>
          <w:sz w:val="56"/>
          <w:szCs w:val="56"/>
        </w:rPr>
        <w:t xml:space="preserve">CHICHESTER DISTRICT </w:t>
      </w:r>
      <w:r w:rsidR="00E16274" w:rsidRPr="008343D3">
        <w:rPr>
          <w:rFonts w:asciiTheme="minorHAnsi" w:hAnsiTheme="minorHAnsi" w:cstheme="minorHAnsi"/>
          <w:i w:val="0"/>
          <w:iCs/>
          <w:sz w:val="56"/>
          <w:szCs w:val="56"/>
        </w:rPr>
        <w:t>COUNCIL</w:t>
      </w:r>
    </w:p>
    <w:p w:rsidR="00183652" w:rsidRDefault="00183652">
      <w:pPr>
        <w:pStyle w:val="Heading6"/>
        <w:jc w:val="center"/>
        <w:rPr>
          <w:rFonts w:asciiTheme="minorHAnsi" w:hAnsiTheme="minorHAnsi" w:cstheme="minorHAnsi"/>
          <w:i w:val="0"/>
          <w:iCs/>
          <w:sz w:val="56"/>
          <w:szCs w:val="56"/>
        </w:rPr>
      </w:pPr>
    </w:p>
    <w:p w:rsidR="00706C9B" w:rsidRPr="00706C9B" w:rsidRDefault="00706C9B" w:rsidP="00706C9B"/>
    <w:p w:rsidR="002C36DE" w:rsidRPr="00706C9B" w:rsidRDefault="004648A1" w:rsidP="00706C9B">
      <w:pPr>
        <w:ind w:left="-567"/>
        <w:jc w:val="center"/>
        <w:rPr>
          <w:rFonts w:asciiTheme="minorHAnsi" w:hAnsiTheme="minorHAnsi" w:cstheme="minorHAnsi"/>
          <w:b/>
          <w:bCs/>
          <w:sz w:val="56"/>
          <w:szCs w:val="56"/>
        </w:rPr>
      </w:pPr>
      <w:r>
        <w:rPr>
          <w:rFonts w:asciiTheme="minorHAnsi" w:hAnsiTheme="minorHAnsi" w:cstheme="minorHAnsi"/>
          <w:b/>
          <w:bCs/>
          <w:sz w:val="56"/>
          <w:szCs w:val="56"/>
        </w:rPr>
        <w:t>AUDITED</w:t>
      </w:r>
    </w:p>
    <w:p w:rsidR="00FA4F97" w:rsidRPr="00706C9B" w:rsidRDefault="004A6511"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STATEMENT OF ACCOUNTS</w:t>
      </w:r>
    </w:p>
    <w:p w:rsidR="00183652" w:rsidRPr="00706C9B" w:rsidRDefault="00233918"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201</w:t>
      </w:r>
      <w:r w:rsidR="00996F72">
        <w:rPr>
          <w:rFonts w:asciiTheme="minorHAnsi" w:hAnsiTheme="minorHAnsi" w:cstheme="minorHAnsi"/>
          <w:b/>
          <w:bCs/>
          <w:sz w:val="56"/>
          <w:szCs w:val="56"/>
        </w:rPr>
        <w:t>9</w:t>
      </w:r>
      <w:r w:rsidRPr="00706C9B">
        <w:rPr>
          <w:rFonts w:asciiTheme="minorHAnsi" w:hAnsiTheme="minorHAnsi" w:cstheme="minorHAnsi"/>
          <w:b/>
          <w:bCs/>
          <w:sz w:val="56"/>
          <w:szCs w:val="56"/>
        </w:rPr>
        <w:t>-</w:t>
      </w:r>
      <w:r w:rsidR="00996F72">
        <w:rPr>
          <w:rFonts w:asciiTheme="minorHAnsi" w:hAnsiTheme="minorHAnsi" w:cstheme="minorHAnsi"/>
          <w:b/>
          <w:bCs/>
          <w:sz w:val="56"/>
          <w:szCs w:val="56"/>
        </w:rPr>
        <w:t>20</w:t>
      </w:r>
    </w:p>
    <w:p w:rsidR="00183652" w:rsidRPr="0068094B" w:rsidRDefault="00183652">
      <w:pPr>
        <w:jc w:val="center"/>
        <w:rPr>
          <w:rFonts w:asciiTheme="minorHAnsi" w:hAnsiTheme="minorHAnsi" w:cstheme="minorHAnsi"/>
          <w:b/>
          <w:bCs/>
          <w:sz w:val="22"/>
          <w:szCs w:val="22"/>
        </w:rPr>
      </w:pPr>
    </w:p>
    <w:p w:rsidR="00183652" w:rsidRPr="0068094B" w:rsidRDefault="00183652">
      <w:pPr>
        <w:jc w:val="center"/>
        <w:rPr>
          <w:rFonts w:asciiTheme="minorHAnsi" w:hAnsiTheme="minorHAnsi" w:cstheme="minorHAnsi"/>
          <w:b/>
          <w:bCs/>
          <w:sz w:val="22"/>
          <w:szCs w:val="22"/>
        </w:rPr>
      </w:pPr>
    </w:p>
    <w:p w:rsidR="00183652" w:rsidRPr="0068094B" w:rsidRDefault="00183652">
      <w:pPr>
        <w:rPr>
          <w:rFonts w:asciiTheme="minorHAnsi" w:hAnsiTheme="minorHAnsi" w:cstheme="minorHAnsi"/>
          <w:sz w:val="22"/>
          <w:szCs w:val="22"/>
        </w:rPr>
        <w:sectPr w:rsidR="00183652" w:rsidRPr="0068094B" w:rsidSect="00420C36">
          <w:footerReference w:type="default" r:id="rId9"/>
          <w:footnotePr>
            <w:pos w:val="beneathText"/>
          </w:footnotePr>
          <w:pgSz w:w="11906" w:h="16838"/>
          <w:pgMar w:top="851" w:right="1276" w:bottom="777" w:left="1440" w:header="720" w:footer="720" w:gutter="0"/>
          <w:pgNumType w:start="1"/>
          <w:cols w:space="720"/>
          <w:docGrid w:linePitch="360"/>
        </w:sectPr>
      </w:pPr>
    </w:p>
    <w:p w:rsidR="00183652" w:rsidRPr="0068094B" w:rsidRDefault="004A6511" w:rsidP="000A0320">
      <w:pPr>
        <w:spacing w:before="960"/>
        <w:jc w:val="center"/>
        <w:rPr>
          <w:rFonts w:asciiTheme="minorHAnsi" w:hAnsiTheme="minorHAnsi" w:cstheme="minorHAnsi"/>
          <w:b/>
          <w:bCs/>
          <w:sz w:val="22"/>
          <w:szCs w:val="22"/>
        </w:rPr>
      </w:pPr>
      <w:r w:rsidRPr="0068094B">
        <w:rPr>
          <w:rFonts w:asciiTheme="minorHAnsi" w:hAnsiTheme="minorHAnsi" w:cstheme="minorHAnsi"/>
          <w:b/>
          <w:bCs/>
          <w:sz w:val="22"/>
          <w:szCs w:val="22"/>
        </w:rPr>
        <w:lastRenderedPageBreak/>
        <w:t>This page has been left intentionally blank.</w:t>
      </w:r>
    </w:p>
    <w:p w:rsidR="00183652" w:rsidRPr="0068094B" w:rsidRDefault="00183652">
      <w:pPr>
        <w:rPr>
          <w:rFonts w:asciiTheme="minorHAnsi" w:hAnsiTheme="minorHAnsi" w:cstheme="minorHAnsi"/>
          <w:sz w:val="22"/>
          <w:szCs w:val="22"/>
        </w:rPr>
      </w:pPr>
    </w:p>
    <w:p w:rsidR="00183652" w:rsidRPr="0068094B" w:rsidRDefault="00183652">
      <w:pPr>
        <w:rPr>
          <w:rFonts w:asciiTheme="minorHAnsi" w:hAnsiTheme="minorHAnsi" w:cstheme="minorHAnsi"/>
          <w:sz w:val="22"/>
          <w:szCs w:val="22"/>
        </w:rPr>
      </w:pPr>
    </w:p>
    <w:p w:rsidR="00183652" w:rsidRPr="0068094B" w:rsidRDefault="00183652">
      <w:pPr>
        <w:rPr>
          <w:rFonts w:asciiTheme="minorHAnsi" w:hAnsiTheme="minorHAnsi" w:cstheme="minorHAnsi"/>
          <w:sz w:val="22"/>
          <w:szCs w:val="22"/>
        </w:rPr>
        <w:sectPr w:rsidR="00183652" w:rsidRPr="0068094B" w:rsidSect="00420C36">
          <w:footerReference w:type="default" r:id="rId10"/>
          <w:footnotePr>
            <w:pos w:val="beneathText"/>
          </w:footnotePr>
          <w:pgSz w:w="11906" w:h="16838"/>
          <w:pgMar w:top="851" w:right="1080" w:bottom="776" w:left="1440" w:header="720" w:footer="720" w:gutter="0"/>
          <w:pgNumType w:start="1"/>
          <w:cols w:space="720"/>
          <w:docGrid w:linePitch="360"/>
        </w:sectPr>
      </w:pPr>
    </w:p>
    <w:p w:rsidR="00183652" w:rsidRPr="004B7477" w:rsidRDefault="00ED3B24" w:rsidP="004B7477">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Cs w:val="24"/>
          <w:lang w:val="en-US"/>
        </w:rPr>
      </w:pPr>
      <w:r w:rsidRPr="004B7477">
        <w:rPr>
          <w:rFonts w:asciiTheme="minorHAnsi" w:hAnsiTheme="minorHAnsi" w:cstheme="minorHAnsi"/>
          <w:bCs/>
          <w:szCs w:val="24"/>
          <w:lang w:val="en-US"/>
        </w:rPr>
        <w:lastRenderedPageBreak/>
        <w:t>Chi</w:t>
      </w:r>
      <w:r w:rsidR="004B7477" w:rsidRPr="004B7477">
        <w:rPr>
          <w:rFonts w:asciiTheme="minorHAnsi" w:hAnsiTheme="minorHAnsi" w:cstheme="minorHAnsi"/>
          <w:bCs/>
          <w:szCs w:val="24"/>
          <w:lang w:val="en-US"/>
        </w:rPr>
        <w:t>c</w:t>
      </w:r>
      <w:r w:rsidRPr="004B7477">
        <w:rPr>
          <w:rFonts w:asciiTheme="minorHAnsi" w:hAnsiTheme="minorHAnsi" w:cstheme="minorHAnsi"/>
          <w:bCs/>
          <w:szCs w:val="24"/>
          <w:lang w:val="en-US"/>
        </w:rPr>
        <w:t>hester</w:t>
      </w:r>
      <w:r w:rsidR="004A6511" w:rsidRPr="004B7477">
        <w:rPr>
          <w:rFonts w:asciiTheme="minorHAnsi" w:hAnsiTheme="minorHAnsi" w:cstheme="minorHAnsi"/>
          <w:bCs/>
          <w:szCs w:val="24"/>
          <w:lang w:val="en-US"/>
        </w:rPr>
        <w:t xml:space="preserve"> District </w:t>
      </w:r>
      <w:r w:rsidR="00E16274" w:rsidRPr="004B7477">
        <w:rPr>
          <w:rFonts w:asciiTheme="minorHAnsi" w:hAnsiTheme="minorHAnsi" w:cstheme="minorHAnsi"/>
          <w:bCs/>
          <w:szCs w:val="24"/>
          <w:lang w:val="en-US"/>
        </w:rPr>
        <w:t>Council</w:t>
      </w:r>
    </w:p>
    <w:p w:rsidR="00183652" w:rsidRPr="00496F99" w:rsidRDefault="004A6511" w:rsidP="00496F99">
      <w:pPr>
        <w:pStyle w:val="Heading2"/>
        <w:rPr>
          <w:rFonts w:asciiTheme="minorHAnsi" w:hAnsiTheme="minorHAnsi" w:cstheme="minorHAnsi"/>
          <w:iCs/>
        </w:rPr>
      </w:pPr>
      <w:r w:rsidRPr="00496F99">
        <w:rPr>
          <w:rFonts w:asciiTheme="minorHAnsi" w:hAnsiTheme="minorHAnsi" w:cstheme="minorHAnsi"/>
        </w:rPr>
        <w:t>Statement of Accounts</w:t>
      </w:r>
    </w:p>
    <w:p w:rsidR="00183652" w:rsidRPr="0068094B" w:rsidRDefault="00183652" w:rsidP="000A0320">
      <w:pPr>
        <w:spacing w:before="480"/>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8046"/>
        <w:gridCol w:w="899"/>
      </w:tblGrid>
      <w:tr w:rsidR="00183652" w:rsidRPr="0068094B">
        <w:trPr>
          <w:trHeight w:val="468"/>
        </w:trPr>
        <w:tc>
          <w:tcPr>
            <w:tcW w:w="8046" w:type="dxa"/>
            <w:vAlign w:val="center"/>
          </w:tcPr>
          <w:p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lang w:val="en-US"/>
              </w:rPr>
            </w:pPr>
            <w:r w:rsidRPr="0068094B">
              <w:rPr>
                <w:rFonts w:asciiTheme="minorHAnsi" w:hAnsiTheme="minorHAnsi" w:cstheme="minorHAnsi"/>
                <w:sz w:val="22"/>
                <w:szCs w:val="22"/>
                <w:lang w:val="en-US"/>
              </w:rPr>
              <w:t>Contents</w:t>
            </w:r>
          </w:p>
        </w:tc>
        <w:tc>
          <w:tcPr>
            <w:tcW w:w="899" w:type="dxa"/>
            <w:vAlign w:val="center"/>
          </w:tcPr>
          <w:p w:rsidR="00183652" w:rsidRPr="0068094B" w:rsidRDefault="004A6511">
            <w:pPr>
              <w:pStyle w:val="xl27"/>
              <w:widowControl w:val="0"/>
              <w:snapToGrid w:val="0"/>
              <w:spacing w:before="0" w:after="0"/>
              <w:rPr>
                <w:rFonts w:asciiTheme="minorHAnsi" w:eastAsia="Times New Roman" w:hAnsiTheme="minorHAnsi" w:cstheme="minorHAnsi"/>
                <w:b/>
                <w:sz w:val="22"/>
                <w:szCs w:val="22"/>
                <w:lang w:val="en-US"/>
              </w:rPr>
            </w:pPr>
            <w:r w:rsidRPr="0068094B">
              <w:rPr>
                <w:rFonts w:asciiTheme="minorHAnsi" w:eastAsia="Times New Roman" w:hAnsiTheme="minorHAnsi" w:cstheme="minorHAnsi"/>
                <w:b/>
                <w:sz w:val="22"/>
                <w:szCs w:val="22"/>
                <w:lang w:val="en-US"/>
              </w:rPr>
              <w:t>Page No.</w:t>
            </w:r>
          </w:p>
        </w:tc>
      </w:tr>
      <w:tr w:rsidR="00183652" w:rsidRPr="0068094B">
        <w:trPr>
          <w:trHeight w:val="237"/>
        </w:trPr>
        <w:tc>
          <w:tcPr>
            <w:tcW w:w="8046" w:type="dxa"/>
            <w:vAlign w:val="center"/>
          </w:tcPr>
          <w:p w:rsidR="00183652" w:rsidRPr="0068094B" w:rsidRDefault="00183652">
            <w:pPr>
              <w:snapToGrid w:val="0"/>
              <w:rPr>
                <w:rFonts w:asciiTheme="minorHAnsi" w:hAnsiTheme="minorHAnsi" w:cstheme="minorHAnsi"/>
                <w:b/>
                <w:bCs/>
                <w:sz w:val="22"/>
                <w:szCs w:val="22"/>
              </w:rPr>
            </w:pPr>
          </w:p>
        </w:tc>
        <w:tc>
          <w:tcPr>
            <w:tcW w:w="899" w:type="dxa"/>
            <w:vAlign w:val="center"/>
          </w:tcPr>
          <w:p w:rsidR="00183652" w:rsidRPr="0068094B" w:rsidRDefault="00183652">
            <w:pPr>
              <w:pStyle w:val="xl27"/>
              <w:widowControl w:val="0"/>
              <w:snapToGrid w:val="0"/>
              <w:spacing w:before="0" w:after="0"/>
              <w:rPr>
                <w:rFonts w:asciiTheme="minorHAnsi" w:eastAsia="Times New Roman" w:hAnsiTheme="minorHAnsi" w:cstheme="minorHAnsi"/>
                <w:sz w:val="22"/>
                <w:szCs w:val="22"/>
              </w:rPr>
            </w:pPr>
          </w:p>
        </w:tc>
      </w:tr>
      <w:tr w:rsidR="00183652" w:rsidRPr="0068094B">
        <w:trPr>
          <w:trHeight w:val="521"/>
        </w:trPr>
        <w:tc>
          <w:tcPr>
            <w:tcW w:w="8046" w:type="dxa"/>
            <w:vAlign w:val="center"/>
          </w:tcPr>
          <w:p w:rsidR="00183652" w:rsidRPr="0068094B" w:rsidRDefault="004A6511">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General Information</w:t>
            </w:r>
          </w:p>
        </w:tc>
        <w:tc>
          <w:tcPr>
            <w:tcW w:w="899" w:type="dxa"/>
            <w:vAlign w:val="center"/>
          </w:tcPr>
          <w:p w:rsidR="00183652" w:rsidRPr="0068094B" w:rsidRDefault="007D72FE">
            <w:pPr>
              <w:snapToGrid w:val="0"/>
              <w:jc w:val="center"/>
              <w:rPr>
                <w:rFonts w:asciiTheme="minorHAnsi" w:hAnsiTheme="minorHAnsi" w:cstheme="minorHAnsi"/>
                <w:sz w:val="22"/>
                <w:szCs w:val="22"/>
              </w:rPr>
            </w:pPr>
            <w:r w:rsidRPr="0068094B">
              <w:rPr>
                <w:rFonts w:asciiTheme="minorHAnsi" w:hAnsiTheme="minorHAnsi" w:cstheme="minorHAnsi"/>
                <w:sz w:val="22"/>
                <w:szCs w:val="22"/>
              </w:rPr>
              <w:t>4</w:t>
            </w:r>
          </w:p>
        </w:tc>
      </w:tr>
      <w:tr w:rsidR="00183652" w:rsidRPr="0068094B">
        <w:trPr>
          <w:trHeight w:val="286"/>
        </w:trPr>
        <w:tc>
          <w:tcPr>
            <w:tcW w:w="8046" w:type="dxa"/>
            <w:vAlign w:val="center"/>
          </w:tcPr>
          <w:p w:rsidR="00183652" w:rsidRPr="0068094B" w:rsidRDefault="00183652">
            <w:pPr>
              <w:snapToGrid w:val="0"/>
              <w:rPr>
                <w:rFonts w:asciiTheme="minorHAnsi" w:hAnsiTheme="minorHAnsi" w:cstheme="minorHAnsi"/>
                <w:b/>
                <w:bCs/>
                <w:color w:val="000000" w:themeColor="text1"/>
                <w:sz w:val="22"/>
                <w:szCs w:val="22"/>
              </w:rPr>
            </w:pPr>
          </w:p>
        </w:tc>
        <w:tc>
          <w:tcPr>
            <w:tcW w:w="899" w:type="dxa"/>
            <w:vAlign w:val="center"/>
          </w:tcPr>
          <w:p w:rsidR="00183652" w:rsidRPr="0068094B" w:rsidRDefault="00183652">
            <w:pPr>
              <w:snapToGrid w:val="0"/>
              <w:jc w:val="center"/>
              <w:rPr>
                <w:rFonts w:asciiTheme="minorHAnsi" w:hAnsiTheme="minorHAnsi" w:cstheme="minorHAnsi"/>
                <w:sz w:val="22"/>
                <w:szCs w:val="22"/>
              </w:rPr>
            </w:pPr>
          </w:p>
        </w:tc>
      </w:tr>
      <w:tr w:rsidR="00183652" w:rsidRPr="0068094B">
        <w:trPr>
          <w:trHeight w:val="570"/>
        </w:trPr>
        <w:tc>
          <w:tcPr>
            <w:tcW w:w="8046" w:type="dxa"/>
            <w:vAlign w:val="center"/>
          </w:tcPr>
          <w:p w:rsidR="00183652" w:rsidRPr="0068094B" w:rsidRDefault="00336376" w:rsidP="00336376">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Narrative Report</w:t>
            </w:r>
          </w:p>
          <w:p w:rsidR="00855318" w:rsidRPr="0068094B" w:rsidRDefault="00855318" w:rsidP="00855318">
            <w:pPr>
              <w:snapToGrid w:val="0"/>
              <w:rPr>
                <w:rFonts w:asciiTheme="minorHAnsi" w:hAnsiTheme="minorHAnsi" w:cstheme="minorHAnsi"/>
                <w:b/>
                <w:bCs/>
                <w:color w:val="E36C0A" w:themeColor="accent6" w:themeShade="BF"/>
                <w:sz w:val="22"/>
                <w:szCs w:val="22"/>
                <w:u w:val="single"/>
              </w:rPr>
            </w:pPr>
          </w:p>
        </w:tc>
        <w:tc>
          <w:tcPr>
            <w:tcW w:w="899" w:type="dxa"/>
            <w:vAlign w:val="center"/>
          </w:tcPr>
          <w:p w:rsidR="00183652" w:rsidRPr="0068094B" w:rsidRDefault="007D72FE">
            <w:pPr>
              <w:pStyle w:val="xl44"/>
              <w:widowControl w:val="0"/>
              <w:snapToGrid w:val="0"/>
              <w:spacing w:before="0" w:after="0"/>
              <w:jc w:val="center"/>
              <w:rPr>
                <w:rFonts w:asciiTheme="minorHAnsi" w:eastAsia="Times New Roman" w:hAnsiTheme="minorHAnsi" w:cstheme="minorHAnsi"/>
                <w:sz w:val="22"/>
                <w:szCs w:val="22"/>
              </w:rPr>
            </w:pPr>
            <w:r w:rsidRPr="0068094B">
              <w:rPr>
                <w:rFonts w:asciiTheme="minorHAnsi" w:eastAsia="Times New Roman" w:hAnsiTheme="minorHAnsi" w:cstheme="minorHAnsi"/>
                <w:sz w:val="22"/>
                <w:szCs w:val="22"/>
              </w:rPr>
              <w:t>5</w:t>
            </w:r>
          </w:p>
        </w:tc>
      </w:tr>
      <w:tr w:rsidR="00CB06F2" w:rsidRPr="0068094B">
        <w:trPr>
          <w:trHeight w:val="578"/>
        </w:trPr>
        <w:tc>
          <w:tcPr>
            <w:tcW w:w="8046" w:type="dxa"/>
            <w:vAlign w:val="center"/>
          </w:tcPr>
          <w:p w:rsidR="00CB06F2" w:rsidRPr="0068094B" w:rsidRDefault="00CB06F2" w:rsidP="00CB06F2">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Statement of Accounts</w:t>
            </w:r>
          </w:p>
        </w:tc>
        <w:tc>
          <w:tcPr>
            <w:tcW w:w="899" w:type="dxa"/>
            <w:vAlign w:val="center"/>
          </w:tcPr>
          <w:p w:rsidR="00CB06F2" w:rsidRPr="0068094B" w:rsidRDefault="00CB06F2">
            <w:pPr>
              <w:snapToGrid w:val="0"/>
              <w:jc w:val="center"/>
              <w:rPr>
                <w:rFonts w:asciiTheme="minorHAnsi" w:hAnsiTheme="minorHAnsi" w:cstheme="minorHAnsi"/>
                <w:sz w:val="22"/>
                <w:szCs w:val="22"/>
              </w:rPr>
            </w:pPr>
          </w:p>
        </w:tc>
      </w:tr>
      <w:tr w:rsidR="00183652" w:rsidRPr="0068094B">
        <w:trPr>
          <w:trHeight w:val="578"/>
        </w:trPr>
        <w:tc>
          <w:tcPr>
            <w:tcW w:w="8046" w:type="dxa"/>
            <w:vAlign w:val="center"/>
          </w:tcPr>
          <w:p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Statement of Responsibilities for the Statement of Accounts</w:t>
            </w:r>
          </w:p>
        </w:tc>
        <w:tc>
          <w:tcPr>
            <w:tcW w:w="899" w:type="dxa"/>
            <w:vAlign w:val="center"/>
          </w:tcPr>
          <w:p w:rsidR="00183652" w:rsidRPr="0068094B" w:rsidRDefault="004B465E" w:rsidP="005776A7">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5776A7">
              <w:rPr>
                <w:rFonts w:asciiTheme="minorHAnsi" w:hAnsiTheme="minorHAnsi" w:cstheme="minorHAnsi"/>
                <w:sz w:val="22"/>
                <w:szCs w:val="22"/>
              </w:rPr>
              <w:t>6</w:t>
            </w:r>
          </w:p>
        </w:tc>
      </w:tr>
      <w:tr w:rsidR="00183652" w:rsidRPr="0068094B">
        <w:trPr>
          <w:trHeight w:val="269"/>
        </w:trPr>
        <w:tc>
          <w:tcPr>
            <w:tcW w:w="8046" w:type="dxa"/>
            <w:vAlign w:val="center"/>
          </w:tcPr>
          <w:p w:rsidR="00183652" w:rsidRPr="0068094B" w:rsidRDefault="00183652">
            <w:pPr>
              <w:snapToGrid w:val="0"/>
              <w:rPr>
                <w:rFonts w:asciiTheme="minorHAnsi" w:hAnsiTheme="minorHAnsi" w:cstheme="minorHAnsi"/>
                <w:b/>
                <w:bCs/>
                <w:sz w:val="22"/>
                <w:szCs w:val="22"/>
              </w:rPr>
            </w:pPr>
          </w:p>
        </w:tc>
        <w:tc>
          <w:tcPr>
            <w:tcW w:w="899" w:type="dxa"/>
            <w:vAlign w:val="center"/>
          </w:tcPr>
          <w:p w:rsidR="00183652" w:rsidRPr="0068094B" w:rsidRDefault="00183652">
            <w:pPr>
              <w:snapToGrid w:val="0"/>
              <w:jc w:val="center"/>
              <w:rPr>
                <w:rFonts w:asciiTheme="minorHAnsi" w:hAnsiTheme="minorHAnsi" w:cstheme="minorHAnsi"/>
                <w:sz w:val="22"/>
                <w:szCs w:val="22"/>
              </w:rPr>
            </w:pPr>
          </w:p>
        </w:tc>
      </w:tr>
      <w:tr w:rsidR="00183652" w:rsidRPr="0068094B">
        <w:trPr>
          <w:trHeight w:val="559"/>
        </w:trPr>
        <w:tc>
          <w:tcPr>
            <w:tcW w:w="8046" w:type="dxa"/>
            <w:vAlign w:val="center"/>
          </w:tcPr>
          <w:p w:rsidR="00183652" w:rsidRPr="0068094B" w:rsidRDefault="003C1775" w:rsidP="003C1775">
            <w:pPr>
              <w:snapToGrid w:val="0"/>
              <w:rPr>
                <w:rFonts w:asciiTheme="minorHAnsi" w:hAnsiTheme="minorHAnsi" w:cstheme="minorHAnsi"/>
                <w:b/>
                <w:bCs/>
                <w:sz w:val="22"/>
                <w:szCs w:val="22"/>
              </w:rPr>
            </w:pPr>
            <w:r>
              <w:rPr>
                <w:rFonts w:asciiTheme="minorHAnsi" w:hAnsiTheme="minorHAnsi" w:cstheme="minorHAnsi"/>
                <w:b/>
                <w:bCs/>
                <w:sz w:val="22"/>
                <w:szCs w:val="22"/>
              </w:rPr>
              <w:t xml:space="preserve">Independent </w:t>
            </w:r>
            <w:r w:rsidR="004A6511" w:rsidRPr="0068094B">
              <w:rPr>
                <w:rFonts w:asciiTheme="minorHAnsi" w:hAnsiTheme="minorHAnsi" w:cstheme="minorHAnsi"/>
                <w:b/>
                <w:bCs/>
                <w:sz w:val="22"/>
                <w:szCs w:val="22"/>
              </w:rPr>
              <w:t xml:space="preserve">Auditor’s Report </w:t>
            </w:r>
            <w:r>
              <w:rPr>
                <w:rFonts w:asciiTheme="minorHAnsi" w:hAnsiTheme="minorHAnsi" w:cstheme="minorHAnsi"/>
                <w:b/>
                <w:bCs/>
                <w:sz w:val="22"/>
                <w:szCs w:val="22"/>
              </w:rPr>
              <w:t>to the Members of Chichester District Council</w:t>
            </w:r>
          </w:p>
        </w:tc>
        <w:tc>
          <w:tcPr>
            <w:tcW w:w="899" w:type="dxa"/>
            <w:vAlign w:val="center"/>
          </w:tcPr>
          <w:p w:rsidR="00183652" w:rsidRPr="0068094B" w:rsidRDefault="004B465E" w:rsidP="005776A7">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5776A7">
              <w:rPr>
                <w:rFonts w:asciiTheme="minorHAnsi" w:hAnsiTheme="minorHAnsi" w:cstheme="minorHAnsi"/>
                <w:sz w:val="22"/>
                <w:szCs w:val="22"/>
              </w:rPr>
              <w:t>7</w:t>
            </w:r>
          </w:p>
        </w:tc>
      </w:tr>
      <w:tr w:rsidR="00183652" w:rsidRPr="0068094B">
        <w:trPr>
          <w:trHeight w:val="281"/>
        </w:trPr>
        <w:tc>
          <w:tcPr>
            <w:tcW w:w="8046" w:type="dxa"/>
            <w:vAlign w:val="center"/>
          </w:tcPr>
          <w:p w:rsidR="00183652" w:rsidRPr="0068094B" w:rsidRDefault="00183652">
            <w:pPr>
              <w:snapToGrid w:val="0"/>
              <w:rPr>
                <w:rFonts w:asciiTheme="minorHAnsi" w:hAnsiTheme="minorHAnsi" w:cstheme="minorHAnsi"/>
                <w:b/>
                <w:bCs/>
                <w:sz w:val="22"/>
                <w:szCs w:val="22"/>
              </w:rPr>
            </w:pPr>
          </w:p>
        </w:tc>
        <w:tc>
          <w:tcPr>
            <w:tcW w:w="899" w:type="dxa"/>
            <w:vAlign w:val="center"/>
          </w:tcPr>
          <w:p w:rsidR="00183652" w:rsidRPr="0068094B" w:rsidRDefault="00183652">
            <w:pPr>
              <w:snapToGrid w:val="0"/>
              <w:jc w:val="center"/>
              <w:rPr>
                <w:rFonts w:asciiTheme="minorHAnsi" w:hAnsiTheme="minorHAnsi" w:cstheme="minorHAnsi"/>
                <w:sz w:val="22"/>
                <w:szCs w:val="22"/>
                <w:highlight w:val="yellow"/>
              </w:rPr>
            </w:pPr>
          </w:p>
        </w:tc>
      </w:tr>
      <w:tr w:rsidR="00183652" w:rsidRPr="0068094B">
        <w:trPr>
          <w:trHeight w:val="435"/>
        </w:trPr>
        <w:tc>
          <w:tcPr>
            <w:tcW w:w="8046" w:type="dxa"/>
            <w:vAlign w:val="center"/>
          </w:tcPr>
          <w:p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Financial Statements</w:t>
            </w:r>
          </w:p>
        </w:tc>
        <w:tc>
          <w:tcPr>
            <w:tcW w:w="899" w:type="dxa"/>
            <w:vAlign w:val="center"/>
          </w:tcPr>
          <w:p w:rsidR="00183652" w:rsidRPr="0068094B" w:rsidRDefault="00183652">
            <w:pPr>
              <w:snapToGrid w:val="0"/>
              <w:jc w:val="center"/>
              <w:rPr>
                <w:rFonts w:asciiTheme="minorHAnsi" w:hAnsiTheme="minorHAnsi" w:cstheme="minorHAnsi"/>
                <w:sz w:val="22"/>
                <w:szCs w:val="22"/>
              </w:rPr>
            </w:pPr>
          </w:p>
        </w:tc>
      </w:tr>
      <w:tr w:rsidR="00183652" w:rsidRPr="0068094B">
        <w:trPr>
          <w:trHeight w:val="413"/>
        </w:trPr>
        <w:tc>
          <w:tcPr>
            <w:tcW w:w="8046" w:type="dxa"/>
            <w:vAlign w:val="center"/>
          </w:tcPr>
          <w:p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 xml:space="preserve">Comprehensive Income and Expenditure </w:t>
            </w:r>
            <w:r w:rsidR="00890032" w:rsidRPr="0068094B">
              <w:rPr>
                <w:rFonts w:asciiTheme="minorHAnsi" w:hAnsiTheme="minorHAnsi" w:cstheme="minorHAnsi"/>
                <w:sz w:val="22"/>
                <w:szCs w:val="22"/>
              </w:rPr>
              <w:t xml:space="preserve">Statement </w:t>
            </w:r>
            <w:r w:rsidRPr="0068094B">
              <w:rPr>
                <w:rFonts w:asciiTheme="minorHAnsi" w:hAnsiTheme="minorHAnsi" w:cstheme="minorHAnsi"/>
                <w:sz w:val="22"/>
                <w:szCs w:val="22"/>
              </w:rPr>
              <w:t>(CIES)</w:t>
            </w:r>
          </w:p>
        </w:tc>
        <w:tc>
          <w:tcPr>
            <w:tcW w:w="899" w:type="dxa"/>
            <w:vAlign w:val="center"/>
          </w:tcPr>
          <w:p w:rsidR="00183652" w:rsidRPr="0068094B" w:rsidRDefault="00F30BC9" w:rsidP="005776A7">
            <w:pPr>
              <w:snapToGrid w:val="0"/>
              <w:jc w:val="center"/>
              <w:rPr>
                <w:rFonts w:asciiTheme="minorHAnsi" w:hAnsiTheme="minorHAnsi" w:cstheme="minorHAnsi"/>
                <w:sz w:val="22"/>
                <w:szCs w:val="22"/>
              </w:rPr>
            </w:pPr>
            <w:r>
              <w:rPr>
                <w:rFonts w:asciiTheme="minorHAnsi" w:hAnsiTheme="minorHAnsi" w:cstheme="minorHAnsi"/>
                <w:sz w:val="22"/>
                <w:szCs w:val="22"/>
              </w:rPr>
              <w:t>2</w:t>
            </w:r>
            <w:r w:rsidR="005776A7">
              <w:rPr>
                <w:rFonts w:asciiTheme="minorHAnsi" w:hAnsiTheme="minorHAnsi" w:cstheme="minorHAnsi"/>
                <w:sz w:val="22"/>
                <w:szCs w:val="22"/>
              </w:rPr>
              <w:t>1</w:t>
            </w:r>
          </w:p>
        </w:tc>
      </w:tr>
      <w:tr w:rsidR="00183652" w:rsidRPr="0068094B">
        <w:trPr>
          <w:trHeight w:val="419"/>
        </w:trPr>
        <w:tc>
          <w:tcPr>
            <w:tcW w:w="8046" w:type="dxa"/>
            <w:vAlign w:val="center"/>
          </w:tcPr>
          <w:p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Balance Sheet</w:t>
            </w:r>
          </w:p>
        </w:tc>
        <w:tc>
          <w:tcPr>
            <w:tcW w:w="899" w:type="dxa"/>
            <w:vAlign w:val="center"/>
          </w:tcPr>
          <w:p w:rsidR="00183652" w:rsidRPr="0068094B" w:rsidRDefault="00F30BC9" w:rsidP="005776A7">
            <w:pPr>
              <w:snapToGrid w:val="0"/>
              <w:jc w:val="center"/>
              <w:rPr>
                <w:rFonts w:asciiTheme="minorHAnsi" w:hAnsiTheme="minorHAnsi" w:cstheme="minorHAnsi"/>
                <w:sz w:val="22"/>
                <w:szCs w:val="22"/>
              </w:rPr>
            </w:pPr>
            <w:r>
              <w:rPr>
                <w:rFonts w:asciiTheme="minorHAnsi" w:hAnsiTheme="minorHAnsi" w:cstheme="minorHAnsi"/>
                <w:sz w:val="22"/>
                <w:szCs w:val="22"/>
              </w:rPr>
              <w:t>2</w:t>
            </w:r>
            <w:r w:rsidR="005776A7">
              <w:rPr>
                <w:rFonts w:asciiTheme="minorHAnsi" w:hAnsiTheme="minorHAnsi" w:cstheme="minorHAnsi"/>
                <w:sz w:val="22"/>
                <w:szCs w:val="22"/>
              </w:rPr>
              <w:t>4</w:t>
            </w:r>
          </w:p>
        </w:tc>
      </w:tr>
      <w:tr w:rsidR="00183652" w:rsidRPr="0068094B">
        <w:trPr>
          <w:trHeight w:val="425"/>
        </w:trPr>
        <w:tc>
          <w:tcPr>
            <w:tcW w:w="8046" w:type="dxa"/>
            <w:vAlign w:val="center"/>
          </w:tcPr>
          <w:p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Movement in Reserves Statement (</w:t>
            </w:r>
            <w:proofErr w:type="spellStart"/>
            <w:r w:rsidRPr="0068094B">
              <w:rPr>
                <w:rFonts w:asciiTheme="minorHAnsi" w:hAnsiTheme="minorHAnsi" w:cstheme="minorHAnsi"/>
                <w:sz w:val="22"/>
                <w:szCs w:val="22"/>
              </w:rPr>
              <w:t>MiRS</w:t>
            </w:r>
            <w:proofErr w:type="spellEnd"/>
            <w:r w:rsidRPr="0068094B">
              <w:rPr>
                <w:rFonts w:asciiTheme="minorHAnsi" w:hAnsiTheme="minorHAnsi" w:cstheme="minorHAnsi"/>
                <w:sz w:val="22"/>
                <w:szCs w:val="22"/>
              </w:rPr>
              <w:t xml:space="preserve">) </w:t>
            </w:r>
          </w:p>
        </w:tc>
        <w:tc>
          <w:tcPr>
            <w:tcW w:w="899" w:type="dxa"/>
            <w:vAlign w:val="center"/>
          </w:tcPr>
          <w:p w:rsidR="00183652" w:rsidRPr="0068094B" w:rsidRDefault="00F30BC9" w:rsidP="005776A7">
            <w:pPr>
              <w:snapToGrid w:val="0"/>
              <w:jc w:val="center"/>
              <w:rPr>
                <w:rFonts w:asciiTheme="minorHAnsi" w:hAnsiTheme="minorHAnsi" w:cstheme="minorHAnsi"/>
                <w:sz w:val="22"/>
                <w:szCs w:val="22"/>
              </w:rPr>
            </w:pPr>
            <w:r>
              <w:rPr>
                <w:rFonts w:asciiTheme="minorHAnsi" w:hAnsiTheme="minorHAnsi" w:cstheme="minorHAnsi"/>
                <w:sz w:val="22"/>
                <w:szCs w:val="22"/>
              </w:rPr>
              <w:t>2</w:t>
            </w:r>
            <w:r w:rsidR="005776A7">
              <w:rPr>
                <w:rFonts w:asciiTheme="minorHAnsi" w:hAnsiTheme="minorHAnsi" w:cstheme="minorHAnsi"/>
                <w:sz w:val="22"/>
                <w:szCs w:val="22"/>
              </w:rPr>
              <w:t>6</w:t>
            </w:r>
          </w:p>
        </w:tc>
      </w:tr>
      <w:tr w:rsidR="00183652" w:rsidRPr="0068094B">
        <w:trPr>
          <w:trHeight w:val="431"/>
        </w:trPr>
        <w:tc>
          <w:tcPr>
            <w:tcW w:w="8046" w:type="dxa"/>
            <w:vAlign w:val="center"/>
          </w:tcPr>
          <w:p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Cash Flow Statement (CFS)</w:t>
            </w:r>
          </w:p>
        </w:tc>
        <w:tc>
          <w:tcPr>
            <w:tcW w:w="899" w:type="dxa"/>
            <w:vAlign w:val="center"/>
          </w:tcPr>
          <w:p w:rsidR="00183652" w:rsidRPr="0068094B" w:rsidRDefault="00F30BC9" w:rsidP="005776A7">
            <w:pPr>
              <w:snapToGrid w:val="0"/>
              <w:jc w:val="center"/>
              <w:rPr>
                <w:rFonts w:asciiTheme="minorHAnsi" w:hAnsiTheme="minorHAnsi" w:cstheme="minorHAnsi"/>
                <w:sz w:val="22"/>
                <w:szCs w:val="22"/>
              </w:rPr>
            </w:pPr>
            <w:r>
              <w:rPr>
                <w:rFonts w:asciiTheme="minorHAnsi" w:hAnsiTheme="minorHAnsi" w:cstheme="minorHAnsi"/>
                <w:sz w:val="22"/>
                <w:szCs w:val="22"/>
              </w:rPr>
              <w:t>2</w:t>
            </w:r>
            <w:r w:rsidR="005776A7">
              <w:rPr>
                <w:rFonts w:asciiTheme="minorHAnsi" w:hAnsiTheme="minorHAnsi" w:cstheme="minorHAnsi"/>
                <w:sz w:val="22"/>
                <w:szCs w:val="22"/>
              </w:rPr>
              <w:t>7</w:t>
            </w:r>
          </w:p>
        </w:tc>
      </w:tr>
      <w:tr w:rsidR="00183652" w:rsidRPr="0068094B">
        <w:trPr>
          <w:trHeight w:val="278"/>
        </w:trPr>
        <w:tc>
          <w:tcPr>
            <w:tcW w:w="8046" w:type="dxa"/>
            <w:vAlign w:val="center"/>
          </w:tcPr>
          <w:p w:rsidR="00183652" w:rsidRPr="0068094B" w:rsidRDefault="00183652">
            <w:pPr>
              <w:snapToGrid w:val="0"/>
              <w:rPr>
                <w:rFonts w:asciiTheme="minorHAnsi" w:hAnsiTheme="minorHAnsi" w:cstheme="minorHAnsi"/>
                <w:b/>
                <w:bCs/>
                <w:sz w:val="22"/>
                <w:szCs w:val="22"/>
              </w:rPr>
            </w:pPr>
          </w:p>
        </w:tc>
        <w:tc>
          <w:tcPr>
            <w:tcW w:w="899" w:type="dxa"/>
            <w:vAlign w:val="center"/>
          </w:tcPr>
          <w:p w:rsidR="00183652" w:rsidRPr="0068094B" w:rsidRDefault="00183652">
            <w:pPr>
              <w:snapToGrid w:val="0"/>
              <w:jc w:val="center"/>
              <w:rPr>
                <w:rFonts w:asciiTheme="minorHAnsi" w:hAnsiTheme="minorHAnsi" w:cstheme="minorHAnsi"/>
                <w:sz w:val="22"/>
                <w:szCs w:val="22"/>
              </w:rPr>
            </w:pPr>
          </w:p>
        </w:tc>
      </w:tr>
      <w:tr w:rsidR="00183652" w:rsidRPr="0068094B">
        <w:trPr>
          <w:trHeight w:val="499"/>
        </w:trPr>
        <w:tc>
          <w:tcPr>
            <w:tcW w:w="8046" w:type="dxa"/>
            <w:vAlign w:val="center"/>
          </w:tcPr>
          <w:p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Notes to the Financial Statements</w:t>
            </w:r>
          </w:p>
        </w:tc>
        <w:tc>
          <w:tcPr>
            <w:tcW w:w="899" w:type="dxa"/>
            <w:vAlign w:val="center"/>
          </w:tcPr>
          <w:p w:rsidR="00183652" w:rsidRPr="0068094B" w:rsidRDefault="00183652">
            <w:pPr>
              <w:snapToGrid w:val="0"/>
              <w:jc w:val="center"/>
              <w:rPr>
                <w:rFonts w:asciiTheme="minorHAnsi" w:hAnsiTheme="minorHAnsi" w:cstheme="minorHAnsi"/>
                <w:sz w:val="22"/>
                <w:szCs w:val="22"/>
              </w:rPr>
            </w:pPr>
          </w:p>
        </w:tc>
      </w:tr>
      <w:tr w:rsidR="00183652" w:rsidRPr="0068094B">
        <w:trPr>
          <w:trHeight w:val="500"/>
        </w:trPr>
        <w:tc>
          <w:tcPr>
            <w:tcW w:w="8046" w:type="dxa"/>
            <w:vAlign w:val="center"/>
          </w:tcPr>
          <w:p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Accounting Policies</w:t>
            </w:r>
          </w:p>
        </w:tc>
        <w:tc>
          <w:tcPr>
            <w:tcW w:w="899" w:type="dxa"/>
            <w:vAlign w:val="center"/>
          </w:tcPr>
          <w:p w:rsidR="00183652" w:rsidRPr="0068094B" w:rsidRDefault="00F30BC9" w:rsidP="005776A7">
            <w:pPr>
              <w:snapToGrid w:val="0"/>
              <w:jc w:val="center"/>
              <w:rPr>
                <w:rFonts w:asciiTheme="minorHAnsi" w:hAnsiTheme="minorHAnsi" w:cstheme="minorHAnsi"/>
                <w:sz w:val="22"/>
                <w:szCs w:val="22"/>
              </w:rPr>
            </w:pPr>
            <w:r>
              <w:rPr>
                <w:rFonts w:asciiTheme="minorHAnsi" w:hAnsiTheme="minorHAnsi" w:cstheme="minorHAnsi"/>
                <w:sz w:val="22"/>
                <w:szCs w:val="22"/>
              </w:rPr>
              <w:t>2</w:t>
            </w:r>
            <w:r w:rsidR="005776A7">
              <w:rPr>
                <w:rFonts w:asciiTheme="minorHAnsi" w:hAnsiTheme="minorHAnsi" w:cstheme="minorHAnsi"/>
                <w:sz w:val="22"/>
                <w:szCs w:val="22"/>
              </w:rPr>
              <w:t>8</w:t>
            </w:r>
          </w:p>
        </w:tc>
      </w:tr>
      <w:tr w:rsidR="00183652" w:rsidRPr="0068094B">
        <w:trPr>
          <w:trHeight w:val="550"/>
        </w:trPr>
        <w:tc>
          <w:tcPr>
            <w:tcW w:w="8046" w:type="dxa"/>
            <w:vAlign w:val="center"/>
          </w:tcPr>
          <w:p w:rsidR="00183652" w:rsidRPr="0068094B" w:rsidRDefault="00233918" w:rsidP="00233918">
            <w:pPr>
              <w:snapToGrid w:val="0"/>
              <w:rPr>
                <w:rFonts w:asciiTheme="minorHAnsi" w:hAnsiTheme="minorHAnsi" w:cstheme="minorHAnsi"/>
                <w:sz w:val="22"/>
                <w:szCs w:val="22"/>
              </w:rPr>
            </w:pPr>
            <w:r w:rsidRPr="0068094B">
              <w:rPr>
                <w:rFonts w:asciiTheme="minorHAnsi" w:hAnsiTheme="minorHAnsi" w:cstheme="minorHAnsi"/>
                <w:sz w:val="22"/>
                <w:szCs w:val="22"/>
              </w:rPr>
              <w:t xml:space="preserve">Expenditure and Funding Analysis </w:t>
            </w:r>
          </w:p>
        </w:tc>
        <w:tc>
          <w:tcPr>
            <w:tcW w:w="899" w:type="dxa"/>
            <w:vAlign w:val="center"/>
          </w:tcPr>
          <w:p w:rsidR="00183652" w:rsidRPr="0068094B" w:rsidRDefault="00992B46" w:rsidP="006371B5">
            <w:pPr>
              <w:snapToGrid w:val="0"/>
              <w:jc w:val="center"/>
              <w:rPr>
                <w:rFonts w:asciiTheme="minorHAnsi" w:hAnsiTheme="minorHAnsi" w:cstheme="minorHAnsi"/>
                <w:sz w:val="22"/>
                <w:szCs w:val="22"/>
              </w:rPr>
            </w:pPr>
            <w:r>
              <w:rPr>
                <w:rFonts w:asciiTheme="minorHAnsi" w:hAnsiTheme="minorHAnsi" w:cstheme="minorHAnsi"/>
                <w:sz w:val="22"/>
                <w:szCs w:val="22"/>
              </w:rPr>
              <w:t>40</w:t>
            </w:r>
          </w:p>
        </w:tc>
      </w:tr>
      <w:tr w:rsidR="00183652" w:rsidRPr="0068094B">
        <w:trPr>
          <w:trHeight w:val="289"/>
        </w:trPr>
        <w:tc>
          <w:tcPr>
            <w:tcW w:w="8046" w:type="dxa"/>
            <w:vAlign w:val="center"/>
          </w:tcPr>
          <w:p w:rsidR="00183652" w:rsidRPr="0068094B" w:rsidRDefault="001C6CF9">
            <w:pPr>
              <w:snapToGrid w:val="0"/>
              <w:rPr>
                <w:rFonts w:asciiTheme="minorHAnsi" w:hAnsiTheme="minorHAnsi" w:cstheme="minorHAnsi"/>
                <w:b/>
                <w:bCs/>
                <w:sz w:val="22"/>
                <w:szCs w:val="22"/>
              </w:rPr>
            </w:pPr>
            <w:r w:rsidRPr="0068094B">
              <w:rPr>
                <w:rFonts w:asciiTheme="minorHAnsi" w:hAnsiTheme="minorHAnsi" w:cstheme="minorHAnsi"/>
                <w:sz w:val="22"/>
                <w:szCs w:val="22"/>
              </w:rPr>
              <w:t>O</w:t>
            </w:r>
            <w:r w:rsidR="00233918" w:rsidRPr="0068094B">
              <w:rPr>
                <w:rFonts w:asciiTheme="minorHAnsi" w:hAnsiTheme="minorHAnsi" w:cstheme="minorHAnsi"/>
                <w:sz w:val="22"/>
                <w:szCs w:val="22"/>
              </w:rPr>
              <w:t>ther Notes to the Financial Statements</w:t>
            </w:r>
          </w:p>
        </w:tc>
        <w:tc>
          <w:tcPr>
            <w:tcW w:w="899" w:type="dxa"/>
            <w:vAlign w:val="center"/>
          </w:tcPr>
          <w:p w:rsidR="00183652" w:rsidRPr="0068094B" w:rsidRDefault="00F30BC9" w:rsidP="00992B46">
            <w:pPr>
              <w:snapToGrid w:val="0"/>
              <w:jc w:val="center"/>
              <w:rPr>
                <w:rFonts w:asciiTheme="minorHAnsi" w:hAnsiTheme="minorHAnsi" w:cstheme="minorHAnsi"/>
                <w:sz w:val="22"/>
                <w:szCs w:val="22"/>
              </w:rPr>
            </w:pPr>
            <w:r>
              <w:rPr>
                <w:rFonts w:asciiTheme="minorHAnsi" w:hAnsiTheme="minorHAnsi" w:cstheme="minorHAnsi"/>
                <w:sz w:val="22"/>
                <w:szCs w:val="22"/>
              </w:rPr>
              <w:t>4</w:t>
            </w:r>
            <w:r w:rsidR="00992B46">
              <w:rPr>
                <w:rFonts w:asciiTheme="minorHAnsi" w:hAnsiTheme="minorHAnsi" w:cstheme="minorHAnsi"/>
                <w:sz w:val="22"/>
                <w:szCs w:val="22"/>
              </w:rPr>
              <w:t>1</w:t>
            </w:r>
            <w:r>
              <w:rPr>
                <w:rFonts w:asciiTheme="minorHAnsi" w:hAnsiTheme="minorHAnsi" w:cstheme="minorHAnsi"/>
                <w:sz w:val="22"/>
                <w:szCs w:val="22"/>
              </w:rPr>
              <w:t>-</w:t>
            </w:r>
            <w:r w:rsidR="005776A7">
              <w:rPr>
                <w:rFonts w:asciiTheme="minorHAnsi" w:hAnsiTheme="minorHAnsi" w:cstheme="minorHAnsi"/>
                <w:sz w:val="22"/>
                <w:szCs w:val="22"/>
              </w:rPr>
              <w:t>6</w:t>
            </w:r>
            <w:r w:rsidR="00992B46">
              <w:rPr>
                <w:rFonts w:asciiTheme="minorHAnsi" w:hAnsiTheme="minorHAnsi" w:cstheme="minorHAnsi"/>
                <w:sz w:val="22"/>
                <w:szCs w:val="22"/>
              </w:rPr>
              <w:t>6</w:t>
            </w:r>
          </w:p>
        </w:tc>
      </w:tr>
      <w:tr w:rsidR="004B465E" w:rsidRPr="0068094B" w:rsidTr="004B465E">
        <w:trPr>
          <w:trHeight w:val="292"/>
        </w:trPr>
        <w:tc>
          <w:tcPr>
            <w:tcW w:w="8046" w:type="dxa"/>
            <w:vAlign w:val="center"/>
          </w:tcPr>
          <w:p w:rsidR="004B465E" w:rsidRPr="0068094B" w:rsidRDefault="004B465E">
            <w:pPr>
              <w:snapToGrid w:val="0"/>
              <w:rPr>
                <w:rFonts w:asciiTheme="minorHAnsi" w:hAnsiTheme="minorHAnsi" w:cstheme="minorHAnsi"/>
                <w:b/>
                <w:bCs/>
                <w:sz w:val="22"/>
                <w:szCs w:val="22"/>
              </w:rPr>
            </w:pPr>
          </w:p>
        </w:tc>
        <w:tc>
          <w:tcPr>
            <w:tcW w:w="899" w:type="dxa"/>
            <w:vAlign w:val="center"/>
          </w:tcPr>
          <w:p w:rsidR="004B465E" w:rsidRPr="0068094B" w:rsidRDefault="004B465E" w:rsidP="009845FB">
            <w:pPr>
              <w:snapToGrid w:val="0"/>
              <w:jc w:val="center"/>
              <w:rPr>
                <w:rFonts w:asciiTheme="minorHAnsi" w:hAnsiTheme="minorHAnsi" w:cstheme="minorHAnsi"/>
                <w:sz w:val="22"/>
                <w:szCs w:val="22"/>
              </w:rPr>
            </w:pPr>
          </w:p>
        </w:tc>
      </w:tr>
      <w:tr w:rsidR="00183652" w:rsidRPr="0068094B">
        <w:trPr>
          <w:trHeight w:val="553"/>
        </w:trPr>
        <w:tc>
          <w:tcPr>
            <w:tcW w:w="8046" w:type="dxa"/>
            <w:vAlign w:val="center"/>
          </w:tcPr>
          <w:p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Collection Fund</w:t>
            </w:r>
          </w:p>
        </w:tc>
        <w:tc>
          <w:tcPr>
            <w:tcW w:w="899" w:type="dxa"/>
            <w:vAlign w:val="center"/>
          </w:tcPr>
          <w:p w:rsidR="00183652" w:rsidRPr="0068094B" w:rsidRDefault="003025A4" w:rsidP="00992B46">
            <w:pPr>
              <w:snapToGrid w:val="0"/>
              <w:jc w:val="center"/>
              <w:rPr>
                <w:rFonts w:asciiTheme="minorHAnsi" w:hAnsiTheme="minorHAnsi" w:cstheme="minorHAnsi"/>
                <w:sz w:val="22"/>
                <w:szCs w:val="22"/>
              </w:rPr>
            </w:pPr>
            <w:r>
              <w:rPr>
                <w:rFonts w:asciiTheme="minorHAnsi" w:hAnsiTheme="minorHAnsi" w:cstheme="minorHAnsi"/>
                <w:sz w:val="22"/>
                <w:szCs w:val="22"/>
              </w:rPr>
              <w:t>6</w:t>
            </w:r>
            <w:r w:rsidR="00992B46">
              <w:rPr>
                <w:rFonts w:asciiTheme="minorHAnsi" w:hAnsiTheme="minorHAnsi" w:cstheme="minorHAnsi"/>
                <w:sz w:val="22"/>
                <w:szCs w:val="22"/>
              </w:rPr>
              <w:t>7</w:t>
            </w:r>
          </w:p>
        </w:tc>
      </w:tr>
      <w:tr w:rsidR="00183652" w:rsidRPr="0068094B">
        <w:trPr>
          <w:trHeight w:val="301"/>
        </w:trPr>
        <w:tc>
          <w:tcPr>
            <w:tcW w:w="8046" w:type="dxa"/>
            <w:vAlign w:val="center"/>
          </w:tcPr>
          <w:p w:rsidR="00183652" w:rsidRPr="0068094B" w:rsidRDefault="00183652">
            <w:pPr>
              <w:snapToGrid w:val="0"/>
              <w:rPr>
                <w:rFonts w:asciiTheme="minorHAnsi" w:hAnsiTheme="minorHAnsi" w:cstheme="minorHAnsi"/>
                <w:b/>
                <w:bCs/>
                <w:sz w:val="22"/>
                <w:szCs w:val="22"/>
              </w:rPr>
            </w:pPr>
          </w:p>
        </w:tc>
        <w:tc>
          <w:tcPr>
            <w:tcW w:w="899" w:type="dxa"/>
            <w:vAlign w:val="center"/>
          </w:tcPr>
          <w:p w:rsidR="00183652" w:rsidRPr="0068094B" w:rsidRDefault="00183652">
            <w:pPr>
              <w:snapToGrid w:val="0"/>
              <w:jc w:val="center"/>
              <w:rPr>
                <w:rFonts w:asciiTheme="minorHAnsi" w:hAnsiTheme="minorHAnsi" w:cstheme="minorHAnsi"/>
                <w:sz w:val="22"/>
                <w:szCs w:val="22"/>
              </w:rPr>
            </w:pPr>
          </w:p>
        </w:tc>
      </w:tr>
      <w:tr w:rsidR="00183652" w:rsidRPr="0068094B">
        <w:trPr>
          <w:trHeight w:val="457"/>
        </w:trPr>
        <w:tc>
          <w:tcPr>
            <w:tcW w:w="8046" w:type="dxa"/>
            <w:vAlign w:val="center"/>
          </w:tcPr>
          <w:p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Glossary of Terms</w:t>
            </w:r>
          </w:p>
        </w:tc>
        <w:tc>
          <w:tcPr>
            <w:tcW w:w="899" w:type="dxa"/>
            <w:vAlign w:val="center"/>
          </w:tcPr>
          <w:p w:rsidR="00183652" w:rsidRPr="0068094B" w:rsidRDefault="00992B46" w:rsidP="006371B5">
            <w:pPr>
              <w:snapToGrid w:val="0"/>
              <w:jc w:val="center"/>
              <w:rPr>
                <w:rFonts w:asciiTheme="minorHAnsi" w:hAnsiTheme="minorHAnsi" w:cstheme="minorHAnsi"/>
                <w:sz w:val="22"/>
                <w:szCs w:val="22"/>
              </w:rPr>
            </w:pPr>
            <w:r>
              <w:rPr>
                <w:rFonts w:asciiTheme="minorHAnsi" w:hAnsiTheme="minorHAnsi" w:cstheme="minorHAnsi"/>
                <w:sz w:val="22"/>
                <w:szCs w:val="22"/>
              </w:rPr>
              <w:t>70</w:t>
            </w:r>
          </w:p>
        </w:tc>
      </w:tr>
      <w:tr w:rsidR="00183652" w:rsidRPr="0068094B">
        <w:trPr>
          <w:trHeight w:val="256"/>
        </w:trPr>
        <w:tc>
          <w:tcPr>
            <w:tcW w:w="8046" w:type="dxa"/>
            <w:vAlign w:val="center"/>
          </w:tcPr>
          <w:p w:rsidR="00605EC9" w:rsidRDefault="00605EC9">
            <w:pPr>
              <w:snapToGrid w:val="0"/>
              <w:rPr>
                <w:rFonts w:asciiTheme="minorHAnsi" w:hAnsiTheme="minorHAnsi" w:cstheme="minorHAnsi"/>
                <w:b/>
                <w:bCs/>
                <w:sz w:val="22"/>
                <w:szCs w:val="22"/>
              </w:rPr>
            </w:pPr>
          </w:p>
          <w:p w:rsidR="00605EC9" w:rsidRPr="0068094B" w:rsidRDefault="00605EC9">
            <w:pPr>
              <w:snapToGrid w:val="0"/>
              <w:rPr>
                <w:rFonts w:asciiTheme="minorHAnsi" w:hAnsiTheme="minorHAnsi" w:cstheme="minorHAnsi"/>
                <w:b/>
                <w:bCs/>
                <w:sz w:val="22"/>
                <w:szCs w:val="22"/>
              </w:rPr>
            </w:pPr>
          </w:p>
        </w:tc>
        <w:tc>
          <w:tcPr>
            <w:tcW w:w="899" w:type="dxa"/>
            <w:vAlign w:val="center"/>
          </w:tcPr>
          <w:p w:rsidR="00183652" w:rsidRPr="0068094B" w:rsidRDefault="00183652">
            <w:pPr>
              <w:snapToGrid w:val="0"/>
              <w:jc w:val="center"/>
              <w:rPr>
                <w:rFonts w:asciiTheme="minorHAnsi" w:hAnsiTheme="minorHAnsi" w:cstheme="minorHAnsi"/>
                <w:sz w:val="22"/>
                <w:szCs w:val="22"/>
              </w:rPr>
            </w:pPr>
          </w:p>
        </w:tc>
      </w:tr>
      <w:tr w:rsidR="00183652" w:rsidRPr="0068094B">
        <w:trPr>
          <w:trHeight w:val="457"/>
        </w:trPr>
        <w:tc>
          <w:tcPr>
            <w:tcW w:w="8046" w:type="dxa"/>
            <w:vAlign w:val="center"/>
          </w:tcPr>
          <w:p w:rsidR="00183652" w:rsidRDefault="00183652">
            <w:pPr>
              <w:snapToGrid w:val="0"/>
              <w:rPr>
                <w:rFonts w:asciiTheme="minorHAnsi" w:hAnsiTheme="minorHAnsi" w:cstheme="minorHAnsi"/>
                <w:b/>
                <w:bCs/>
                <w:sz w:val="22"/>
                <w:szCs w:val="22"/>
              </w:rPr>
            </w:pPr>
          </w:p>
          <w:p w:rsidR="004B7477" w:rsidRDefault="004B7477">
            <w:pPr>
              <w:snapToGrid w:val="0"/>
              <w:rPr>
                <w:rFonts w:asciiTheme="minorHAnsi" w:hAnsiTheme="minorHAnsi" w:cstheme="minorHAnsi"/>
                <w:b/>
                <w:bCs/>
                <w:sz w:val="22"/>
                <w:szCs w:val="22"/>
              </w:rPr>
            </w:pPr>
          </w:p>
          <w:p w:rsidR="004B7477" w:rsidRPr="0068094B" w:rsidRDefault="004B7477">
            <w:pPr>
              <w:snapToGrid w:val="0"/>
              <w:rPr>
                <w:rFonts w:asciiTheme="minorHAnsi" w:hAnsiTheme="minorHAnsi" w:cstheme="minorHAnsi"/>
                <w:b/>
                <w:bCs/>
                <w:sz w:val="22"/>
                <w:szCs w:val="22"/>
              </w:rPr>
            </w:pPr>
          </w:p>
        </w:tc>
        <w:tc>
          <w:tcPr>
            <w:tcW w:w="899" w:type="dxa"/>
            <w:vAlign w:val="center"/>
          </w:tcPr>
          <w:p w:rsidR="00183652" w:rsidRPr="0068094B" w:rsidRDefault="00183652" w:rsidP="00291424">
            <w:pPr>
              <w:snapToGrid w:val="0"/>
              <w:jc w:val="center"/>
              <w:rPr>
                <w:rFonts w:asciiTheme="minorHAnsi" w:hAnsiTheme="minorHAnsi" w:cstheme="minorHAnsi"/>
                <w:sz w:val="22"/>
                <w:szCs w:val="22"/>
              </w:rPr>
            </w:pPr>
          </w:p>
        </w:tc>
      </w:tr>
      <w:tr w:rsidR="00183652" w:rsidRPr="0068094B">
        <w:tc>
          <w:tcPr>
            <w:tcW w:w="8046" w:type="dxa"/>
            <w:vAlign w:val="center"/>
          </w:tcPr>
          <w:p w:rsidR="00183652" w:rsidRPr="00CE7DF9" w:rsidRDefault="00CE7DF9" w:rsidP="00CE7DF9">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General Information</w:t>
            </w:r>
          </w:p>
        </w:tc>
        <w:tc>
          <w:tcPr>
            <w:tcW w:w="899" w:type="dxa"/>
            <w:vAlign w:val="center"/>
          </w:tcPr>
          <w:p w:rsidR="00183652" w:rsidRPr="0068094B" w:rsidRDefault="00183652">
            <w:pPr>
              <w:snapToGrid w:val="0"/>
              <w:jc w:val="center"/>
              <w:rPr>
                <w:rFonts w:asciiTheme="minorHAnsi" w:hAnsiTheme="minorHAnsi" w:cstheme="minorHAnsi"/>
                <w:sz w:val="22"/>
                <w:szCs w:val="22"/>
              </w:rPr>
            </w:pPr>
          </w:p>
        </w:tc>
      </w:tr>
    </w:tbl>
    <w:p w:rsidR="00183652" w:rsidRPr="00C268C1" w:rsidRDefault="00183652" w:rsidP="00C268C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rsidR="00183652" w:rsidRPr="00C268C1" w:rsidRDefault="00183652" w:rsidP="00C268C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2"/>
          <w:szCs w:val="22"/>
        </w:rPr>
      </w:pPr>
    </w:p>
    <w:p w:rsidR="00183652" w:rsidRPr="0068094B" w:rsidRDefault="00183652" w:rsidP="00C268C1">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rPr>
          <w:rFonts w:asciiTheme="minorHAnsi" w:hAnsiTheme="minorHAnsi" w:cstheme="minorHAnsi"/>
          <w:bCs/>
          <w:sz w:val="22"/>
          <w:szCs w:val="22"/>
        </w:rPr>
      </w:pPr>
    </w:p>
    <w:p w:rsidR="00183652" w:rsidRPr="0068094B" w:rsidRDefault="009D1606">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Cs/>
          <w:sz w:val="22"/>
          <w:szCs w:val="22"/>
        </w:rPr>
      </w:pPr>
      <w:r>
        <w:rPr>
          <w:rFonts w:asciiTheme="minorHAnsi" w:hAnsiTheme="minorHAnsi" w:cstheme="minorHAnsi"/>
          <w:bCs/>
          <w:sz w:val="22"/>
          <w:szCs w:val="22"/>
        </w:rPr>
        <w:t>Council Office</w:t>
      </w:r>
      <w:r w:rsidR="00F80610">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 xml:space="preserve"> </w:t>
      </w:r>
    </w:p>
    <w:p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 w:val="0"/>
          <w:bCs/>
          <w:sz w:val="22"/>
          <w:szCs w:val="22"/>
        </w:rPr>
      </w:pPr>
      <w:r w:rsidRPr="0068094B">
        <w:rPr>
          <w:rFonts w:asciiTheme="minorHAnsi" w:hAnsiTheme="minorHAnsi" w:cstheme="minorHAnsi"/>
          <w:b w:val="0"/>
          <w:bCs/>
          <w:sz w:val="22"/>
          <w:szCs w:val="22"/>
        </w:rPr>
        <w:t xml:space="preserve">East </w:t>
      </w:r>
      <w:proofErr w:type="spellStart"/>
      <w:r w:rsidRPr="0068094B">
        <w:rPr>
          <w:rFonts w:asciiTheme="minorHAnsi" w:hAnsiTheme="minorHAnsi" w:cstheme="minorHAnsi"/>
          <w:b w:val="0"/>
          <w:bCs/>
          <w:sz w:val="22"/>
          <w:szCs w:val="22"/>
        </w:rPr>
        <w:t>Pallant</w:t>
      </w:r>
      <w:proofErr w:type="spellEnd"/>
      <w:r w:rsidRPr="0068094B">
        <w:rPr>
          <w:rFonts w:asciiTheme="minorHAnsi" w:hAnsiTheme="minorHAnsi" w:cstheme="minorHAnsi"/>
          <w:b w:val="0"/>
          <w:bCs/>
          <w:sz w:val="22"/>
          <w:szCs w:val="22"/>
        </w:rPr>
        <w:t xml:space="preserve"> House, 1 East </w:t>
      </w:r>
      <w:proofErr w:type="spellStart"/>
      <w:r w:rsidRPr="0068094B">
        <w:rPr>
          <w:rFonts w:asciiTheme="minorHAnsi" w:hAnsiTheme="minorHAnsi" w:cstheme="minorHAnsi"/>
          <w:b w:val="0"/>
          <w:bCs/>
          <w:sz w:val="22"/>
          <w:szCs w:val="22"/>
        </w:rPr>
        <w:t>Pallant</w:t>
      </w:r>
      <w:proofErr w:type="spellEnd"/>
      <w:r w:rsidRPr="0068094B">
        <w:rPr>
          <w:rFonts w:asciiTheme="minorHAnsi" w:hAnsiTheme="minorHAnsi" w:cstheme="minorHAnsi"/>
          <w:b w:val="0"/>
          <w:bCs/>
          <w:sz w:val="22"/>
          <w:szCs w:val="22"/>
        </w:rPr>
        <w:t>, Chichester, West Sussex. PO19 1TY</w:t>
      </w:r>
    </w:p>
    <w:p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Telephone (01243) 785166</w:t>
      </w:r>
    </w:p>
    <w:p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Fax (01243) 776766</w:t>
      </w:r>
    </w:p>
    <w:p w:rsidR="00183652" w:rsidRPr="0068094B" w:rsidRDefault="004A6511">
      <w:pPr>
        <w:tabs>
          <w:tab w:val="left" w:pos="4111"/>
          <w:tab w:val="left" w:pos="5812"/>
        </w:tabs>
        <w:ind w:left="5529" w:hanging="5529"/>
        <w:rPr>
          <w:rFonts w:asciiTheme="minorHAnsi" w:hAnsiTheme="minorHAnsi" w:cstheme="minorHAnsi"/>
          <w:sz w:val="22"/>
          <w:szCs w:val="22"/>
        </w:rPr>
      </w:pPr>
      <w:r w:rsidRPr="0068094B">
        <w:rPr>
          <w:rFonts w:asciiTheme="minorHAnsi" w:hAnsiTheme="minorHAnsi" w:cstheme="minorHAnsi"/>
          <w:sz w:val="22"/>
          <w:szCs w:val="22"/>
        </w:rPr>
        <w:t>Email:</w:t>
      </w:r>
      <w:r w:rsidR="008C45AD">
        <w:rPr>
          <w:rFonts w:asciiTheme="minorHAnsi" w:hAnsiTheme="minorHAnsi" w:cstheme="minorHAnsi"/>
          <w:sz w:val="22"/>
          <w:szCs w:val="22"/>
        </w:rPr>
        <w:t xml:space="preserve"> </w:t>
      </w:r>
      <w:hyperlink r:id="rId11" w:history="1">
        <w:r w:rsidRPr="0068094B">
          <w:rPr>
            <w:rStyle w:val="Hyperlink"/>
            <w:rFonts w:asciiTheme="minorHAnsi" w:hAnsiTheme="minorHAnsi" w:cstheme="minorHAnsi"/>
            <w:sz w:val="22"/>
            <w:szCs w:val="22"/>
          </w:rPr>
          <w:t>Helpline@chichester.gov.uk</w:t>
        </w:r>
      </w:hyperlink>
    </w:p>
    <w:p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Email: </w:t>
      </w:r>
      <w:hyperlink r:id="rId12" w:history="1">
        <w:r w:rsidRPr="0068094B">
          <w:rPr>
            <w:rStyle w:val="Hyperlink"/>
            <w:rFonts w:asciiTheme="minorHAnsi" w:hAnsiTheme="minorHAnsi" w:cstheme="minorHAnsi"/>
            <w:sz w:val="22"/>
            <w:szCs w:val="22"/>
          </w:rPr>
          <w:t>finance@chichester.gov.uk</w:t>
        </w:r>
      </w:hyperlink>
    </w:p>
    <w:p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ab/>
      </w:r>
    </w:p>
    <w:p w:rsidR="00183652" w:rsidRPr="0068094B" w:rsidRDefault="004A6511" w:rsidP="00BD2C2B">
      <w:pPr>
        <w:tabs>
          <w:tab w:val="left" w:pos="1134"/>
          <w:tab w:val="left" w:pos="1418"/>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Website</w:t>
      </w:r>
      <w:r w:rsidR="00BD2C2B">
        <w:rPr>
          <w:rFonts w:asciiTheme="minorHAnsi" w:hAnsiTheme="minorHAnsi" w:cstheme="minorHAnsi"/>
          <w:sz w:val="22"/>
          <w:szCs w:val="22"/>
        </w:rPr>
        <w:tab/>
      </w:r>
      <w:r w:rsidRPr="0068094B">
        <w:rPr>
          <w:rFonts w:asciiTheme="minorHAnsi" w:hAnsiTheme="minorHAnsi" w:cstheme="minorHAnsi"/>
          <w:sz w:val="22"/>
          <w:szCs w:val="22"/>
        </w:rPr>
        <w:t>www.chichester.gov.uk</w:t>
      </w:r>
    </w:p>
    <w:p w:rsidR="00183652" w:rsidRPr="0068094B" w:rsidRDefault="00183652" w:rsidP="00BD2C2B">
      <w:pPr>
        <w:tabs>
          <w:tab w:val="left" w:pos="1134"/>
          <w:tab w:val="left" w:pos="1276"/>
          <w:tab w:val="left" w:pos="5529"/>
        </w:tabs>
        <w:ind w:left="5529" w:hanging="5529"/>
        <w:rPr>
          <w:rFonts w:asciiTheme="minorHAnsi" w:hAnsiTheme="minorHAnsi" w:cstheme="minorHAnsi"/>
          <w:sz w:val="22"/>
          <w:szCs w:val="22"/>
        </w:rPr>
      </w:pPr>
    </w:p>
    <w:p w:rsidR="00183652" w:rsidRPr="0068094B" w:rsidRDefault="000C135B" w:rsidP="00BD2C2B">
      <w:pPr>
        <w:tabs>
          <w:tab w:val="left" w:pos="1134"/>
          <w:tab w:val="left" w:pos="4111"/>
        </w:tabs>
        <w:ind w:left="4111" w:hanging="4111"/>
        <w:rPr>
          <w:rFonts w:asciiTheme="minorHAnsi" w:hAnsiTheme="minorHAnsi" w:cstheme="minorHAnsi"/>
          <w:bCs/>
          <w:sz w:val="22"/>
          <w:szCs w:val="22"/>
        </w:rPr>
      </w:pPr>
      <w:r w:rsidRPr="0068094B">
        <w:rPr>
          <w:rFonts w:asciiTheme="minorHAnsi" w:hAnsiTheme="minorHAnsi" w:cstheme="minorHAnsi"/>
          <w:bCs/>
          <w:sz w:val="22"/>
          <w:szCs w:val="22"/>
        </w:rPr>
        <w:t>Facebook</w:t>
      </w:r>
      <w:r w:rsidR="00BD2C2B">
        <w:rPr>
          <w:rFonts w:asciiTheme="minorHAnsi" w:hAnsiTheme="minorHAnsi" w:cstheme="minorHAnsi"/>
          <w:bCs/>
          <w:sz w:val="22"/>
          <w:szCs w:val="22"/>
        </w:rPr>
        <w:tab/>
      </w:r>
      <w:r w:rsidRPr="0068094B">
        <w:rPr>
          <w:rFonts w:asciiTheme="minorHAnsi" w:hAnsiTheme="minorHAnsi" w:cstheme="minorHAnsi"/>
          <w:bCs/>
          <w:sz w:val="22"/>
          <w:szCs w:val="22"/>
        </w:rPr>
        <w:t>www.facebook.com/ChichesterDistrict</w:t>
      </w:r>
      <w:r w:rsidR="00E16274" w:rsidRPr="0068094B">
        <w:rPr>
          <w:rFonts w:asciiTheme="minorHAnsi" w:hAnsiTheme="minorHAnsi" w:cstheme="minorHAnsi"/>
          <w:bCs/>
          <w:sz w:val="22"/>
          <w:szCs w:val="22"/>
        </w:rPr>
        <w:t>Council</w:t>
      </w:r>
    </w:p>
    <w:p w:rsidR="00183652" w:rsidRPr="0068094B" w:rsidRDefault="00183652" w:rsidP="00BD2C2B">
      <w:pPr>
        <w:tabs>
          <w:tab w:val="left" w:pos="1134"/>
          <w:tab w:val="left" w:pos="4111"/>
        </w:tabs>
        <w:ind w:left="4111" w:hanging="4111"/>
        <w:rPr>
          <w:rFonts w:asciiTheme="minorHAnsi" w:hAnsiTheme="minorHAnsi" w:cstheme="minorHAnsi"/>
          <w:sz w:val="22"/>
          <w:szCs w:val="22"/>
        </w:rPr>
      </w:pPr>
    </w:p>
    <w:p w:rsidR="000C135B" w:rsidRPr="0068094B" w:rsidRDefault="000C135B" w:rsidP="00BD2C2B">
      <w:pPr>
        <w:tabs>
          <w:tab w:val="left" w:pos="1134"/>
          <w:tab w:val="left" w:pos="4111"/>
        </w:tabs>
        <w:ind w:left="4111" w:hanging="4111"/>
        <w:rPr>
          <w:rFonts w:asciiTheme="minorHAnsi" w:hAnsiTheme="minorHAnsi" w:cstheme="minorHAnsi"/>
          <w:sz w:val="22"/>
          <w:szCs w:val="22"/>
        </w:rPr>
      </w:pPr>
      <w:r w:rsidRPr="0068094B">
        <w:rPr>
          <w:rFonts w:asciiTheme="minorHAnsi" w:hAnsiTheme="minorHAnsi" w:cstheme="minorHAnsi"/>
          <w:sz w:val="22"/>
          <w:szCs w:val="22"/>
        </w:rPr>
        <w:t>Twitter</w:t>
      </w:r>
      <w:r w:rsidR="00BD2C2B">
        <w:rPr>
          <w:rFonts w:asciiTheme="minorHAnsi" w:hAnsiTheme="minorHAnsi" w:cstheme="minorHAnsi"/>
          <w:sz w:val="22"/>
          <w:szCs w:val="22"/>
        </w:rPr>
        <w:tab/>
      </w:r>
      <w:r w:rsidRPr="0068094B">
        <w:rPr>
          <w:rFonts w:asciiTheme="minorHAnsi" w:hAnsiTheme="minorHAnsi" w:cstheme="minorHAnsi"/>
          <w:sz w:val="22"/>
          <w:szCs w:val="22"/>
        </w:rPr>
        <w:t>www.twitter.com/ChichesterDC</w:t>
      </w:r>
    </w:p>
    <w:p w:rsidR="00183652" w:rsidRPr="0068094B" w:rsidRDefault="00183652">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p>
    <w:p w:rsidR="00183652" w:rsidRPr="0068094B" w:rsidRDefault="00183652">
      <w:pPr>
        <w:rPr>
          <w:rFonts w:asciiTheme="minorHAnsi" w:hAnsiTheme="minorHAnsi" w:cstheme="minorHAnsi"/>
          <w:sz w:val="22"/>
          <w:szCs w:val="22"/>
        </w:rPr>
      </w:pPr>
    </w:p>
    <w:p w:rsidR="00183652" w:rsidRPr="0068094B" w:rsidRDefault="00E16274">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jc w:val="center"/>
        <w:rPr>
          <w:rFonts w:asciiTheme="minorHAnsi" w:hAnsiTheme="minorHAnsi" w:cstheme="minorHAnsi"/>
          <w:bCs/>
          <w:iCs w:val="0"/>
          <w:sz w:val="22"/>
          <w:szCs w:val="22"/>
        </w:rPr>
      </w:pPr>
      <w:r w:rsidRPr="0068094B">
        <w:rPr>
          <w:rFonts w:asciiTheme="minorHAnsi" w:hAnsiTheme="minorHAnsi" w:cstheme="minorHAnsi"/>
          <w:bCs/>
          <w:iCs w:val="0"/>
          <w:sz w:val="22"/>
          <w:szCs w:val="22"/>
        </w:rPr>
        <w:t>Council</w:t>
      </w:r>
      <w:r w:rsidR="004A6511" w:rsidRPr="0068094B">
        <w:rPr>
          <w:rFonts w:asciiTheme="minorHAnsi" w:hAnsiTheme="minorHAnsi" w:cstheme="minorHAnsi"/>
          <w:bCs/>
          <w:iCs w:val="0"/>
          <w:sz w:val="22"/>
          <w:szCs w:val="22"/>
        </w:rPr>
        <w:t xml:space="preserve"> Officials</w:t>
      </w:r>
    </w:p>
    <w:p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Chairman</w:t>
      </w:r>
    </w:p>
    <w:p w:rsidR="00183652" w:rsidRPr="0068094B" w:rsidRDefault="00545FEE">
      <w:pPr>
        <w:pStyle w:val="FootnoteText"/>
        <w:rPr>
          <w:rFonts w:asciiTheme="minorHAnsi" w:hAnsiTheme="minorHAnsi" w:cstheme="minorHAnsi"/>
          <w:sz w:val="22"/>
          <w:szCs w:val="22"/>
        </w:rPr>
      </w:pPr>
      <w:r w:rsidRPr="0068094B">
        <w:rPr>
          <w:rFonts w:asciiTheme="minorHAnsi" w:hAnsiTheme="minorHAnsi" w:cstheme="minorHAnsi"/>
          <w:sz w:val="22"/>
          <w:szCs w:val="22"/>
        </w:rPr>
        <w:t>Mrs E Hamilton</w:t>
      </w:r>
    </w:p>
    <w:p w:rsidR="00183652" w:rsidRPr="0068094B" w:rsidRDefault="00183652">
      <w:pPr>
        <w:pStyle w:val="FootnoteText"/>
        <w:rPr>
          <w:rFonts w:asciiTheme="minorHAnsi" w:hAnsiTheme="minorHAnsi" w:cstheme="minorHAnsi"/>
          <w:sz w:val="22"/>
          <w:szCs w:val="22"/>
        </w:rPr>
      </w:pPr>
    </w:p>
    <w:p w:rsidR="00183652" w:rsidRPr="0068094B" w:rsidRDefault="004A6511">
      <w:pPr>
        <w:pStyle w:val="FootnoteText"/>
        <w:rPr>
          <w:rFonts w:asciiTheme="minorHAnsi" w:hAnsiTheme="minorHAnsi" w:cstheme="minorHAnsi"/>
          <w:b/>
          <w:bCs/>
          <w:sz w:val="22"/>
          <w:szCs w:val="22"/>
        </w:rPr>
      </w:pPr>
      <w:r w:rsidRPr="0068094B">
        <w:rPr>
          <w:rFonts w:asciiTheme="minorHAnsi" w:hAnsiTheme="minorHAnsi" w:cstheme="minorHAnsi"/>
          <w:b/>
          <w:bCs/>
          <w:sz w:val="22"/>
          <w:szCs w:val="22"/>
        </w:rPr>
        <w:t>Leader</w:t>
      </w:r>
    </w:p>
    <w:p w:rsidR="00183652" w:rsidRPr="0068094B" w:rsidRDefault="004A651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r w:rsidRPr="00517607">
        <w:rPr>
          <w:rFonts w:asciiTheme="minorHAnsi" w:hAnsiTheme="minorHAnsi" w:cstheme="minorHAnsi"/>
          <w:b w:val="0"/>
          <w:iCs w:val="0"/>
          <w:sz w:val="22"/>
          <w:szCs w:val="22"/>
        </w:rPr>
        <w:t>Mr</w:t>
      </w:r>
      <w:r w:rsidR="00C538E2">
        <w:rPr>
          <w:rFonts w:asciiTheme="minorHAnsi" w:hAnsiTheme="minorHAnsi" w:cstheme="minorHAnsi"/>
          <w:b w:val="0"/>
          <w:iCs w:val="0"/>
          <w:sz w:val="22"/>
          <w:szCs w:val="22"/>
        </w:rPr>
        <w:t>s</w:t>
      </w:r>
      <w:r w:rsidR="00791A4A" w:rsidRPr="00517607">
        <w:rPr>
          <w:rFonts w:asciiTheme="minorHAnsi" w:hAnsiTheme="minorHAnsi" w:cstheme="minorHAnsi"/>
          <w:b w:val="0"/>
          <w:iCs w:val="0"/>
          <w:sz w:val="22"/>
          <w:szCs w:val="22"/>
        </w:rPr>
        <w:t xml:space="preserve"> </w:t>
      </w:r>
      <w:r w:rsidR="00C538E2">
        <w:rPr>
          <w:rFonts w:asciiTheme="minorHAnsi" w:hAnsiTheme="minorHAnsi" w:cstheme="minorHAnsi"/>
          <w:b w:val="0"/>
          <w:iCs w:val="0"/>
          <w:sz w:val="22"/>
          <w:szCs w:val="22"/>
        </w:rPr>
        <w:t>E</w:t>
      </w:r>
      <w:r w:rsidRPr="00517607">
        <w:rPr>
          <w:rFonts w:asciiTheme="minorHAnsi" w:hAnsiTheme="minorHAnsi" w:cstheme="minorHAnsi"/>
          <w:b w:val="0"/>
          <w:iCs w:val="0"/>
          <w:sz w:val="22"/>
          <w:szCs w:val="22"/>
        </w:rPr>
        <w:t xml:space="preserve"> </w:t>
      </w:r>
      <w:proofErr w:type="spellStart"/>
      <w:r w:rsidR="00C538E2">
        <w:rPr>
          <w:rFonts w:asciiTheme="minorHAnsi" w:hAnsiTheme="minorHAnsi" w:cstheme="minorHAnsi"/>
          <w:b w:val="0"/>
          <w:iCs w:val="0"/>
          <w:sz w:val="22"/>
          <w:szCs w:val="22"/>
        </w:rPr>
        <w:t>Lintell</w:t>
      </w:r>
      <w:proofErr w:type="spellEnd"/>
    </w:p>
    <w:p w:rsidR="00183652" w:rsidRPr="0068094B" w:rsidRDefault="00183652">
      <w:pPr>
        <w:pStyle w:val="FootnoteText"/>
        <w:rPr>
          <w:rFonts w:asciiTheme="minorHAnsi" w:hAnsiTheme="minorHAnsi" w:cstheme="minorHAnsi"/>
          <w:sz w:val="22"/>
          <w:szCs w:val="22"/>
        </w:rPr>
      </w:pPr>
    </w:p>
    <w:p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Deputy Leader</w:t>
      </w:r>
    </w:p>
    <w:p w:rsidR="00183652" w:rsidRPr="0068094B" w:rsidRDefault="004A6511">
      <w:pPr>
        <w:pStyle w:val="FootnoteText"/>
        <w:rPr>
          <w:rFonts w:asciiTheme="minorHAnsi" w:hAnsiTheme="minorHAnsi" w:cstheme="minorHAnsi"/>
          <w:bCs/>
          <w:sz w:val="22"/>
          <w:szCs w:val="22"/>
        </w:rPr>
      </w:pPr>
      <w:r w:rsidRPr="00517607">
        <w:rPr>
          <w:rFonts w:asciiTheme="minorHAnsi" w:hAnsiTheme="minorHAnsi" w:cstheme="minorHAnsi"/>
          <w:bCs/>
          <w:iCs/>
          <w:sz w:val="22"/>
          <w:szCs w:val="22"/>
        </w:rPr>
        <w:t>Mr</w:t>
      </w:r>
      <w:r w:rsidR="00722643" w:rsidRPr="00517607">
        <w:rPr>
          <w:rFonts w:asciiTheme="minorHAnsi" w:hAnsiTheme="minorHAnsi" w:cstheme="minorHAnsi"/>
          <w:bCs/>
          <w:iCs/>
          <w:sz w:val="22"/>
          <w:szCs w:val="22"/>
        </w:rPr>
        <w:t>s</w:t>
      </w:r>
      <w:r w:rsidRPr="00517607">
        <w:rPr>
          <w:rFonts w:asciiTheme="minorHAnsi" w:hAnsiTheme="minorHAnsi" w:cstheme="minorHAnsi"/>
          <w:bCs/>
          <w:iCs/>
          <w:sz w:val="22"/>
          <w:szCs w:val="22"/>
        </w:rPr>
        <w:t xml:space="preserve"> </w:t>
      </w:r>
      <w:r w:rsidR="00C538E2">
        <w:rPr>
          <w:rFonts w:asciiTheme="minorHAnsi" w:hAnsiTheme="minorHAnsi" w:cstheme="minorHAnsi"/>
          <w:bCs/>
          <w:iCs/>
          <w:sz w:val="22"/>
          <w:szCs w:val="22"/>
        </w:rPr>
        <w:t>S</w:t>
      </w:r>
      <w:r w:rsidRPr="00517607">
        <w:rPr>
          <w:rFonts w:asciiTheme="minorHAnsi" w:hAnsiTheme="minorHAnsi" w:cstheme="minorHAnsi"/>
          <w:bCs/>
          <w:iCs/>
          <w:sz w:val="22"/>
          <w:szCs w:val="22"/>
        </w:rPr>
        <w:t xml:space="preserve"> </w:t>
      </w:r>
      <w:r w:rsidR="00C538E2">
        <w:rPr>
          <w:rFonts w:asciiTheme="minorHAnsi" w:hAnsiTheme="minorHAnsi" w:cstheme="minorHAnsi"/>
          <w:bCs/>
          <w:iCs/>
          <w:sz w:val="22"/>
          <w:szCs w:val="22"/>
        </w:rPr>
        <w:t>Taylor</w:t>
      </w:r>
    </w:p>
    <w:p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rsidR="00183652" w:rsidRPr="0068094B" w:rsidRDefault="0016159E">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 xml:space="preserve">Senior </w:t>
      </w:r>
      <w:r w:rsidR="00D5734D" w:rsidRPr="0068094B">
        <w:rPr>
          <w:rFonts w:asciiTheme="minorHAnsi" w:hAnsiTheme="minorHAnsi" w:cstheme="minorHAnsi"/>
          <w:bCs/>
          <w:iCs w:val="0"/>
          <w:sz w:val="22"/>
          <w:szCs w:val="22"/>
        </w:rPr>
        <w:t>Leadership Team</w:t>
      </w:r>
    </w:p>
    <w:p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rsidR="00183652" w:rsidRPr="0068094B" w:rsidRDefault="00594C4E" w:rsidP="00BF7CE5">
      <w:pPr>
        <w:pStyle w:val="FootnoteText"/>
        <w:rPr>
          <w:rFonts w:asciiTheme="minorHAnsi" w:hAnsiTheme="minorHAnsi" w:cstheme="minorHAnsi"/>
          <w:sz w:val="22"/>
          <w:szCs w:val="22"/>
        </w:rPr>
      </w:pPr>
      <w:r w:rsidRPr="0068094B">
        <w:rPr>
          <w:rFonts w:asciiTheme="minorHAnsi" w:hAnsiTheme="minorHAnsi" w:cstheme="minorHAnsi"/>
          <w:sz w:val="22"/>
          <w:szCs w:val="22"/>
        </w:rPr>
        <w:t>Mrs D Shepherd</w:t>
      </w:r>
      <w:r w:rsidR="00BF7CE5" w:rsidRPr="0068094B">
        <w:rPr>
          <w:rFonts w:asciiTheme="minorHAnsi" w:hAnsiTheme="minorHAnsi" w:cstheme="minorHAnsi"/>
          <w:sz w:val="22"/>
          <w:szCs w:val="22"/>
        </w:rPr>
        <w:t>, Chief Executive</w:t>
      </w:r>
      <w:r w:rsidR="00290DBB" w:rsidRPr="0068094B">
        <w:rPr>
          <w:rFonts w:asciiTheme="minorHAnsi" w:hAnsiTheme="minorHAnsi" w:cstheme="minorHAnsi"/>
          <w:sz w:val="22"/>
          <w:szCs w:val="22"/>
        </w:rPr>
        <w:t xml:space="preserve"> (Head of Paid Service)</w:t>
      </w:r>
    </w:p>
    <w:p w:rsidR="0016159E" w:rsidRPr="0068094B" w:rsidRDefault="0016159E" w:rsidP="00BF7CE5">
      <w:pPr>
        <w:pStyle w:val="FootnoteText"/>
        <w:rPr>
          <w:rFonts w:asciiTheme="minorHAnsi" w:hAnsiTheme="minorHAnsi" w:cstheme="minorHAnsi"/>
          <w:sz w:val="22"/>
          <w:szCs w:val="22"/>
        </w:rPr>
      </w:pPr>
    </w:p>
    <w:p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Mr P Over, </w:t>
      </w:r>
      <w:r w:rsidR="00B34B85" w:rsidRPr="0068094B">
        <w:rPr>
          <w:rFonts w:asciiTheme="minorHAnsi" w:hAnsiTheme="minorHAnsi" w:cstheme="minorHAnsi"/>
          <w:sz w:val="22"/>
          <w:szCs w:val="22"/>
        </w:rPr>
        <w:t xml:space="preserve">Executive Director </w:t>
      </w:r>
      <w:r w:rsidR="00810B4B">
        <w:rPr>
          <w:rFonts w:asciiTheme="minorHAnsi" w:hAnsiTheme="minorHAnsi" w:cstheme="minorHAnsi"/>
          <w:sz w:val="22"/>
          <w:szCs w:val="22"/>
        </w:rPr>
        <w:t>a</w:t>
      </w:r>
      <w:r w:rsidR="00B34B85" w:rsidRPr="0068094B">
        <w:rPr>
          <w:rFonts w:asciiTheme="minorHAnsi" w:hAnsiTheme="minorHAnsi" w:cstheme="minorHAnsi"/>
          <w:sz w:val="22"/>
          <w:szCs w:val="22"/>
        </w:rPr>
        <w:t xml:space="preserve">nd </w:t>
      </w:r>
      <w:r w:rsidR="00810B4B">
        <w:rPr>
          <w:rFonts w:asciiTheme="minorHAnsi" w:hAnsiTheme="minorHAnsi" w:cstheme="minorHAnsi"/>
          <w:sz w:val="22"/>
          <w:szCs w:val="22"/>
        </w:rPr>
        <w:t>Deputy to the Chief Executive</w:t>
      </w:r>
      <w:r w:rsidR="006B1611">
        <w:rPr>
          <w:rFonts w:asciiTheme="minorHAnsi" w:hAnsiTheme="minorHAnsi" w:cstheme="minorHAnsi"/>
          <w:sz w:val="22"/>
          <w:szCs w:val="22"/>
        </w:rPr>
        <w:t xml:space="preserve"> (until 31 December 2019)</w:t>
      </w:r>
    </w:p>
    <w:p w:rsidR="0016159E" w:rsidRPr="0068094B" w:rsidRDefault="0016159E">
      <w:pPr>
        <w:rPr>
          <w:rFonts w:asciiTheme="minorHAnsi" w:hAnsiTheme="minorHAnsi" w:cstheme="minorHAnsi"/>
          <w:sz w:val="22"/>
          <w:szCs w:val="22"/>
        </w:rPr>
      </w:pPr>
    </w:p>
    <w:p w:rsid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Pr>
          <w:rFonts w:asciiTheme="minorHAnsi" w:hAnsiTheme="minorHAnsi" w:cstheme="minorHAnsi"/>
          <w:b w:val="0"/>
          <w:iCs w:val="0"/>
          <w:sz w:val="22"/>
          <w:szCs w:val="22"/>
        </w:rPr>
        <w:t>Mrs J Dodsworth, Director of Residents’ Services</w:t>
      </w:r>
      <w:r w:rsidR="00F30BC9">
        <w:rPr>
          <w:rFonts w:asciiTheme="minorHAnsi" w:hAnsiTheme="minorHAnsi" w:cstheme="minorHAnsi"/>
          <w:b w:val="0"/>
          <w:iCs w:val="0"/>
          <w:sz w:val="22"/>
          <w:szCs w:val="22"/>
        </w:rPr>
        <w:t xml:space="preserve"> (until 31 May 2019)</w:t>
      </w:r>
    </w:p>
    <w:p w:rsidR="00A31FAC" w:rsidRDefault="00A31FAC" w:rsidP="00A31FAC"/>
    <w:p w:rsidR="00A31FAC" w:rsidRPr="00A31FAC" w:rsidRDefault="00A31FAC" w:rsidP="00A31FAC">
      <w:pPr>
        <w:rPr>
          <w:rFonts w:asciiTheme="minorHAnsi" w:hAnsiTheme="minorHAnsi"/>
          <w:sz w:val="22"/>
          <w:szCs w:val="22"/>
        </w:rPr>
      </w:pPr>
      <w:r w:rsidRPr="00A31FAC">
        <w:rPr>
          <w:rFonts w:asciiTheme="minorHAnsi" w:hAnsiTheme="minorHAnsi"/>
          <w:sz w:val="22"/>
          <w:szCs w:val="22"/>
        </w:rPr>
        <w:t xml:space="preserve">Mr A Frost, Director and </w:t>
      </w:r>
      <w:r w:rsidR="003629E5">
        <w:rPr>
          <w:rFonts w:asciiTheme="minorHAnsi" w:hAnsiTheme="minorHAnsi"/>
          <w:sz w:val="22"/>
          <w:szCs w:val="22"/>
        </w:rPr>
        <w:t>P</w:t>
      </w:r>
      <w:r w:rsidRPr="00A31FAC">
        <w:rPr>
          <w:rFonts w:asciiTheme="minorHAnsi" w:hAnsiTheme="minorHAnsi"/>
          <w:sz w:val="22"/>
          <w:szCs w:val="22"/>
        </w:rPr>
        <w:t>lanning and Environmental Services</w:t>
      </w:r>
    </w:p>
    <w:p w:rsidR="00A31FAC" w:rsidRPr="00A31FAC" w:rsidRDefault="00A31FAC" w:rsidP="00A31FAC">
      <w:pPr>
        <w:rPr>
          <w:rFonts w:asciiTheme="minorHAnsi" w:hAnsiTheme="minorHAnsi"/>
          <w:sz w:val="22"/>
          <w:szCs w:val="22"/>
        </w:rPr>
      </w:pPr>
    </w:p>
    <w:p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Mrs J Hotchkiss, Director of Growth and Place </w:t>
      </w:r>
    </w:p>
    <w:p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rsidR="00A31FAC" w:rsidRPr="00A31FAC" w:rsidRDefault="00A31FAC" w:rsidP="00A31FAC">
      <w:pPr>
        <w:rPr>
          <w:rFonts w:asciiTheme="minorHAnsi" w:hAnsiTheme="minorHAnsi"/>
          <w:sz w:val="22"/>
          <w:szCs w:val="22"/>
        </w:rPr>
      </w:pPr>
      <w:r w:rsidRPr="00A31FAC">
        <w:rPr>
          <w:rFonts w:asciiTheme="minorHAnsi" w:hAnsiTheme="minorHAnsi"/>
          <w:sz w:val="22"/>
          <w:szCs w:val="22"/>
        </w:rPr>
        <w:t>Mrs L Rudziak, Director of Housing and Communities</w:t>
      </w:r>
    </w:p>
    <w:p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rsidR="00183652" w:rsidRPr="00A31FAC" w:rsidRDefault="004A6511"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 J Ward, </w:t>
      </w:r>
      <w:r w:rsidR="00E44335" w:rsidRPr="00A31FAC">
        <w:rPr>
          <w:rFonts w:asciiTheme="minorHAnsi" w:hAnsiTheme="minorHAnsi" w:cstheme="minorHAnsi"/>
          <w:b w:val="0"/>
          <w:iCs w:val="0"/>
          <w:sz w:val="22"/>
          <w:szCs w:val="22"/>
        </w:rPr>
        <w:t xml:space="preserve">Director of Corporate Services </w:t>
      </w:r>
      <w:r w:rsidRPr="00A31FAC">
        <w:rPr>
          <w:rFonts w:asciiTheme="minorHAnsi" w:hAnsiTheme="minorHAnsi" w:cstheme="minorHAnsi"/>
          <w:b w:val="0"/>
          <w:iCs w:val="0"/>
          <w:sz w:val="22"/>
          <w:szCs w:val="22"/>
        </w:rPr>
        <w:t xml:space="preserve">and Section 151 </w:t>
      </w:r>
      <w:r w:rsidR="005D7F71" w:rsidRPr="00A31FAC">
        <w:rPr>
          <w:rFonts w:asciiTheme="minorHAnsi" w:hAnsiTheme="minorHAnsi" w:cstheme="minorHAnsi"/>
          <w:b w:val="0"/>
          <w:iCs w:val="0"/>
          <w:sz w:val="22"/>
          <w:szCs w:val="22"/>
        </w:rPr>
        <w:t>Officer</w:t>
      </w:r>
      <w:r w:rsidRPr="00A31FAC">
        <w:rPr>
          <w:rFonts w:asciiTheme="minorHAnsi" w:hAnsiTheme="minorHAnsi" w:cstheme="minorHAnsi"/>
          <w:b w:val="0"/>
          <w:iCs w:val="0"/>
          <w:sz w:val="22"/>
          <w:szCs w:val="22"/>
        </w:rPr>
        <w:t xml:space="preserve"> </w:t>
      </w:r>
    </w:p>
    <w:p w:rsidR="0016159E" w:rsidRPr="0068094B" w:rsidRDefault="0016159E" w:rsidP="0016159E">
      <w:pPr>
        <w:rPr>
          <w:rFonts w:asciiTheme="minorHAnsi" w:hAnsiTheme="minorHAnsi" w:cstheme="minorHAnsi"/>
          <w:sz w:val="22"/>
          <w:szCs w:val="22"/>
        </w:rPr>
      </w:pPr>
    </w:p>
    <w:p w:rsidR="00183652" w:rsidRPr="00BD2C2B" w:rsidRDefault="00183652" w:rsidP="00BD2C2B">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sectPr w:rsidR="00183652" w:rsidRPr="00BD2C2B" w:rsidSect="00420C36">
          <w:headerReference w:type="default" r:id="rId13"/>
          <w:footerReference w:type="even" r:id="rId14"/>
          <w:footerReference w:type="default" r:id="rId15"/>
          <w:headerReference w:type="first" r:id="rId16"/>
          <w:footerReference w:type="first" r:id="rId17"/>
          <w:footnotePr>
            <w:pos w:val="beneathText"/>
          </w:footnotePr>
          <w:pgSz w:w="11906" w:h="16838"/>
          <w:pgMar w:top="426" w:right="1736" w:bottom="1418" w:left="1440" w:header="851" w:footer="576" w:gutter="0"/>
          <w:pgNumType w:start="3"/>
          <w:cols w:space="720"/>
          <w:docGrid w:linePitch="360"/>
        </w:sectPr>
      </w:pPr>
    </w:p>
    <w:p w:rsidR="00183652" w:rsidRPr="004B7477" w:rsidRDefault="00336376">
      <w:pPr>
        <w:pStyle w:val="Heading7"/>
        <w:pageBreakBefore/>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sidRPr="004B7477">
        <w:rPr>
          <w:rFonts w:asciiTheme="minorHAnsi" w:hAnsiTheme="minorHAnsi" w:cstheme="minorHAnsi"/>
          <w:bCs/>
          <w:iCs w:val="0"/>
          <w:sz w:val="24"/>
          <w:szCs w:val="24"/>
        </w:rPr>
        <w:lastRenderedPageBreak/>
        <w:t>Narrative Report</w:t>
      </w:r>
    </w:p>
    <w:p w:rsidR="00183652" w:rsidRPr="0068094B" w:rsidRDefault="00183652" w:rsidP="00BD2C2B">
      <w:pPr>
        <w:pStyle w:val="BodyText3"/>
        <w:tabs>
          <w:tab w:val="left" w:pos="9356"/>
        </w:tabs>
        <w:spacing w:before="360"/>
        <w:ind w:right="28"/>
        <w:jc w:val="left"/>
        <w:rPr>
          <w:rFonts w:asciiTheme="minorHAnsi" w:hAnsiTheme="minorHAnsi" w:cstheme="minorHAnsi"/>
          <w:szCs w:val="22"/>
        </w:rPr>
      </w:pPr>
    </w:p>
    <w:p w:rsidR="006E2E6F" w:rsidRPr="006C41B6" w:rsidRDefault="0047714F" w:rsidP="006E2E6F">
      <w:pPr>
        <w:rPr>
          <w:rFonts w:asciiTheme="minorHAnsi" w:hAnsiTheme="minorHAnsi" w:cstheme="minorHAnsi"/>
          <w:sz w:val="22"/>
          <w:szCs w:val="22"/>
        </w:rPr>
      </w:pPr>
      <w:r w:rsidRPr="006C41B6">
        <w:rPr>
          <w:rFonts w:asciiTheme="minorHAnsi" w:hAnsiTheme="minorHAnsi" w:cstheme="minorHAnsi"/>
          <w:b/>
          <w:sz w:val="22"/>
          <w:szCs w:val="22"/>
        </w:rPr>
        <w:t xml:space="preserve">Introduction by the </w:t>
      </w:r>
      <w:r w:rsidR="00E44335">
        <w:rPr>
          <w:rFonts w:asciiTheme="minorHAnsi" w:hAnsiTheme="minorHAnsi" w:cstheme="minorHAnsi"/>
          <w:b/>
          <w:sz w:val="22"/>
          <w:szCs w:val="22"/>
        </w:rPr>
        <w:t>Director of Corporate Services</w:t>
      </w:r>
      <w:r w:rsidR="006E2E6F" w:rsidRPr="006C41B6">
        <w:rPr>
          <w:rFonts w:asciiTheme="minorHAnsi" w:hAnsiTheme="minorHAnsi" w:cstheme="minorHAnsi"/>
          <w:sz w:val="22"/>
          <w:szCs w:val="22"/>
        </w:rPr>
        <w:t xml:space="preserve"> </w:t>
      </w:r>
    </w:p>
    <w:p w:rsidR="006E2E6F" w:rsidRPr="006C41B6" w:rsidRDefault="006E2E6F" w:rsidP="006E2E6F">
      <w:pPr>
        <w:rPr>
          <w:rFonts w:asciiTheme="minorHAnsi" w:hAnsiTheme="minorHAnsi" w:cstheme="minorHAnsi"/>
          <w:sz w:val="22"/>
          <w:szCs w:val="22"/>
        </w:rPr>
      </w:pPr>
    </w:p>
    <w:p w:rsidR="00E83A90" w:rsidRDefault="00E83A90" w:rsidP="00E83A90">
      <w:pPr>
        <w:rPr>
          <w:rFonts w:asciiTheme="minorHAnsi" w:hAnsiTheme="minorHAnsi" w:cstheme="minorHAnsi"/>
          <w:sz w:val="22"/>
          <w:szCs w:val="22"/>
        </w:rPr>
      </w:pPr>
      <w:r>
        <w:rPr>
          <w:rFonts w:asciiTheme="minorHAnsi" w:hAnsiTheme="minorHAnsi" w:cstheme="minorHAnsi"/>
          <w:sz w:val="22"/>
          <w:szCs w:val="22"/>
        </w:rPr>
        <w:t>In considering the content for this narrative statement the majority of the year was business as usual for the Council, and only in the last two months of the financial year, did the country and local government start to feel a shift due to the global pandemic impacting the UK, and subsequently affecting many aspects of service delivery, demand for Council services and impacting some major income streams.</w:t>
      </w:r>
    </w:p>
    <w:p w:rsidR="00E83A90" w:rsidRPr="006C41B6" w:rsidRDefault="00E83A90" w:rsidP="00E83A90">
      <w:pPr>
        <w:rPr>
          <w:rFonts w:asciiTheme="minorHAnsi" w:hAnsiTheme="minorHAnsi" w:cstheme="minorHAnsi"/>
          <w:sz w:val="22"/>
          <w:szCs w:val="22"/>
        </w:rPr>
      </w:pPr>
    </w:p>
    <w:p w:rsidR="00E83A90" w:rsidRDefault="00E83A90" w:rsidP="00E83A90">
      <w:pPr>
        <w:rPr>
          <w:rFonts w:asciiTheme="minorHAnsi" w:hAnsiTheme="minorHAnsi" w:cstheme="minorHAnsi"/>
          <w:sz w:val="22"/>
          <w:szCs w:val="22"/>
        </w:rPr>
      </w:pPr>
      <w:r>
        <w:rPr>
          <w:rFonts w:asciiTheme="minorHAnsi" w:hAnsiTheme="minorHAnsi" w:cstheme="minorHAnsi"/>
          <w:sz w:val="22"/>
          <w:szCs w:val="22"/>
        </w:rPr>
        <w:t>A key priority of the Council’s Corporate Plan is “To manage the Council’s finances prudently and effectively” with three main objectives, which are:</w:t>
      </w:r>
    </w:p>
    <w:p w:rsidR="00E83A90" w:rsidRDefault="00E83A90" w:rsidP="00E83A90">
      <w:pPr>
        <w:rPr>
          <w:rFonts w:asciiTheme="minorHAnsi" w:hAnsiTheme="minorHAnsi" w:cstheme="minorHAnsi"/>
          <w:sz w:val="22"/>
          <w:szCs w:val="22"/>
        </w:rPr>
      </w:pPr>
    </w:p>
    <w:p w:rsidR="00E83A90" w:rsidRPr="00AE6676" w:rsidRDefault="00E83A90" w:rsidP="00E83A90">
      <w:pPr>
        <w:pStyle w:val="ListParagraph"/>
        <w:numPr>
          <w:ilvl w:val="0"/>
          <w:numId w:val="70"/>
        </w:numPr>
        <w:rPr>
          <w:rFonts w:asciiTheme="minorHAnsi" w:hAnsiTheme="minorHAnsi" w:cstheme="minorHAnsi"/>
          <w:szCs w:val="22"/>
        </w:rPr>
      </w:pPr>
      <w:r w:rsidRPr="00AE6676">
        <w:rPr>
          <w:rFonts w:asciiTheme="minorHAnsi" w:hAnsiTheme="minorHAnsi" w:cstheme="minorHAnsi"/>
          <w:szCs w:val="22"/>
        </w:rPr>
        <w:t>Ensure the prudent use of the Council’s resources.</w:t>
      </w:r>
    </w:p>
    <w:p w:rsidR="00E83A90" w:rsidRPr="00AE6676" w:rsidRDefault="00E83A90" w:rsidP="00E83A90">
      <w:pPr>
        <w:pStyle w:val="ListParagraph"/>
        <w:numPr>
          <w:ilvl w:val="0"/>
          <w:numId w:val="70"/>
        </w:numPr>
        <w:rPr>
          <w:rFonts w:asciiTheme="minorHAnsi" w:hAnsiTheme="minorHAnsi" w:cstheme="minorHAnsi"/>
          <w:szCs w:val="22"/>
        </w:rPr>
      </w:pPr>
      <w:r w:rsidRPr="00AE6676">
        <w:rPr>
          <w:rFonts w:asciiTheme="minorHAnsi" w:hAnsiTheme="minorHAnsi" w:cstheme="minorHAnsi"/>
          <w:szCs w:val="22"/>
        </w:rPr>
        <w:t>Provide value for money through efficient and effective service delivery.</w:t>
      </w:r>
    </w:p>
    <w:p w:rsidR="00E83A90" w:rsidRPr="00AE6676" w:rsidRDefault="00E83A90" w:rsidP="00E83A90">
      <w:pPr>
        <w:pStyle w:val="ListParagraph"/>
        <w:numPr>
          <w:ilvl w:val="0"/>
          <w:numId w:val="70"/>
        </w:numPr>
        <w:rPr>
          <w:rFonts w:asciiTheme="minorHAnsi" w:hAnsiTheme="minorHAnsi" w:cstheme="minorHAnsi"/>
          <w:szCs w:val="22"/>
        </w:rPr>
      </w:pPr>
      <w:r w:rsidRPr="00AE6676">
        <w:rPr>
          <w:rFonts w:asciiTheme="minorHAnsi" w:hAnsiTheme="minorHAnsi" w:cstheme="minorHAnsi"/>
          <w:szCs w:val="22"/>
        </w:rPr>
        <w:t>Maintain a low rate of council tax while protecting services.</w:t>
      </w:r>
    </w:p>
    <w:p w:rsidR="00E83A90" w:rsidRDefault="00E83A90" w:rsidP="00E83A90">
      <w:pPr>
        <w:rPr>
          <w:rFonts w:asciiTheme="minorHAnsi" w:hAnsiTheme="minorHAnsi" w:cstheme="minorHAnsi"/>
          <w:sz w:val="22"/>
          <w:szCs w:val="22"/>
        </w:rPr>
      </w:pPr>
    </w:p>
    <w:p w:rsidR="00E83A90" w:rsidRPr="002D2198" w:rsidRDefault="00E83A90" w:rsidP="00E83A90">
      <w:pPr>
        <w:rPr>
          <w:rFonts w:asciiTheme="minorHAnsi" w:hAnsiTheme="minorHAnsi" w:cstheme="minorHAnsi"/>
          <w:sz w:val="22"/>
          <w:szCs w:val="22"/>
        </w:rPr>
      </w:pPr>
      <w:r>
        <w:rPr>
          <w:rFonts w:asciiTheme="minorHAnsi" w:hAnsiTheme="minorHAnsi" w:cstheme="minorHAnsi"/>
          <w:sz w:val="22"/>
          <w:szCs w:val="22"/>
        </w:rPr>
        <w:t>In relation to these objectives t</w:t>
      </w:r>
      <w:r w:rsidRPr="006C41B6">
        <w:rPr>
          <w:rFonts w:asciiTheme="minorHAnsi" w:hAnsiTheme="minorHAnsi" w:cstheme="minorHAnsi"/>
          <w:sz w:val="22"/>
          <w:szCs w:val="22"/>
        </w:rPr>
        <w:t xml:space="preserve">he Council has strong financial management processes in place to ensure that its financial position remains sustainable and that it holds adequate levels of reserves. </w:t>
      </w:r>
      <w:r>
        <w:rPr>
          <w:rFonts w:asciiTheme="minorHAnsi" w:hAnsiTheme="minorHAnsi" w:cstheme="minorHAnsi"/>
          <w:sz w:val="22"/>
          <w:szCs w:val="22"/>
        </w:rPr>
        <w:t xml:space="preserve">This approach is underpinned by the Council’s strategic financial planning and key financial principles. The Council started to plan for the anticipated impact on its substantial discretionary income streams from the public health issue both in the short term following the response to Government guidance on 23 March 2020, and the impact in the longer term due to behavioural and demand changes for its services. The Council’s initial response to COVID-19 was detailed to members on 12 May 2020; the detailed report can be found here: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w:instrText>
      </w:r>
      <w:r w:rsidRPr="002D2198">
        <w:rPr>
          <w:rFonts w:asciiTheme="minorHAnsi" w:hAnsiTheme="minorHAnsi" w:cstheme="minorHAnsi"/>
          <w:sz w:val="22"/>
          <w:szCs w:val="22"/>
        </w:rPr>
        <w:instrText>https://chichester.moderngov.co.uk/documents/s16910/Response%20to%20Covid-19%20-%20report.pdf</w:instrText>
      </w:r>
    </w:p>
    <w:p w:rsidR="00E83A90" w:rsidRPr="008A737A" w:rsidRDefault="00E83A90" w:rsidP="00E83A90">
      <w:pPr>
        <w:rPr>
          <w:rStyle w:val="Hyperlink"/>
          <w:rFonts w:asciiTheme="minorHAnsi" w:hAnsiTheme="minorHAnsi" w:cstheme="minorHAnsi"/>
          <w:sz w:val="22"/>
          <w:szCs w:val="22"/>
        </w:rPr>
      </w:pPr>
      <w:r>
        <w:rPr>
          <w:rFonts w:asciiTheme="minorHAnsi" w:hAnsiTheme="minorHAnsi" w:cstheme="minorHAnsi"/>
          <w:sz w:val="22"/>
          <w:szCs w:val="22"/>
        </w:rPr>
        <w:instrText xml:space="preserve">" </w:instrText>
      </w:r>
      <w:r>
        <w:rPr>
          <w:rFonts w:asciiTheme="minorHAnsi" w:hAnsiTheme="minorHAnsi" w:cstheme="minorHAnsi"/>
          <w:sz w:val="22"/>
          <w:szCs w:val="22"/>
        </w:rPr>
        <w:fldChar w:fldCharType="separate"/>
      </w:r>
      <w:r w:rsidRPr="008A737A">
        <w:rPr>
          <w:rStyle w:val="Hyperlink"/>
          <w:rFonts w:asciiTheme="minorHAnsi" w:hAnsiTheme="minorHAnsi" w:cstheme="minorHAnsi"/>
          <w:sz w:val="22"/>
          <w:szCs w:val="22"/>
        </w:rPr>
        <w:t>https://chichester.moderngov.co.uk/documents/s16910/Response%20to%20Covid-19%20-%20report.pdf</w:t>
      </w:r>
    </w:p>
    <w:p w:rsidR="00E83A90" w:rsidRPr="006C41B6" w:rsidRDefault="00E83A90" w:rsidP="00E83A90">
      <w:pPr>
        <w:rPr>
          <w:rFonts w:asciiTheme="minorHAnsi" w:hAnsiTheme="minorHAnsi" w:cstheme="minorHAnsi"/>
          <w:sz w:val="22"/>
          <w:szCs w:val="22"/>
        </w:rPr>
      </w:pPr>
      <w:r>
        <w:rPr>
          <w:rFonts w:asciiTheme="minorHAnsi" w:hAnsiTheme="minorHAnsi" w:cstheme="minorHAnsi"/>
          <w:sz w:val="22"/>
          <w:szCs w:val="22"/>
        </w:rPr>
        <w:fldChar w:fldCharType="end"/>
      </w:r>
    </w:p>
    <w:p w:rsidR="00E83A90" w:rsidRPr="006C41B6"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 xml:space="preserve">I have structured this narrative statement to enable readers to understand the Council, its operating environment, and to assist in the understanding and interpretation of the Statement of Accounts. </w:t>
      </w:r>
    </w:p>
    <w:p w:rsidR="00E83A90" w:rsidRPr="006C41B6" w:rsidRDefault="00E83A90" w:rsidP="00E83A90">
      <w:pPr>
        <w:rPr>
          <w:rFonts w:asciiTheme="minorHAnsi" w:hAnsiTheme="minorHAnsi" w:cstheme="minorHAnsi"/>
          <w:sz w:val="22"/>
          <w:szCs w:val="22"/>
        </w:rPr>
      </w:pPr>
    </w:p>
    <w:p w:rsidR="00E83A90" w:rsidRPr="006C41B6" w:rsidRDefault="00E83A90" w:rsidP="00E83A90">
      <w:pPr>
        <w:rPr>
          <w:rFonts w:asciiTheme="minorHAnsi" w:hAnsiTheme="minorHAnsi" w:cstheme="minorHAnsi"/>
          <w:sz w:val="22"/>
          <w:szCs w:val="22"/>
        </w:rPr>
      </w:pPr>
      <w:r>
        <w:rPr>
          <w:rFonts w:asciiTheme="minorHAnsi" w:hAnsiTheme="minorHAnsi" w:cstheme="minorHAnsi"/>
          <w:sz w:val="22"/>
          <w:szCs w:val="22"/>
        </w:rPr>
        <w:t>This Narrative report contains t</w:t>
      </w:r>
      <w:r w:rsidRPr="006C41B6">
        <w:rPr>
          <w:rFonts w:asciiTheme="minorHAnsi" w:hAnsiTheme="minorHAnsi" w:cstheme="minorHAnsi"/>
          <w:sz w:val="22"/>
          <w:szCs w:val="22"/>
        </w:rPr>
        <w:t xml:space="preserve">he </w:t>
      </w:r>
      <w:r>
        <w:rPr>
          <w:rFonts w:asciiTheme="minorHAnsi" w:hAnsiTheme="minorHAnsi" w:cstheme="minorHAnsi"/>
          <w:sz w:val="22"/>
          <w:szCs w:val="22"/>
        </w:rPr>
        <w:t xml:space="preserve">following </w:t>
      </w:r>
      <w:r w:rsidRPr="006C41B6">
        <w:rPr>
          <w:rFonts w:asciiTheme="minorHAnsi" w:hAnsiTheme="minorHAnsi" w:cstheme="minorHAnsi"/>
          <w:sz w:val="22"/>
          <w:szCs w:val="22"/>
        </w:rPr>
        <w:t>sections:</w:t>
      </w:r>
    </w:p>
    <w:p w:rsidR="00E83A90" w:rsidRPr="006C41B6" w:rsidRDefault="00E83A90" w:rsidP="00E83A90">
      <w:pPr>
        <w:rPr>
          <w:rFonts w:asciiTheme="minorHAnsi" w:hAnsiTheme="minorHAnsi" w:cstheme="minorHAnsi"/>
          <w:sz w:val="22"/>
          <w:szCs w:val="22"/>
        </w:rPr>
      </w:pPr>
    </w:p>
    <w:p w:rsidR="00E83A90" w:rsidRDefault="00E83A90" w:rsidP="00E83A90">
      <w:pPr>
        <w:pStyle w:val="ListParagraph"/>
        <w:numPr>
          <w:ilvl w:val="0"/>
          <w:numId w:val="49"/>
        </w:numPr>
        <w:suppressAutoHyphens w:val="0"/>
        <w:overflowPunct/>
        <w:autoSpaceDE/>
        <w:spacing w:after="200" w:line="276" w:lineRule="auto"/>
        <w:contextualSpacing/>
        <w:textAlignment w:val="auto"/>
        <w:rPr>
          <w:rFonts w:asciiTheme="minorHAnsi" w:hAnsiTheme="minorHAnsi" w:cstheme="minorHAnsi"/>
          <w:szCs w:val="22"/>
        </w:rPr>
      </w:pPr>
      <w:r>
        <w:rPr>
          <w:rFonts w:asciiTheme="minorHAnsi" w:hAnsiTheme="minorHAnsi" w:cstheme="minorHAnsi"/>
          <w:szCs w:val="22"/>
        </w:rPr>
        <w:t xml:space="preserve">Introduction to Chichester </w:t>
      </w:r>
    </w:p>
    <w:p w:rsidR="00E83A90" w:rsidRPr="006C41B6" w:rsidRDefault="00E83A90" w:rsidP="00E83A90">
      <w:pPr>
        <w:pStyle w:val="ListParagraph"/>
        <w:numPr>
          <w:ilvl w:val="0"/>
          <w:numId w:val="49"/>
        </w:numPr>
        <w:suppressAutoHyphens w:val="0"/>
        <w:overflowPunct/>
        <w:autoSpaceDE/>
        <w:spacing w:after="200" w:line="276" w:lineRule="auto"/>
        <w:contextualSpacing/>
        <w:textAlignment w:val="auto"/>
        <w:rPr>
          <w:rFonts w:asciiTheme="minorHAnsi" w:hAnsiTheme="minorHAnsi" w:cstheme="minorHAnsi"/>
          <w:szCs w:val="22"/>
        </w:rPr>
      </w:pPr>
      <w:r w:rsidRPr="006C41B6">
        <w:rPr>
          <w:rFonts w:asciiTheme="minorHAnsi" w:hAnsiTheme="minorHAnsi" w:cstheme="minorHAnsi"/>
          <w:szCs w:val="22"/>
        </w:rPr>
        <w:t>Key Facts about the Council</w:t>
      </w:r>
    </w:p>
    <w:p w:rsidR="00E83A90" w:rsidRPr="006C41B6" w:rsidRDefault="00E83A90" w:rsidP="00E83A90">
      <w:pPr>
        <w:pStyle w:val="ListParagraph"/>
        <w:numPr>
          <w:ilvl w:val="0"/>
          <w:numId w:val="49"/>
        </w:numPr>
        <w:suppressAutoHyphens w:val="0"/>
        <w:overflowPunct/>
        <w:autoSpaceDE/>
        <w:spacing w:after="200" w:line="276" w:lineRule="auto"/>
        <w:contextualSpacing/>
        <w:textAlignment w:val="auto"/>
        <w:rPr>
          <w:rFonts w:asciiTheme="minorHAnsi" w:hAnsiTheme="minorHAnsi" w:cstheme="minorHAnsi"/>
          <w:szCs w:val="22"/>
        </w:rPr>
      </w:pPr>
      <w:r w:rsidRPr="006C41B6">
        <w:rPr>
          <w:rFonts w:asciiTheme="minorHAnsi" w:hAnsiTheme="minorHAnsi" w:cstheme="minorHAnsi"/>
          <w:szCs w:val="22"/>
        </w:rPr>
        <w:t>Council performance</w:t>
      </w:r>
    </w:p>
    <w:p w:rsidR="00E83A90" w:rsidRPr="006C41B6" w:rsidRDefault="00E83A90" w:rsidP="00E83A90">
      <w:pPr>
        <w:pStyle w:val="ListParagraph"/>
        <w:numPr>
          <w:ilvl w:val="0"/>
          <w:numId w:val="49"/>
        </w:numPr>
        <w:suppressAutoHyphens w:val="0"/>
        <w:overflowPunct/>
        <w:autoSpaceDE/>
        <w:spacing w:after="200" w:line="276" w:lineRule="auto"/>
        <w:contextualSpacing/>
        <w:textAlignment w:val="auto"/>
        <w:rPr>
          <w:rFonts w:asciiTheme="minorHAnsi" w:hAnsiTheme="minorHAnsi" w:cstheme="minorHAnsi"/>
          <w:szCs w:val="22"/>
        </w:rPr>
      </w:pPr>
      <w:r>
        <w:rPr>
          <w:rFonts w:asciiTheme="minorHAnsi" w:hAnsiTheme="minorHAnsi" w:cstheme="minorHAnsi"/>
          <w:szCs w:val="22"/>
        </w:rPr>
        <w:t>Current Financial Performance</w:t>
      </w:r>
    </w:p>
    <w:p w:rsidR="00E83A90" w:rsidRDefault="00E83A90" w:rsidP="00E83A90">
      <w:pPr>
        <w:pStyle w:val="ListParagraph"/>
        <w:numPr>
          <w:ilvl w:val="0"/>
          <w:numId w:val="49"/>
        </w:numPr>
        <w:suppressAutoHyphens w:val="0"/>
        <w:overflowPunct/>
        <w:autoSpaceDE/>
        <w:spacing w:after="200" w:line="276" w:lineRule="auto"/>
        <w:contextualSpacing/>
        <w:textAlignment w:val="auto"/>
        <w:rPr>
          <w:rFonts w:asciiTheme="minorHAnsi" w:hAnsiTheme="minorHAnsi" w:cstheme="minorHAnsi"/>
          <w:szCs w:val="22"/>
        </w:rPr>
      </w:pPr>
      <w:r>
        <w:rPr>
          <w:rFonts w:asciiTheme="minorHAnsi" w:hAnsiTheme="minorHAnsi" w:cstheme="minorHAnsi"/>
          <w:szCs w:val="22"/>
        </w:rPr>
        <w:t>Risks and Uncertainties</w:t>
      </w:r>
    </w:p>
    <w:p w:rsidR="00E83A90" w:rsidRPr="006C41B6" w:rsidRDefault="00E83A90" w:rsidP="00E83A90">
      <w:pPr>
        <w:pStyle w:val="ListParagraph"/>
        <w:numPr>
          <w:ilvl w:val="0"/>
          <w:numId w:val="49"/>
        </w:numPr>
        <w:suppressAutoHyphens w:val="0"/>
        <w:overflowPunct/>
        <w:autoSpaceDE/>
        <w:spacing w:line="276" w:lineRule="auto"/>
        <w:contextualSpacing/>
        <w:textAlignment w:val="auto"/>
        <w:rPr>
          <w:rFonts w:asciiTheme="minorHAnsi" w:hAnsiTheme="minorHAnsi" w:cstheme="minorHAnsi"/>
          <w:szCs w:val="22"/>
        </w:rPr>
      </w:pPr>
      <w:r>
        <w:rPr>
          <w:rFonts w:asciiTheme="minorHAnsi" w:hAnsiTheme="minorHAnsi" w:cstheme="minorHAnsi"/>
          <w:szCs w:val="22"/>
        </w:rPr>
        <w:t>Impact of COVID-19 and the Way Forward</w:t>
      </w:r>
    </w:p>
    <w:p w:rsidR="00E83A90" w:rsidRPr="006C41B6" w:rsidRDefault="00E83A90" w:rsidP="00E83A90">
      <w:pPr>
        <w:rPr>
          <w:rFonts w:asciiTheme="minorHAnsi" w:hAnsiTheme="minorHAnsi" w:cstheme="minorHAnsi"/>
          <w:sz w:val="22"/>
          <w:szCs w:val="22"/>
        </w:rPr>
      </w:pPr>
    </w:p>
    <w:p w:rsidR="00E83A90" w:rsidRPr="00FB5F0C" w:rsidRDefault="00E83A90" w:rsidP="00E83A90">
      <w:pPr>
        <w:pStyle w:val="ListParagraph"/>
        <w:numPr>
          <w:ilvl w:val="0"/>
          <w:numId w:val="50"/>
        </w:numPr>
        <w:suppressAutoHyphens w:val="0"/>
        <w:overflowPunct/>
        <w:autoSpaceDE/>
        <w:spacing w:after="200" w:line="276" w:lineRule="auto"/>
        <w:contextualSpacing/>
        <w:textAlignment w:val="auto"/>
        <w:rPr>
          <w:rFonts w:asciiTheme="minorHAnsi" w:hAnsiTheme="minorHAnsi" w:cstheme="minorHAnsi"/>
          <w:b/>
          <w:szCs w:val="22"/>
        </w:rPr>
      </w:pPr>
      <w:r w:rsidRPr="00FB5F0C">
        <w:rPr>
          <w:rFonts w:asciiTheme="minorHAnsi" w:hAnsiTheme="minorHAnsi" w:cstheme="minorHAnsi"/>
          <w:b/>
          <w:szCs w:val="22"/>
        </w:rPr>
        <w:t xml:space="preserve">Introduction to Chichester </w:t>
      </w:r>
    </w:p>
    <w:p w:rsidR="00E83A90" w:rsidRPr="006C41B6" w:rsidRDefault="00E83A90" w:rsidP="008C053A">
      <w:pPr>
        <w:rPr>
          <w:rFonts w:asciiTheme="minorHAnsi" w:hAnsiTheme="minorHAnsi" w:cstheme="minorHAnsi"/>
          <w:sz w:val="22"/>
          <w:szCs w:val="22"/>
        </w:rPr>
      </w:pPr>
      <w:r w:rsidRPr="006C41B6">
        <w:rPr>
          <w:rFonts w:asciiTheme="minorHAnsi" w:hAnsiTheme="minorHAnsi" w:cstheme="minorHAnsi"/>
          <w:sz w:val="22"/>
          <w:szCs w:val="22"/>
        </w:rPr>
        <w:t xml:space="preserve">As the largest district in West Sussex, Chichester District is a unique area, boasting a historic city, glorious countryside and the beautiful south coast.  It has a population of </w:t>
      </w:r>
      <w:r>
        <w:rPr>
          <w:rFonts w:asciiTheme="minorHAnsi" w:hAnsiTheme="minorHAnsi" w:cstheme="minorHAnsi"/>
          <w:sz w:val="22"/>
          <w:szCs w:val="22"/>
        </w:rPr>
        <w:t>120,800</w:t>
      </w:r>
      <w:r w:rsidRPr="006C41B6">
        <w:rPr>
          <w:rFonts w:asciiTheme="minorHAnsi" w:hAnsiTheme="minorHAnsi" w:cstheme="minorHAnsi"/>
          <w:sz w:val="22"/>
          <w:szCs w:val="22"/>
        </w:rPr>
        <w:t xml:space="preserve"> and covers over 300 square miles, stretching from Selsey in the south to Lynchmere in the north.</w:t>
      </w:r>
      <w:r>
        <w:rPr>
          <w:rFonts w:asciiTheme="minorHAnsi" w:hAnsiTheme="minorHAnsi" w:cstheme="minorHAnsi"/>
          <w:sz w:val="22"/>
          <w:szCs w:val="22"/>
        </w:rPr>
        <w:t xml:space="preserve"> </w:t>
      </w:r>
      <w:r w:rsidRPr="006C41B6">
        <w:rPr>
          <w:rFonts w:asciiTheme="minorHAnsi" w:hAnsiTheme="minorHAnsi" w:cstheme="minorHAnsi"/>
          <w:sz w:val="22"/>
          <w:szCs w:val="22"/>
        </w:rPr>
        <w:t xml:space="preserve"> A large part of the district falls within the area of the South Downs National Park.</w:t>
      </w:r>
    </w:p>
    <w:p w:rsidR="00E83A90" w:rsidRPr="006C41B6" w:rsidRDefault="00E83A90" w:rsidP="008C053A">
      <w:pPr>
        <w:rPr>
          <w:rFonts w:asciiTheme="minorHAnsi" w:hAnsiTheme="minorHAnsi" w:cstheme="minorHAnsi"/>
          <w:sz w:val="22"/>
          <w:szCs w:val="22"/>
        </w:rPr>
      </w:pPr>
    </w:p>
    <w:p w:rsidR="00E83A90" w:rsidRPr="006C41B6" w:rsidRDefault="00E83A90" w:rsidP="008C053A">
      <w:pPr>
        <w:rPr>
          <w:rFonts w:asciiTheme="minorHAnsi" w:hAnsiTheme="minorHAnsi" w:cstheme="minorHAnsi"/>
          <w:sz w:val="22"/>
          <w:szCs w:val="22"/>
        </w:rPr>
      </w:pPr>
      <w:r w:rsidRPr="006C41B6">
        <w:rPr>
          <w:rFonts w:asciiTheme="minorHAnsi" w:hAnsiTheme="minorHAnsi" w:cstheme="minorHAnsi"/>
          <w:sz w:val="22"/>
          <w:szCs w:val="22"/>
        </w:rPr>
        <w:t xml:space="preserve">Chichester District Council is involved with the majority of day to day services and activities that residents come into contact with – from emptying the bins, to dealing with planning </w:t>
      </w:r>
      <w:r>
        <w:rPr>
          <w:rFonts w:asciiTheme="minorHAnsi" w:hAnsiTheme="minorHAnsi" w:cstheme="minorHAnsi"/>
          <w:sz w:val="22"/>
          <w:szCs w:val="22"/>
        </w:rPr>
        <w:t>a</w:t>
      </w:r>
      <w:r w:rsidRPr="006C41B6">
        <w:rPr>
          <w:rFonts w:asciiTheme="minorHAnsi" w:hAnsiTheme="minorHAnsi" w:cstheme="minorHAnsi"/>
          <w:sz w:val="22"/>
          <w:szCs w:val="22"/>
        </w:rPr>
        <w:t>pplications</w:t>
      </w:r>
      <w:r w:rsidR="00BD2C2B">
        <w:rPr>
          <w:rFonts w:asciiTheme="minorHAnsi" w:hAnsiTheme="minorHAnsi" w:cstheme="minorHAnsi"/>
          <w:sz w:val="22"/>
          <w:szCs w:val="22"/>
        </w:rPr>
        <w:t>.</w:t>
      </w:r>
      <w:r w:rsidRPr="006C41B6">
        <w:rPr>
          <w:rFonts w:asciiTheme="minorHAnsi" w:hAnsiTheme="minorHAnsi" w:cstheme="minorHAnsi"/>
          <w:sz w:val="22"/>
          <w:szCs w:val="22"/>
        </w:rPr>
        <w:br/>
      </w:r>
    </w:p>
    <w:p w:rsidR="00E83A90" w:rsidRDefault="00E83A90" w:rsidP="008C053A">
      <w:pPr>
        <w:rPr>
          <w:rFonts w:asciiTheme="minorHAnsi" w:hAnsiTheme="minorHAnsi" w:cstheme="minorHAnsi"/>
          <w:sz w:val="22"/>
          <w:szCs w:val="22"/>
        </w:rPr>
      </w:pPr>
      <w:r>
        <w:rPr>
          <w:rFonts w:asciiTheme="minorHAnsi" w:hAnsiTheme="minorHAnsi" w:cstheme="minorHAnsi"/>
          <w:sz w:val="22"/>
          <w:szCs w:val="22"/>
        </w:rPr>
        <w:lastRenderedPageBreak/>
        <w:t>Following the outcome of a</w:t>
      </w:r>
      <w:r w:rsidRPr="006C41B6">
        <w:rPr>
          <w:rFonts w:asciiTheme="minorHAnsi" w:hAnsiTheme="minorHAnsi" w:cstheme="minorHAnsi"/>
          <w:sz w:val="22"/>
          <w:szCs w:val="22"/>
        </w:rPr>
        <w:t xml:space="preserve"> Boundary Commission review </w:t>
      </w:r>
      <w:r>
        <w:rPr>
          <w:rFonts w:asciiTheme="minorHAnsi" w:hAnsiTheme="minorHAnsi" w:cstheme="minorHAnsi"/>
          <w:sz w:val="22"/>
          <w:szCs w:val="22"/>
        </w:rPr>
        <w:t>and the s</w:t>
      </w:r>
      <w:r w:rsidRPr="006C41B6">
        <w:rPr>
          <w:rFonts w:asciiTheme="minorHAnsi" w:hAnsiTheme="minorHAnsi" w:cstheme="minorHAnsi"/>
          <w:sz w:val="22"/>
          <w:szCs w:val="22"/>
        </w:rPr>
        <w:t>cheduled election</w:t>
      </w:r>
      <w:r>
        <w:rPr>
          <w:rFonts w:asciiTheme="minorHAnsi" w:hAnsiTheme="minorHAnsi" w:cstheme="minorHAnsi"/>
          <w:sz w:val="22"/>
          <w:szCs w:val="22"/>
        </w:rPr>
        <w:t>s</w:t>
      </w:r>
      <w:r w:rsidRPr="006C41B6">
        <w:rPr>
          <w:rFonts w:asciiTheme="minorHAnsi" w:hAnsiTheme="minorHAnsi" w:cstheme="minorHAnsi"/>
          <w:sz w:val="22"/>
          <w:szCs w:val="22"/>
        </w:rPr>
        <w:t xml:space="preserve"> in 2019</w:t>
      </w:r>
      <w:r>
        <w:rPr>
          <w:rFonts w:asciiTheme="minorHAnsi" w:hAnsiTheme="minorHAnsi" w:cstheme="minorHAnsi"/>
          <w:sz w:val="22"/>
          <w:szCs w:val="22"/>
        </w:rPr>
        <w:t>,</w:t>
      </w:r>
      <w:r w:rsidRPr="006C41B6">
        <w:rPr>
          <w:rFonts w:asciiTheme="minorHAnsi" w:hAnsiTheme="minorHAnsi" w:cstheme="minorHAnsi"/>
          <w:sz w:val="22"/>
          <w:szCs w:val="22"/>
        </w:rPr>
        <w:t xml:space="preserve"> the number of Chichester District councillors reduce</w:t>
      </w:r>
      <w:r>
        <w:rPr>
          <w:rFonts w:asciiTheme="minorHAnsi" w:hAnsiTheme="minorHAnsi" w:cstheme="minorHAnsi"/>
          <w:sz w:val="22"/>
          <w:szCs w:val="22"/>
        </w:rPr>
        <w:t>d</w:t>
      </w:r>
      <w:r w:rsidRPr="006C41B6">
        <w:rPr>
          <w:rFonts w:asciiTheme="minorHAnsi" w:hAnsiTheme="minorHAnsi" w:cstheme="minorHAnsi"/>
          <w:sz w:val="22"/>
          <w:szCs w:val="22"/>
        </w:rPr>
        <w:t xml:space="preserve"> to 36</w:t>
      </w:r>
      <w:r>
        <w:rPr>
          <w:rFonts w:asciiTheme="minorHAnsi" w:hAnsiTheme="minorHAnsi" w:cstheme="minorHAnsi"/>
          <w:sz w:val="22"/>
          <w:szCs w:val="22"/>
        </w:rPr>
        <w:t xml:space="preserve"> (previously 48) </w:t>
      </w:r>
      <w:r w:rsidRPr="006C41B6">
        <w:rPr>
          <w:rFonts w:asciiTheme="minorHAnsi" w:hAnsiTheme="minorHAnsi" w:cstheme="minorHAnsi"/>
          <w:sz w:val="22"/>
          <w:szCs w:val="22"/>
        </w:rPr>
        <w:t>representing 21 newly formed wards</w:t>
      </w:r>
      <w:r>
        <w:rPr>
          <w:rFonts w:asciiTheme="minorHAnsi" w:hAnsiTheme="minorHAnsi" w:cstheme="minorHAnsi"/>
          <w:sz w:val="22"/>
          <w:szCs w:val="22"/>
        </w:rPr>
        <w:t xml:space="preserve"> instead of the previous 29 wards. The number of parishes remains at 67 in the district</w:t>
      </w:r>
      <w:r w:rsidRPr="006C41B6">
        <w:rPr>
          <w:rFonts w:asciiTheme="minorHAnsi" w:hAnsiTheme="minorHAnsi" w:cstheme="minorHAnsi"/>
          <w:sz w:val="22"/>
          <w:szCs w:val="22"/>
        </w:rPr>
        <w:t>.</w:t>
      </w:r>
    </w:p>
    <w:p w:rsidR="00E83A90" w:rsidRDefault="00E83A90" w:rsidP="008C053A">
      <w:pPr>
        <w:rPr>
          <w:rFonts w:asciiTheme="minorHAnsi" w:hAnsiTheme="minorHAnsi" w:cstheme="minorHAnsi"/>
          <w:sz w:val="22"/>
          <w:szCs w:val="22"/>
          <w:u w:val="single"/>
        </w:rPr>
      </w:pPr>
    </w:p>
    <w:p w:rsidR="00E83A90" w:rsidRPr="006C41B6" w:rsidRDefault="00E83A90" w:rsidP="005C27A1">
      <w:pPr>
        <w:spacing w:after="240"/>
        <w:rPr>
          <w:rFonts w:asciiTheme="minorHAnsi" w:hAnsiTheme="minorHAnsi" w:cstheme="minorHAnsi"/>
          <w:sz w:val="22"/>
          <w:szCs w:val="22"/>
          <w:u w:val="single"/>
        </w:rPr>
      </w:pPr>
      <w:r>
        <w:rPr>
          <w:rFonts w:asciiTheme="minorHAnsi" w:hAnsiTheme="minorHAnsi" w:cstheme="minorHAnsi"/>
          <w:sz w:val="22"/>
          <w:szCs w:val="22"/>
          <w:u w:val="single"/>
        </w:rPr>
        <w:t>K</w:t>
      </w:r>
      <w:r w:rsidRPr="006C41B6">
        <w:rPr>
          <w:rFonts w:asciiTheme="minorHAnsi" w:hAnsiTheme="minorHAnsi" w:cstheme="minorHAnsi"/>
          <w:sz w:val="22"/>
          <w:szCs w:val="22"/>
          <w:u w:val="single"/>
        </w:rPr>
        <w:t>ey Statistics</w:t>
      </w:r>
    </w:p>
    <w:tbl>
      <w:tblPr>
        <w:tblStyle w:val="TableGrid"/>
        <w:tblW w:w="0" w:type="auto"/>
        <w:tblInd w:w="360" w:type="dxa"/>
        <w:tblLook w:val="04A0" w:firstRow="1" w:lastRow="0" w:firstColumn="1" w:lastColumn="0" w:noHBand="0" w:noVBand="1"/>
      </w:tblPr>
      <w:tblGrid>
        <w:gridCol w:w="2045"/>
        <w:gridCol w:w="284"/>
        <w:gridCol w:w="2709"/>
        <w:gridCol w:w="267"/>
        <w:gridCol w:w="3055"/>
      </w:tblGrid>
      <w:tr w:rsidR="009617E5" w:rsidTr="006C0857">
        <w:trPr>
          <w:trHeight w:val="1073"/>
        </w:trPr>
        <w:tc>
          <w:tcPr>
            <w:tcW w:w="2045" w:type="dxa"/>
            <w:tcBorders>
              <w:top w:val="single" w:sz="24" w:space="0" w:color="8064A2"/>
              <w:left w:val="single" w:sz="24" w:space="0" w:color="8064A2"/>
              <w:bottom w:val="single" w:sz="24" w:space="0" w:color="8064A2"/>
              <w:right w:val="single" w:sz="24" w:space="0" w:color="8064A2"/>
            </w:tcBorders>
          </w:tcPr>
          <w:p w:rsidR="009617E5" w:rsidRPr="005C27A1" w:rsidRDefault="009617E5" w:rsidP="006C0857">
            <w:pPr>
              <w:spacing w:before="240"/>
              <w:jc w:val="center"/>
              <w:rPr>
                <w:rFonts w:ascii="Arial" w:hAnsi="Arial" w:cs="Arial"/>
                <w:sz w:val="20"/>
              </w:rPr>
            </w:pPr>
            <w:r w:rsidRPr="006E2E6F">
              <w:rPr>
                <w:rFonts w:ascii="Arial" w:hAnsi="Arial" w:cs="Arial"/>
                <w:sz w:val="20"/>
              </w:rPr>
              <w:t>Population</w:t>
            </w:r>
            <w:r w:rsidR="005C27A1">
              <w:rPr>
                <w:rFonts w:ascii="Arial" w:hAnsi="Arial" w:cs="Arial"/>
                <w:sz w:val="20"/>
              </w:rPr>
              <w:br/>
            </w:r>
            <w:r>
              <w:rPr>
                <w:rFonts w:ascii="Arial" w:hAnsi="Arial" w:cs="Arial"/>
                <w:sz w:val="20"/>
              </w:rPr>
              <w:t>120,800</w:t>
            </w:r>
          </w:p>
        </w:tc>
        <w:tc>
          <w:tcPr>
            <w:tcW w:w="284" w:type="dxa"/>
            <w:tcBorders>
              <w:top w:val="nil"/>
              <w:left w:val="single" w:sz="24" w:space="0" w:color="8064A2"/>
              <w:bottom w:val="nil"/>
              <w:right w:val="single" w:sz="24" w:space="0" w:color="8064A2"/>
            </w:tcBorders>
          </w:tcPr>
          <w:p w:rsidR="009617E5" w:rsidRDefault="009617E5" w:rsidP="005C27A1">
            <w:pPr>
              <w:spacing w:before="300"/>
              <w:rPr>
                <w:rFonts w:asciiTheme="minorHAnsi" w:hAnsiTheme="minorHAnsi" w:cstheme="minorHAnsi"/>
                <w:sz w:val="22"/>
                <w:szCs w:val="22"/>
                <w:u w:val="single"/>
              </w:rPr>
            </w:pPr>
          </w:p>
        </w:tc>
        <w:tc>
          <w:tcPr>
            <w:tcW w:w="2709" w:type="dxa"/>
            <w:tcBorders>
              <w:top w:val="single" w:sz="24" w:space="0" w:color="8064A2"/>
              <w:left w:val="single" w:sz="24" w:space="0" w:color="8064A2"/>
              <w:bottom w:val="single" w:sz="24" w:space="0" w:color="8064A2"/>
              <w:right w:val="single" w:sz="24" w:space="0" w:color="8064A2"/>
            </w:tcBorders>
          </w:tcPr>
          <w:p w:rsidR="009617E5" w:rsidRPr="006C0857" w:rsidRDefault="009617E5" w:rsidP="006C0857">
            <w:pPr>
              <w:spacing w:before="240"/>
              <w:jc w:val="center"/>
              <w:rPr>
                <w:rFonts w:ascii="Arial" w:hAnsi="Arial" w:cs="Arial"/>
                <w:sz w:val="20"/>
              </w:rPr>
            </w:pPr>
            <w:r w:rsidRPr="006E2E6F">
              <w:rPr>
                <w:rFonts w:ascii="Arial" w:hAnsi="Arial" w:cs="Arial"/>
                <w:sz w:val="20"/>
              </w:rPr>
              <w:t>Chichester District covers 30</w:t>
            </w:r>
            <w:r>
              <w:rPr>
                <w:rFonts w:ascii="Arial" w:hAnsi="Arial" w:cs="Arial"/>
                <w:sz w:val="20"/>
              </w:rPr>
              <w:t>3</w:t>
            </w:r>
            <w:r w:rsidRPr="006E2E6F">
              <w:rPr>
                <w:rFonts w:ascii="Arial" w:hAnsi="Arial" w:cs="Arial"/>
                <w:sz w:val="20"/>
              </w:rPr>
              <w:t xml:space="preserve"> sq. miles</w:t>
            </w:r>
          </w:p>
        </w:tc>
        <w:tc>
          <w:tcPr>
            <w:tcW w:w="267" w:type="dxa"/>
            <w:tcBorders>
              <w:top w:val="nil"/>
              <w:left w:val="single" w:sz="24" w:space="0" w:color="8064A2"/>
              <w:bottom w:val="nil"/>
              <w:right w:val="single" w:sz="24" w:space="0" w:color="8064A2"/>
            </w:tcBorders>
          </w:tcPr>
          <w:p w:rsidR="009617E5" w:rsidRDefault="009617E5" w:rsidP="005C27A1">
            <w:pPr>
              <w:spacing w:before="300"/>
              <w:rPr>
                <w:rFonts w:asciiTheme="minorHAnsi" w:hAnsiTheme="minorHAnsi" w:cstheme="minorHAnsi"/>
                <w:sz w:val="22"/>
                <w:szCs w:val="22"/>
                <w:u w:val="single"/>
              </w:rPr>
            </w:pPr>
          </w:p>
        </w:tc>
        <w:tc>
          <w:tcPr>
            <w:tcW w:w="3055" w:type="dxa"/>
            <w:tcBorders>
              <w:top w:val="single" w:sz="24" w:space="0" w:color="8064A2"/>
              <w:left w:val="single" w:sz="24" w:space="0" w:color="8064A2"/>
              <w:bottom w:val="single" w:sz="24" w:space="0" w:color="8064A2"/>
              <w:right w:val="single" w:sz="24" w:space="0" w:color="8064A2"/>
            </w:tcBorders>
          </w:tcPr>
          <w:p w:rsidR="009617E5" w:rsidRPr="006C0857" w:rsidRDefault="009617E5" w:rsidP="006C0857">
            <w:pPr>
              <w:spacing w:before="240"/>
              <w:jc w:val="center"/>
              <w:rPr>
                <w:rFonts w:ascii="Arial" w:hAnsi="Arial" w:cs="Arial"/>
                <w:sz w:val="20"/>
              </w:rPr>
            </w:pPr>
            <w:r>
              <w:rPr>
                <w:rFonts w:ascii="Arial" w:hAnsi="Arial" w:cs="Arial"/>
                <w:sz w:val="20"/>
              </w:rPr>
              <w:t>Mean average salary is £36</w:t>
            </w:r>
            <w:r w:rsidRPr="0093332C">
              <w:rPr>
                <w:rFonts w:ascii="Arial" w:hAnsi="Arial" w:cs="Arial"/>
                <w:sz w:val="20"/>
              </w:rPr>
              <w:t>,144</w:t>
            </w:r>
            <w:r>
              <w:rPr>
                <w:rFonts w:ascii="Arial" w:hAnsi="Arial" w:cs="Arial"/>
                <w:sz w:val="20"/>
              </w:rPr>
              <w:t xml:space="preserve"> </w:t>
            </w:r>
          </w:p>
        </w:tc>
      </w:tr>
      <w:tr w:rsidR="009617E5" w:rsidTr="00420C36">
        <w:tc>
          <w:tcPr>
            <w:tcW w:w="2045" w:type="dxa"/>
            <w:tcBorders>
              <w:top w:val="single" w:sz="24" w:space="0" w:color="8064A2"/>
              <w:left w:val="nil"/>
              <w:bottom w:val="single" w:sz="24" w:space="0" w:color="8064A2"/>
              <w:right w:val="nil"/>
            </w:tcBorders>
          </w:tcPr>
          <w:p w:rsidR="009617E5" w:rsidRDefault="009617E5" w:rsidP="00E83A90">
            <w:pPr>
              <w:rPr>
                <w:rFonts w:asciiTheme="minorHAnsi" w:hAnsiTheme="minorHAnsi" w:cstheme="minorHAnsi"/>
                <w:sz w:val="22"/>
                <w:szCs w:val="22"/>
                <w:u w:val="single"/>
              </w:rPr>
            </w:pPr>
          </w:p>
        </w:tc>
        <w:tc>
          <w:tcPr>
            <w:tcW w:w="284" w:type="dxa"/>
            <w:tcBorders>
              <w:top w:val="nil"/>
              <w:left w:val="nil"/>
              <w:bottom w:val="nil"/>
              <w:right w:val="nil"/>
            </w:tcBorders>
          </w:tcPr>
          <w:p w:rsidR="009617E5" w:rsidRDefault="009617E5" w:rsidP="00E83A90">
            <w:pPr>
              <w:rPr>
                <w:rFonts w:asciiTheme="minorHAnsi" w:hAnsiTheme="minorHAnsi" w:cstheme="minorHAnsi"/>
                <w:sz w:val="22"/>
                <w:szCs w:val="22"/>
                <w:u w:val="single"/>
              </w:rPr>
            </w:pPr>
          </w:p>
        </w:tc>
        <w:tc>
          <w:tcPr>
            <w:tcW w:w="2709" w:type="dxa"/>
            <w:tcBorders>
              <w:top w:val="single" w:sz="24" w:space="0" w:color="8064A2"/>
              <w:left w:val="nil"/>
              <w:bottom w:val="single" w:sz="24" w:space="0" w:color="8064A2"/>
              <w:right w:val="nil"/>
            </w:tcBorders>
          </w:tcPr>
          <w:p w:rsidR="009617E5" w:rsidRDefault="009617E5" w:rsidP="00E83A90">
            <w:pPr>
              <w:rPr>
                <w:rFonts w:asciiTheme="minorHAnsi" w:hAnsiTheme="minorHAnsi" w:cstheme="minorHAnsi"/>
                <w:sz w:val="22"/>
                <w:szCs w:val="22"/>
                <w:u w:val="single"/>
              </w:rPr>
            </w:pPr>
          </w:p>
        </w:tc>
        <w:tc>
          <w:tcPr>
            <w:tcW w:w="267" w:type="dxa"/>
            <w:tcBorders>
              <w:top w:val="nil"/>
              <w:left w:val="nil"/>
              <w:bottom w:val="nil"/>
              <w:right w:val="nil"/>
            </w:tcBorders>
          </w:tcPr>
          <w:p w:rsidR="009617E5" w:rsidRDefault="009617E5" w:rsidP="00E83A90">
            <w:pPr>
              <w:rPr>
                <w:rFonts w:asciiTheme="minorHAnsi" w:hAnsiTheme="minorHAnsi" w:cstheme="minorHAnsi"/>
                <w:sz w:val="22"/>
                <w:szCs w:val="22"/>
                <w:u w:val="single"/>
              </w:rPr>
            </w:pPr>
          </w:p>
        </w:tc>
        <w:tc>
          <w:tcPr>
            <w:tcW w:w="3055" w:type="dxa"/>
            <w:tcBorders>
              <w:top w:val="single" w:sz="24" w:space="0" w:color="8064A2"/>
              <w:left w:val="nil"/>
              <w:bottom w:val="single" w:sz="24" w:space="0" w:color="8064A2"/>
            </w:tcBorders>
          </w:tcPr>
          <w:p w:rsidR="009617E5" w:rsidRDefault="009617E5" w:rsidP="00E83A90">
            <w:pPr>
              <w:rPr>
                <w:rFonts w:asciiTheme="minorHAnsi" w:hAnsiTheme="minorHAnsi" w:cstheme="minorHAnsi"/>
                <w:sz w:val="22"/>
                <w:szCs w:val="22"/>
                <w:u w:val="single"/>
              </w:rPr>
            </w:pPr>
          </w:p>
        </w:tc>
      </w:tr>
      <w:tr w:rsidR="009617E5" w:rsidTr="000A0320">
        <w:trPr>
          <w:trHeight w:val="882"/>
        </w:trPr>
        <w:tc>
          <w:tcPr>
            <w:tcW w:w="2045" w:type="dxa"/>
            <w:tcBorders>
              <w:top w:val="single" w:sz="24" w:space="0" w:color="8064A2"/>
              <w:left w:val="single" w:sz="24" w:space="0" w:color="8064A2"/>
              <w:bottom w:val="single" w:sz="24" w:space="0" w:color="8064A2"/>
              <w:right w:val="single" w:sz="24" w:space="0" w:color="8064A2"/>
            </w:tcBorders>
          </w:tcPr>
          <w:p w:rsidR="009617E5" w:rsidRPr="000A0320" w:rsidRDefault="009617E5" w:rsidP="000A0320">
            <w:pPr>
              <w:spacing w:before="240"/>
              <w:jc w:val="center"/>
              <w:rPr>
                <w:rFonts w:ascii="Arial" w:hAnsi="Arial" w:cs="Arial"/>
                <w:sz w:val="20"/>
              </w:rPr>
            </w:pPr>
            <w:r w:rsidRPr="00EE0208">
              <w:rPr>
                <w:rFonts w:ascii="Arial" w:hAnsi="Arial" w:cs="Arial"/>
                <w:sz w:val="20"/>
              </w:rPr>
              <w:t>57,664</w:t>
            </w:r>
            <w:r w:rsidRPr="0044393D">
              <w:rPr>
                <w:rFonts w:ascii="Arial" w:hAnsi="Arial" w:cs="Arial"/>
                <w:sz w:val="20"/>
              </w:rPr>
              <w:t xml:space="preserve"> </w:t>
            </w:r>
            <w:r w:rsidR="00EE3CE0">
              <w:rPr>
                <w:rFonts w:ascii="Arial" w:hAnsi="Arial" w:cs="Arial"/>
                <w:sz w:val="20"/>
              </w:rPr>
              <w:br/>
            </w:r>
            <w:r w:rsidRPr="006E2E6F">
              <w:rPr>
                <w:rFonts w:ascii="Arial" w:hAnsi="Arial" w:cs="Arial"/>
                <w:sz w:val="20"/>
              </w:rPr>
              <w:t>households</w:t>
            </w:r>
          </w:p>
        </w:tc>
        <w:tc>
          <w:tcPr>
            <w:tcW w:w="284" w:type="dxa"/>
            <w:tcBorders>
              <w:top w:val="nil"/>
              <w:left w:val="single" w:sz="24" w:space="0" w:color="8064A2"/>
              <w:bottom w:val="nil"/>
              <w:right w:val="single" w:sz="24" w:space="0" w:color="8064A2"/>
            </w:tcBorders>
          </w:tcPr>
          <w:p w:rsidR="009617E5" w:rsidRDefault="009617E5" w:rsidP="005C27A1">
            <w:pPr>
              <w:spacing w:before="300"/>
              <w:rPr>
                <w:rFonts w:asciiTheme="minorHAnsi" w:hAnsiTheme="minorHAnsi" w:cstheme="minorHAnsi"/>
                <w:sz w:val="22"/>
                <w:szCs w:val="22"/>
                <w:u w:val="single"/>
              </w:rPr>
            </w:pPr>
          </w:p>
        </w:tc>
        <w:tc>
          <w:tcPr>
            <w:tcW w:w="2709" w:type="dxa"/>
            <w:tcBorders>
              <w:top w:val="single" w:sz="24" w:space="0" w:color="8064A2"/>
              <w:left w:val="single" w:sz="24" w:space="0" w:color="8064A2"/>
              <w:bottom w:val="single" w:sz="24" w:space="0" w:color="8064A2"/>
              <w:right w:val="single" w:sz="24" w:space="0" w:color="8064A2"/>
            </w:tcBorders>
          </w:tcPr>
          <w:p w:rsidR="009617E5" w:rsidRPr="000A0320" w:rsidRDefault="009617E5" w:rsidP="000A0320">
            <w:pPr>
              <w:spacing w:before="240"/>
              <w:jc w:val="center"/>
              <w:rPr>
                <w:rFonts w:ascii="Arial" w:hAnsi="Arial" w:cs="Arial"/>
                <w:sz w:val="20"/>
              </w:rPr>
            </w:pPr>
            <w:r>
              <w:rPr>
                <w:rFonts w:ascii="Arial" w:hAnsi="Arial" w:cs="Arial"/>
                <w:sz w:val="20"/>
              </w:rPr>
              <w:t>36</w:t>
            </w:r>
            <w:r w:rsidRPr="0044393D">
              <w:rPr>
                <w:rFonts w:ascii="Arial" w:hAnsi="Arial" w:cs="Arial"/>
                <w:sz w:val="20"/>
              </w:rPr>
              <w:t xml:space="preserve"> members representing 2</w:t>
            </w:r>
            <w:r>
              <w:rPr>
                <w:rFonts w:ascii="Arial" w:hAnsi="Arial" w:cs="Arial"/>
                <w:sz w:val="20"/>
              </w:rPr>
              <w:t>1</w:t>
            </w:r>
            <w:r w:rsidRPr="0044393D">
              <w:rPr>
                <w:rFonts w:ascii="Arial" w:hAnsi="Arial" w:cs="Arial"/>
                <w:sz w:val="20"/>
              </w:rPr>
              <w:t xml:space="preserve"> wards</w:t>
            </w:r>
          </w:p>
        </w:tc>
        <w:tc>
          <w:tcPr>
            <w:tcW w:w="267" w:type="dxa"/>
            <w:tcBorders>
              <w:top w:val="nil"/>
              <w:left w:val="single" w:sz="24" w:space="0" w:color="8064A2"/>
              <w:bottom w:val="nil"/>
              <w:right w:val="single" w:sz="24" w:space="0" w:color="8064A2"/>
            </w:tcBorders>
          </w:tcPr>
          <w:p w:rsidR="009617E5" w:rsidRDefault="009617E5" w:rsidP="005C27A1">
            <w:pPr>
              <w:spacing w:before="300"/>
              <w:rPr>
                <w:rFonts w:asciiTheme="minorHAnsi" w:hAnsiTheme="minorHAnsi" w:cstheme="minorHAnsi"/>
                <w:sz w:val="22"/>
                <w:szCs w:val="22"/>
                <w:u w:val="single"/>
              </w:rPr>
            </w:pPr>
          </w:p>
        </w:tc>
        <w:tc>
          <w:tcPr>
            <w:tcW w:w="3055" w:type="dxa"/>
            <w:tcBorders>
              <w:top w:val="single" w:sz="24" w:space="0" w:color="8064A2"/>
              <w:left w:val="single" w:sz="24" w:space="0" w:color="8064A2"/>
              <w:bottom w:val="single" w:sz="24" w:space="0" w:color="8064A2"/>
              <w:right w:val="single" w:sz="24" w:space="0" w:color="8064A2"/>
            </w:tcBorders>
          </w:tcPr>
          <w:p w:rsidR="009617E5" w:rsidRPr="000A0320" w:rsidRDefault="009617E5" w:rsidP="000A0320">
            <w:pPr>
              <w:spacing w:before="240"/>
              <w:jc w:val="center"/>
              <w:rPr>
                <w:rFonts w:ascii="Arial" w:hAnsi="Arial" w:cs="Arial"/>
                <w:sz w:val="20"/>
              </w:rPr>
            </w:pPr>
            <w:r>
              <w:rPr>
                <w:rFonts w:ascii="Arial" w:hAnsi="Arial" w:cs="Arial"/>
                <w:sz w:val="20"/>
              </w:rPr>
              <w:t xml:space="preserve">Ave. House Price </w:t>
            </w:r>
            <w:r w:rsidR="00EE3CE0">
              <w:rPr>
                <w:rFonts w:ascii="Arial" w:hAnsi="Arial" w:cs="Arial"/>
                <w:sz w:val="20"/>
              </w:rPr>
              <w:br/>
            </w:r>
            <w:r w:rsidRPr="00EE0208">
              <w:rPr>
                <w:rFonts w:ascii="Arial" w:hAnsi="Arial" w:cs="Arial"/>
                <w:sz w:val="20"/>
              </w:rPr>
              <w:t>£404,237</w:t>
            </w:r>
            <w:r w:rsidRPr="0044393D">
              <w:rPr>
                <w:rFonts w:ascii="Arial" w:hAnsi="Arial" w:cs="Arial"/>
                <w:sz w:val="20"/>
              </w:rPr>
              <w:t xml:space="preserve"> </w:t>
            </w:r>
          </w:p>
        </w:tc>
      </w:tr>
      <w:tr w:rsidR="009617E5" w:rsidTr="00420C36">
        <w:tc>
          <w:tcPr>
            <w:tcW w:w="2045" w:type="dxa"/>
            <w:tcBorders>
              <w:top w:val="single" w:sz="24" w:space="0" w:color="8064A2"/>
              <w:left w:val="nil"/>
              <w:bottom w:val="single" w:sz="24" w:space="0" w:color="8064A2"/>
              <w:right w:val="nil"/>
            </w:tcBorders>
          </w:tcPr>
          <w:p w:rsidR="009617E5" w:rsidRDefault="009617E5" w:rsidP="00E83A90">
            <w:pPr>
              <w:rPr>
                <w:rFonts w:asciiTheme="minorHAnsi" w:hAnsiTheme="minorHAnsi" w:cstheme="minorHAnsi"/>
                <w:sz w:val="22"/>
                <w:szCs w:val="22"/>
                <w:u w:val="single"/>
              </w:rPr>
            </w:pPr>
          </w:p>
        </w:tc>
        <w:tc>
          <w:tcPr>
            <w:tcW w:w="284" w:type="dxa"/>
            <w:tcBorders>
              <w:top w:val="nil"/>
              <w:left w:val="nil"/>
              <w:bottom w:val="nil"/>
              <w:right w:val="nil"/>
            </w:tcBorders>
          </w:tcPr>
          <w:p w:rsidR="009617E5" w:rsidRDefault="009617E5" w:rsidP="00E83A90">
            <w:pPr>
              <w:rPr>
                <w:rFonts w:asciiTheme="minorHAnsi" w:hAnsiTheme="minorHAnsi" w:cstheme="minorHAnsi"/>
                <w:sz w:val="22"/>
                <w:szCs w:val="22"/>
                <w:u w:val="single"/>
              </w:rPr>
            </w:pPr>
          </w:p>
        </w:tc>
        <w:tc>
          <w:tcPr>
            <w:tcW w:w="2709" w:type="dxa"/>
            <w:tcBorders>
              <w:top w:val="single" w:sz="24" w:space="0" w:color="8064A2"/>
              <w:left w:val="nil"/>
              <w:bottom w:val="single" w:sz="24" w:space="0" w:color="8064A2"/>
              <w:right w:val="nil"/>
            </w:tcBorders>
          </w:tcPr>
          <w:p w:rsidR="009617E5" w:rsidRDefault="009617E5" w:rsidP="00E83A90">
            <w:pPr>
              <w:rPr>
                <w:rFonts w:asciiTheme="minorHAnsi" w:hAnsiTheme="minorHAnsi" w:cstheme="minorHAnsi"/>
                <w:sz w:val="22"/>
                <w:szCs w:val="22"/>
                <w:u w:val="single"/>
              </w:rPr>
            </w:pPr>
          </w:p>
        </w:tc>
        <w:tc>
          <w:tcPr>
            <w:tcW w:w="267" w:type="dxa"/>
            <w:tcBorders>
              <w:top w:val="nil"/>
              <w:left w:val="nil"/>
              <w:bottom w:val="nil"/>
              <w:right w:val="nil"/>
            </w:tcBorders>
          </w:tcPr>
          <w:p w:rsidR="009617E5" w:rsidRDefault="009617E5" w:rsidP="00E83A90">
            <w:pPr>
              <w:rPr>
                <w:rFonts w:asciiTheme="minorHAnsi" w:hAnsiTheme="minorHAnsi" w:cstheme="minorHAnsi"/>
                <w:sz w:val="22"/>
                <w:szCs w:val="22"/>
                <w:u w:val="single"/>
              </w:rPr>
            </w:pPr>
          </w:p>
        </w:tc>
        <w:tc>
          <w:tcPr>
            <w:tcW w:w="3055" w:type="dxa"/>
            <w:tcBorders>
              <w:top w:val="single" w:sz="24" w:space="0" w:color="8064A2"/>
              <w:left w:val="nil"/>
              <w:bottom w:val="single" w:sz="24" w:space="0" w:color="8064A2"/>
              <w:right w:val="nil"/>
            </w:tcBorders>
          </w:tcPr>
          <w:p w:rsidR="009617E5" w:rsidRDefault="009617E5" w:rsidP="00E83A90">
            <w:pPr>
              <w:rPr>
                <w:rFonts w:asciiTheme="minorHAnsi" w:hAnsiTheme="minorHAnsi" w:cstheme="minorHAnsi"/>
                <w:sz w:val="22"/>
                <w:szCs w:val="22"/>
                <w:u w:val="single"/>
              </w:rPr>
            </w:pPr>
          </w:p>
        </w:tc>
      </w:tr>
      <w:tr w:rsidR="009617E5" w:rsidTr="000A0320">
        <w:trPr>
          <w:trHeight w:val="1311"/>
        </w:trPr>
        <w:tc>
          <w:tcPr>
            <w:tcW w:w="2045" w:type="dxa"/>
            <w:tcBorders>
              <w:top w:val="single" w:sz="24" w:space="0" w:color="8064A2"/>
              <w:left w:val="single" w:sz="24" w:space="0" w:color="8064A2"/>
              <w:bottom w:val="single" w:sz="24" w:space="0" w:color="8064A2"/>
              <w:right w:val="single" w:sz="24" w:space="0" w:color="8064A2"/>
            </w:tcBorders>
          </w:tcPr>
          <w:p w:rsidR="009617E5" w:rsidRPr="000A0320" w:rsidRDefault="009617E5" w:rsidP="000A0320">
            <w:pPr>
              <w:spacing w:before="240"/>
              <w:jc w:val="center"/>
              <w:rPr>
                <w:rFonts w:ascii="Arial" w:hAnsi="Arial" w:cs="Arial"/>
                <w:sz w:val="20"/>
              </w:rPr>
            </w:pPr>
            <w:r w:rsidRPr="00EE0208">
              <w:rPr>
                <w:rFonts w:ascii="Arial" w:hAnsi="Arial" w:cs="Arial"/>
                <w:sz w:val="20"/>
              </w:rPr>
              <w:t>85.2 % 16 – 64 year olds in employment (75.8 % National Ave.)</w:t>
            </w:r>
          </w:p>
        </w:tc>
        <w:tc>
          <w:tcPr>
            <w:tcW w:w="284" w:type="dxa"/>
            <w:tcBorders>
              <w:top w:val="nil"/>
              <w:left w:val="single" w:sz="24" w:space="0" w:color="8064A2"/>
              <w:bottom w:val="nil"/>
              <w:right w:val="single" w:sz="24" w:space="0" w:color="8064A2"/>
            </w:tcBorders>
          </w:tcPr>
          <w:p w:rsidR="009617E5" w:rsidRDefault="009617E5" w:rsidP="005C27A1">
            <w:pPr>
              <w:spacing w:before="300"/>
              <w:rPr>
                <w:rFonts w:asciiTheme="minorHAnsi" w:hAnsiTheme="minorHAnsi" w:cstheme="minorHAnsi"/>
                <w:sz w:val="22"/>
                <w:szCs w:val="22"/>
                <w:u w:val="single"/>
              </w:rPr>
            </w:pPr>
          </w:p>
        </w:tc>
        <w:tc>
          <w:tcPr>
            <w:tcW w:w="2709" w:type="dxa"/>
            <w:tcBorders>
              <w:top w:val="single" w:sz="24" w:space="0" w:color="8064A2"/>
              <w:left w:val="single" w:sz="24" w:space="0" w:color="8064A2"/>
              <w:bottom w:val="single" w:sz="24" w:space="0" w:color="8064A2"/>
              <w:right w:val="single" w:sz="24" w:space="0" w:color="8064A2"/>
            </w:tcBorders>
          </w:tcPr>
          <w:p w:rsidR="009617E5" w:rsidRPr="000A0320" w:rsidRDefault="009617E5" w:rsidP="000A0320">
            <w:pPr>
              <w:spacing w:before="240"/>
              <w:jc w:val="center"/>
              <w:rPr>
                <w:rFonts w:ascii="Arial" w:hAnsi="Arial" w:cs="Arial"/>
                <w:sz w:val="20"/>
              </w:rPr>
            </w:pPr>
            <w:r>
              <w:rPr>
                <w:rFonts w:ascii="Arial" w:hAnsi="Arial" w:cs="Arial"/>
                <w:sz w:val="20"/>
              </w:rPr>
              <w:t>£658.50</w:t>
            </w:r>
            <w:r w:rsidRPr="00683E85">
              <w:rPr>
                <w:rFonts w:ascii="Arial" w:hAnsi="Arial" w:cs="Arial"/>
                <w:sz w:val="20"/>
              </w:rPr>
              <w:t xml:space="preserve"> Ave. Gross Weekly (Full Time) Earnings (£587.00 National Ave.)</w:t>
            </w:r>
          </w:p>
        </w:tc>
        <w:tc>
          <w:tcPr>
            <w:tcW w:w="267" w:type="dxa"/>
            <w:tcBorders>
              <w:top w:val="nil"/>
              <w:left w:val="single" w:sz="24" w:space="0" w:color="8064A2"/>
              <w:bottom w:val="nil"/>
              <w:right w:val="single" w:sz="24" w:space="0" w:color="8064A2"/>
            </w:tcBorders>
          </w:tcPr>
          <w:p w:rsidR="009617E5" w:rsidRDefault="009617E5" w:rsidP="005C27A1">
            <w:pPr>
              <w:spacing w:before="300"/>
              <w:rPr>
                <w:rFonts w:asciiTheme="minorHAnsi" w:hAnsiTheme="minorHAnsi" w:cstheme="minorHAnsi"/>
                <w:sz w:val="22"/>
                <w:szCs w:val="22"/>
                <w:u w:val="single"/>
              </w:rPr>
            </w:pPr>
          </w:p>
        </w:tc>
        <w:tc>
          <w:tcPr>
            <w:tcW w:w="3055" w:type="dxa"/>
            <w:tcBorders>
              <w:top w:val="single" w:sz="24" w:space="0" w:color="8064A2"/>
              <w:left w:val="single" w:sz="24" w:space="0" w:color="8064A2"/>
              <w:bottom w:val="single" w:sz="24" w:space="0" w:color="8064A2"/>
              <w:right w:val="single" w:sz="24" w:space="0" w:color="8064A2"/>
            </w:tcBorders>
          </w:tcPr>
          <w:p w:rsidR="009617E5" w:rsidRPr="000A0320" w:rsidRDefault="009617E5" w:rsidP="000A0320">
            <w:pPr>
              <w:spacing w:before="240"/>
              <w:jc w:val="center"/>
              <w:rPr>
                <w:rFonts w:ascii="Arial" w:hAnsi="Arial" w:cs="Arial"/>
                <w:sz w:val="20"/>
              </w:rPr>
            </w:pPr>
            <w:r w:rsidRPr="00683E85">
              <w:rPr>
                <w:rFonts w:ascii="Arial" w:hAnsi="Arial" w:cs="Arial"/>
                <w:sz w:val="20"/>
              </w:rPr>
              <w:t xml:space="preserve">6,755 Business </w:t>
            </w:r>
            <w:r w:rsidR="00EE3CE0">
              <w:rPr>
                <w:rFonts w:ascii="Arial" w:hAnsi="Arial" w:cs="Arial"/>
                <w:sz w:val="20"/>
              </w:rPr>
              <w:br/>
            </w:r>
            <w:r w:rsidRPr="00683E85">
              <w:rPr>
                <w:rFonts w:ascii="Arial" w:hAnsi="Arial" w:cs="Arial"/>
                <w:sz w:val="20"/>
              </w:rPr>
              <w:t>Enterprises</w:t>
            </w:r>
          </w:p>
        </w:tc>
      </w:tr>
    </w:tbl>
    <w:p w:rsidR="00E83A90" w:rsidRPr="006C41B6" w:rsidRDefault="00E83A90" w:rsidP="00E83A90">
      <w:pPr>
        <w:rPr>
          <w:rFonts w:asciiTheme="minorHAnsi" w:hAnsiTheme="minorHAnsi" w:cstheme="minorHAnsi"/>
          <w:sz w:val="22"/>
          <w:szCs w:val="22"/>
        </w:rPr>
      </w:pPr>
    </w:p>
    <w:p w:rsidR="00E83A90" w:rsidRPr="006C41B6" w:rsidRDefault="00E83A90" w:rsidP="00E83A90">
      <w:pPr>
        <w:ind w:firstLine="360"/>
        <w:rPr>
          <w:rFonts w:asciiTheme="minorHAnsi" w:hAnsiTheme="minorHAnsi" w:cstheme="minorHAnsi"/>
          <w:sz w:val="22"/>
          <w:szCs w:val="22"/>
        </w:rPr>
      </w:pPr>
      <w:r w:rsidRPr="006C41B6">
        <w:rPr>
          <w:rFonts w:asciiTheme="minorHAnsi" w:hAnsiTheme="minorHAnsi" w:cstheme="minorHAnsi"/>
          <w:sz w:val="22"/>
          <w:szCs w:val="22"/>
        </w:rPr>
        <w:t>Source: Office for National Statistics</w:t>
      </w:r>
      <w:r>
        <w:rPr>
          <w:rFonts w:asciiTheme="minorHAnsi" w:hAnsiTheme="minorHAnsi" w:cstheme="minorHAnsi"/>
          <w:sz w:val="22"/>
          <w:szCs w:val="22"/>
        </w:rPr>
        <w:t>,</w:t>
      </w:r>
      <w:r w:rsidRPr="006C41B6">
        <w:rPr>
          <w:rFonts w:asciiTheme="minorHAnsi" w:hAnsiTheme="minorHAnsi" w:cstheme="minorHAnsi"/>
          <w:sz w:val="22"/>
          <w:szCs w:val="22"/>
        </w:rPr>
        <w:t xml:space="preserve"> UK House Price Index England &amp; NOMIS – Official </w:t>
      </w:r>
    </w:p>
    <w:p w:rsidR="00E83A90" w:rsidRPr="006C41B6" w:rsidRDefault="00E83A90" w:rsidP="00E83A90">
      <w:pPr>
        <w:ind w:firstLine="360"/>
        <w:rPr>
          <w:rFonts w:asciiTheme="minorHAnsi" w:hAnsiTheme="minorHAnsi" w:cstheme="minorHAnsi"/>
          <w:sz w:val="22"/>
          <w:szCs w:val="22"/>
        </w:rPr>
      </w:pPr>
      <w:r w:rsidRPr="006C41B6">
        <w:rPr>
          <w:rFonts w:asciiTheme="minorHAnsi" w:hAnsiTheme="minorHAnsi" w:cstheme="minorHAnsi"/>
          <w:sz w:val="22"/>
          <w:szCs w:val="22"/>
        </w:rPr>
        <w:t>Labour Market Statistics</w:t>
      </w:r>
    </w:p>
    <w:p w:rsidR="00E83A90" w:rsidRPr="006C41B6" w:rsidRDefault="00E83A90" w:rsidP="00E83A90">
      <w:pPr>
        <w:rPr>
          <w:rFonts w:asciiTheme="minorHAnsi" w:hAnsiTheme="minorHAnsi" w:cstheme="minorHAnsi"/>
          <w:sz w:val="22"/>
          <w:szCs w:val="22"/>
        </w:rPr>
      </w:pPr>
    </w:p>
    <w:p w:rsidR="00E83A90" w:rsidRPr="00FB5F0C" w:rsidRDefault="00E83A90" w:rsidP="00E83A90">
      <w:pPr>
        <w:pStyle w:val="ListParagraph"/>
        <w:numPr>
          <w:ilvl w:val="0"/>
          <w:numId w:val="50"/>
        </w:numPr>
        <w:suppressAutoHyphens w:val="0"/>
        <w:overflowPunct/>
        <w:autoSpaceDE/>
        <w:spacing w:after="200" w:line="276" w:lineRule="auto"/>
        <w:contextualSpacing/>
        <w:textAlignment w:val="auto"/>
        <w:rPr>
          <w:rFonts w:asciiTheme="minorHAnsi" w:hAnsiTheme="minorHAnsi" w:cstheme="minorHAnsi"/>
          <w:b/>
          <w:szCs w:val="22"/>
        </w:rPr>
      </w:pPr>
      <w:r w:rsidRPr="00FB5F0C">
        <w:rPr>
          <w:rFonts w:asciiTheme="minorHAnsi" w:hAnsiTheme="minorHAnsi" w:cstheme="minorHAnsi"/>
          <w:b/>
          <w:szCs w:val="22"/>
        </w:rPr>
        <w:t xml:space="preserve">Key Facts about the Council </w:t>
      </w:r>
    </w:p>
    <w:p w:rsidR="00E83A90" w:rsidRPr="004B7477" w:rsidRDefault="00E83A90" w:rsidP="008C053A">
      <w:pPr>
        <w:keepNext/>
        <w:spacing w:line="23" w:lineRule="atLeast"/>
        <w:outlineLvl w:val="3"/>
        <w:rPr>
          <w:rFonts w:asciiTheme="minorHAnsi" w:hAnsiTheme="minorHAnsi" w:cstheme="minorHAnsi"/>
          <w:b/>
          <w:bCs/>
          <w:sz w:val="22"/>
          <w:szCs w:val="22"/>
          <w:u w:val="single"/>
        </w:rPr>
      </w:pPr>
      <w:r w:rsidRPr="004B7477">
        <w:rPr>
          <w:rFonts w:asciiTheme="minorHAnsi" w:hAnsiTheme="minorHAnsi" w:cstheme="minorHAnsi"/>
          <w:b/>
          <w:bCs/>
          <w:sz w:val="22"/>
          <w:szCs w:val="22"/>
          <w:u w:val="single"/>
        </w:rPr>
        <w:t>How we make decisions</w:t>
      </w:r>
    </w:p>
    <w:p w:rsidR="00E83A90" w:rsidRPr="006C41B6" w:rsidRDefault="00E83A90" w:rsidP="008C053A">
      <w:pPr>
        <w:keepNext/>
        <w:spacing w:line="23" w:lineRule="atLeast"/>
        <w:outlineLvl w:val="3"/>
        <w:rPr>
          <w:rFonts w:asciiTheme="minorHAnsi" w:hAnsiTheme="minorHAnsi" w:cstheme="minorHAnsi"/>
          <w:b/>
          <w:bCs/>
          <w:sz w:val="22"/>
          <w:szCs w:val="22"/>
        </w:rPr>
      </w:pPr>
    </w:p>
    <w:p w:rsidR="00E83A90" w:rsidRPr="006C41B6" w:rsidRDefault="00E83A90" w:rsidP="008C053A">
      <w:pPr>
        <w:keepNext/>
        <w:spacing w:line="23" w:lineRule="atLeast"/>
        <w:outlineLvl w:val="3"/>
        <w:rPr>
          <w:rFonts w:asciiTheme="minorHAnsi" w:hAnsiTheme="minorHAnsi" w:cstheme="minorHAnsi"/>
          <w:b/>
          <w:bCs/>
          <w:sz w:val="22"/>
          <w:szCs w:val="22"/>
        </w:rPr>
      </w:pPr>
      <w:r w:rsidRPr="006C41B6">
        <w:rPr>
          <w:rFonts w:asciiTheme="minorHAnsi" w:hAnsiTheme="minorHAnsi" w:cstheme="minorHAnsi"/>
          <w:b/>
          <w:bCs/>
          <w:sz w:val="22"/>
          <w:szCs w:val="22"/>
        </w:rPr>
        <w:t>Council</w:t>
      </w:r>
      <w:r w:rsidRPr="006C41B6">
        <w:rPr>
          <w:rFonts w:asciiTheme="minorHAnsi" w:hAnsiTheme="minorHAnsi" w:cstheme="minorHAnsi"/>
          <w:b/>
          <w:bCs/>
          <w:sz w:val="22"/>
          <w:szCs w:val="22"/>
        </w:rPr>
        <w:br/>
      </w:r>
    </w:p>
    <w:p w:rsidR="00E83A90" w:rsidRPr="006C41B6" w:rsidRDefault="00E83A90" w:rsidP="008C053A">
      <w:pPr>
        <w:spacing w:line="23" w:lineRule="atLeast"/>
        <w:rPr>
          <w:rFonts w:asciiTheme="minorHAnsi" w:hAnsiTheme="minorHAnsi" w:cstheme="minorHAnsi"/>
          <w:sz w:val="22"/>
          <w:szCs w:val="22"/>
        </w:rPr>
      </w:pPr>
      <w:r w:rsidRPr="006C41B6">
        <w:rPr>
          <w:rFonts w:asciiTheme="minorHAnsi" w:hAnsiTheme="minorHAnsi" w:cstheme="minorHAnsi"/>
          <w:sz w:val="22"/>
          <w:szCs w:val="22"/>
        </w:rPr>
        <w:t xml:space="preserve">All councillors from across the </w:t>
      </w:r>
      <w:r>
        <w:rPr>
          <w:rFonts w:asciiTheme="minorHAnsi" w:hAnsiTheme="minorHAnsi" w:cstheme="minorHAnsi"/>
          <w:sz w:val="22"/>
          <w:szCs w:val="22"/>
        </w:rPr>
        <w:t>d</w:t>
      </w:r>
      <w:r w:rsidRPr="006C41B6">
        <w:rPr>
          <w:rFonts w:asciiTheme="minorHAnsi" w:hAnsiTheme="minorHAnsi" w:cstheme="minorHAnsi"/>
          <w:sz w:val="22"/>
          <w:szCs w:val="22"/>
        </w:rPr>
        <w:t xml:space="preserve">istrict normally meet six times a year to decide the Council’s overall policies and to set the budget.  These meetings are </w:t>
      </w:r>
      <w:r>
        <w:rPr>
          <w:rFonts w:asciiTheme="minorHAnsi" w:hAnsiTheme="minorHAnsi" w:cstheme="minorHAnsi"/>
          <w:sz w:val="22"/>
          <w:szCs w:val="22"/>
        </w:rPr>
        <w:t>normally open</w:t>
      </w:r>
      <w:r w:rsidRPr="006C41B6">
        <w:rPr>
          <w:rFonts w:asciiTheme="minorHAnsi" w:hAnsiTheme="minorHAnsi" w:cstheme="minorHAnsi"/>
          <w:sz w:val="22"/>
          <w:szCs w:val="22"/>
        </w:rPr>
        <w:t xml:space="preserve"> to the public and additional meetings can be held if needed.</w:t>
      </w:r>
      <w:r>
        <w:rPr>
          <w:rFonts w:asciiTheme="minorHAnsi" w:hAnsiTheme="minorHAnsi" w:cstheme="minorHAnsi"/>
          <w:sz w:val="22"/>
          <w:szCs w:val="22"/>
        </w:rPr>
        <w:t xml:space="preserve"> However, as result of the public health issue some meetings were cancelled in March</w:t>
      </w:r>
      <w:r w:rsidR="00140072">
        <w:rPr>
          <w:rFonts w:asciiTheme="minorHAnsi" w:hAnsiTheme="minorHAnsi" w:cstheme="minorHAnsi"/>
          <w:sz w:val="22"/>
          <w:szCs w:val="22"/>
        </w:rPr>
        <w:t xml:space="preserve"> and April, however</w:t>
      </w:r>
      <w:r>
        <w:rPr>
          <w:rFonts w:asciiTheme="minorHAnsi" w:hAnsiTheme="minorHAnsi" w:cstheme="minorHAnsi"/>
          <w:sz w:val="22"/>
          <w:szCs w:val="22"/>
        </w:rPr>
        <w:t xml:space="preserve"> subsequently remote virtual meeting arrangements have been put in place to enable future meetings to be held.</w:t>
      </w:r>
    </w:p>
    <w:p w:rsidR="00E83A90" w:rsidRPr="006C41B6" w:rsidRDefault="00E83A90" w:rsidP="008C053A">
      <w:pPr>
        <w:keepNext/>
        <w:spacing w:line="23" w:lineRule="atLeast"/>
        <w:outlineLvl w:val="3"/>
        <w:rPr>
          <w:rFonts w:asciiTheme="minorHAnsi" w:hAnsiTheme="minorHAnsi" w:cstheme="minorHAnsi"/>
          <w:b/>
          <w:bCs/>
          <w:sz w:val="22"/>
          <w:szCs w:val="22"/>
        </w:rPr>
      </w:pPr>
    </w:p>
    <w:p w:rsidR="00E83A90" w:rsidRPr="006C41B6" w:rsidRDefault="00E83A90" w:rsidP="008C053A">
      <w:pPr>
        <w:keepNext/>
        <w:spacing w:line="23" w:lineRule="atLeast"/>
        <w:outlineLvl w:val="3"/>
        <w:rPr>
          <w:rFonts w:asciiTheme="minorHAnsi" w:hAnsiTheme="minorHAnsi" w:cstheme="minorHAnsi"/>
          <w:b/>
          <w:bCs/>
          <w:sz w:val="22"/>
          <w:szCs w:val="22"/>
        </w:rPr>
      </w:pPr>
      <w:r w:rsidRPr="006C41B6">
        <w:rPr>
          <w:rFonts w:asciiTheme="minorHAnsi" w:hAnsiTheme="minorHAnsi" w:cstheme="minorHAnsi"/>
          <w:b/>
          <w:bCs/>
          <w:sz w:val="22"/>
          <w:szCs w:val="22"/>
        </w:rPr>
        <w:t xml:space="preserve">Cabinet </w:t>
      </w:r>
      <w:r w:rsidRPr="006C41B6">
        <w:rPr>
          <w:rFonts w:asciiTheme="minorHAnsi" w:hAnsiTheme="minorHAnsi" w:cstheme="minorHAnsi"/>
          <w:b/>
          <w:bCs/>
          <w:sz w:val="22"/>
          <w:szCs w:val="22"/>
        </w:rPr>
        <w:br/>
      </w:r>
    </w:p>
    <w:p w:rsidR="00E83A90" w:rsidRPr="00BD2C2B" w:rsidRDefault="00E83A90" w:rsidP="008C053A">
      <w:pPr>
        <w:spacing w:line="23" w:lineRule="atLeast"/>
        <w:rPr>
          <w:rFonts w:asciiTheme="minorHAnsi" w:hAnsiTheme="minorHAnsi" w:cstheme="minorHAnsi"/>
          <w:sz w:val="22"/>
          <w:szCs w:val="22"/>
        </w:rPr>
      </w:pPr>
      <w:r w:rsidRPr="006C41B6">
        <w:rPr>
          <w:rFonts w:asciiTheme="minorHAnsi" w:hAnsiTheme="minorHAnsi" w:cstheme="minorHAnsi"/>
          <w:sz w:val="22"/>
          <w:szCs w:val="22"/>
        </w:rPr>
        <w:t xml:space="preserve">The Cabinet </w:t>
      </w:r>
      <w:r>
        <w:rPr>
          <w:rFonts w:asciiTheme="minorHAnsi" w:hAnsiTheme="minorHAnsi" w:cstheme="minorHAnsi"/>
          <w:sz w:val="22"/>
          <w:szCs w:val="22"/>
        </w:rPr>
        <w:t xml:space="preserve">generally </w:t>
      </w:r>
      <w:r w:rsidRPr="006C41B6">
        <w:rPr>
          <w:rFonts w:asciiTheme="minorHAnsi" w:hAnsiTheme="minorHAnsi" w:cstheme="minorHAnsi"/>
          <w:sz w:val="22"/>
          <w:szCs w:val="22"/>
        </w:rPr>
        <w:t>meets on a monthly basis</w:t>
      </w:r>
      <w:r>
        <w:rPr>
          <w:rFonts w:asciiTheme="minorHAnsi" w:hAnsiTheme="minorHAnsi" w:cstheme="minorHAnsi"/>
          <w:sz w:val="22"/>
          <w:szCs w:val="22"/>
        </w:rPr>
        <w:t xml:space="preserve">, except in August, </w:t>
      </w:r>
      <w:r w:rsidRPr="006C41B6">
        <w:rPr>
          <w:rFonts w:asciiTheme="minorHAnsi" w:hAnsiTheme="minorHAnsi" w:cstheme="minorHAnsi"/>
          <w:sz w:val="22"/>
          <w:szCs w:val="22"/>
        </w:rPr>
        <w:t xml:space="preserve">and involves </w:t>
      </w:r>
      <w:r>
        <w:rPr>
          <w:rFonts w:asciiTheme="minorHAnsi" w:hAnsiTheme="minorHAnsi" w:cstheme="minorHAnsi"/>
          <w:sz w:val="22"/>
          <w:szCs w:val="22"/>
        </w:rPr>
        <w:t>seven</w:t>
      </w:r>
      <w:r w:rsidRPr="006C41B6">
        <w:rPr>
          <w:rFonts w:asciiTheme="minorHAnsi" w:hAnsiTheme="minorHAnsi" w:cstheme="minorHAnsi"/>
          <w:sz w:val="22"/>
          <w:szCs w:val="22"/>
        </w:rPr>
        <w:t xml:space="preserve"> of our councillors making key decisions on the plans, strategies and budget which are then approved by the Council.  </w:t>
      </w:r>
    </w:p>
    <w:p w:rsidR="00E83A90" w:rsidRPr="006C41B6" w:rsidRDefault="00E83A90" w:rsidP="00BD2C2B">
      <w:pPr>
        <w:spacing w:before="180" w:line="23" w:lineRule="atLeast"/>
        <w:rPr>
          <w:rFonts w:asciiTheme="minorHAnsi" w:hAnsiTheme="minorHAnsi" w:cstheme="minorHAnsi"/>
          <w:b/>
          <w:bCs/>
          <w:sz w:val="22"/>
          <w:szCs w:val="22"/>
        </w:rPr>
      </w:pPr>
      <w:r w:rsidRPr="006C41B6">
        <w:rPr>
          <w:rFonts w:asciiTheme="minorHAnsi" w:hAnsiTheme="minorHAnsi" w:cstheme="minorHAnsi"/>
          <w:b/>
          <w:bCs/>
          <w:sz w:val="22"/>
          <w:szCs w:val="22"/>
        </w:rPr>
        <w:t xml:space="preserve">Overview and Scrutiny </w:t>
      </w:r>
      <w:r w:rsidRPr="006C41B6">
        <w:rPr>
          <w:rFonts w:asciiTheme="minorHAnsi" w:hAnsiTheme="minorHAnsi" w:cstheme="minorHAnsi"/>
          <w:b/>
          <w:bCs/>
          <w:sz w:val="22"/>
          <w:szCs w:val="22"/>
        </w:rPr>
        <w:br/>
      </w:r>
    </w:p>
    <w:p w:rsidR="0038346B" w:rsidRPr="006C41B6" w:rsidRDefault="00E83A90" w:rsidP="00BD2C2B">
      <w:pPr>
        <w:spacing w:line="23" w:lineRule="atLeast"/>
        <w:ind w:right="10"/>
        <w:rPr>
          <w:rFonts w:asciiTheme="minorHAnsi" w:hAnsiTheme="minorHAnsi" w:cstheme="minorHAnsi"/>
          <w:sz w:val="22"/>
          <w:szCs w:val="22"/>
        </w:rPr>
      </w:pPr>
      <w:r w:rsidRPr="006C41B6">
        <w:rPr>
          <w:rFonts w:asciiTheme="minorHAnsi" w:hAnsiTheme="minorHAnsi" w:cstheme="minorHAnsi"/>
          <w:sz w:val="22"/>
          <w:szCs w:val="22"/>
        </w:rPr>
        <w:t>The Overview and Scrutiny Committee holds the decision-makers to account</w:t>
      </w:r>
      <w:r>
        <w:rPr>
          <w:rFonts w:asciiTheme="minorHAnsi" w:hAnsiTheme="minorHAnsi" w:cstheme="minorHAnsi"/>
          <w:sz w:val="22"/>
          <w:szCs w:val="22"/>
        </w:rPr>
        <w:t xml:space="preserve"> and meets at least 4 times a year</w:t>
      </w:r>
      <w:r w:rsidRPr="006C41B6">
        <w:rPr>
          <w:rFonts w:asciiTheme="minorHAnsi" w:hAnsiTheme="minorHAnsi" w:cstheme="minorHAnsi"/>
          <w:sz w:val="22"/>
          <w:szCs w:val="22"/>
        </w:rPr>
        <w:t>.  This can involve questioning councillors, council employees and representatives of other organisations in relation to key decisions, reports or policies.  The committee then makes recommendations to Cabinet based on their findings.  The committee also has an important role in looking at the wider delivery of all public services in the District.</w:t>
      </w:r>
      <w:r w:rsidR="00BD2C2B" w:rsidRPr="006C41B6">
        <w:rPr>
          <w:rFonts w:asciiTheme="minorHAnsi" w:hAnsiTheme="minorHAnsi" w:cstheme="minorHAnsi"/>
          <w:sz w:val="22"/>
          <w:szCs w:val="22"/>
        </w:rPr>
        <w:t xml:space="preserve"> </w:t>
      </w:r>
    </w:p>
    <w:p w:rsidR="00BD2C2B" w:rsidRDefault="00BD2C2B">
      <w:pPr>
        <w:widowControl/>
        <w:suppressAutoHyphens w:val="0"/>
        <w:rPr>
          <w:rFonts w:asciiTheme="minorHAnsi" w:hAnsiTheme="minorHAnsi" w:cstheme="minorHAnsi"/>
          <w:b/>
          <w:sz w:val="22"/>
          <w:szCs w:val="22"/>
        </w:rPr>
      </w:pPr>
      <w:r>
        <w:rPr>
          <w:rFonts w:asciiTheme="minorHAnsi" w:hAnsiTheme="minorHAnsi" w:cstheme="minorHAnsi"/>
          <w:b/>
          <w:sz w:val="22"/>
          <w:szCs w:val="22"/>
        </w:rPr>
        <w:br w:type="page"/>
      </w:r>
    </w:p>
    <w:p w:rsidR="00E83A90" w:rsidRPr="006C41B6" w:rsidRDefault="00E83A90" w:rsidP="008C053A">
      <w:pPr>
        <w:spacing w:line="23" w:lineRule="atLeast"/>
        <w:ind w:right="10"/>
        <w:rPr>
          <w:rFonts w:asciiTheme="minorHAnsi" w:hAnsiTheme="minorHAnsi" w:cstheme="minorHAnsi"/>
          <w:b/>
          <w:sz w:val="22"/>
          <w:szCs w:val="22"/>
        </w:rPr>
      </w:pPr>
      <w:r w:rsidRPr="006C41B6">
        <w:rPr>
          <w:rFonts w:asciiTheme="minorHAnsi" w:hAnsiTheme="minorHAnsi" w:cstheme="minorHAnsi"/>
          <w:b/>
          <w:sz w:val="22"/>
          <w:szCs w:val="22"/>
        </w:rPr>
        <w:lastRenderedPageBreak/>
        <w:t>Corporate Governance and Audit Committee</w:t>
      </w:r>
    </w:p>
    <w:p w:rsidR="00E83A90" w:rsidRPr="006C41B6" w:rsidRDefault="00E83A90" w:rsidP="008C053A">
      <w:pPr>
        <w:spacing w:line="23" w:lineRule="atLeast"/>
        <w:ind w:right="10"/>
        <w:rPr>
          <w:rFonts w:asciiTheme="minorHAnsi" w:hAnsiTheme="minorHAnsi" w:cstheme="minorHAnsi"/>
          <w:sz w:val="22"/>
          <w:szCs w:val="22"/>
        </w:rPr>
      </w:pPr>
    </w:p>
    <w:p w:rsidR="00E83A90" w:rsidRDefault="00E83A90" w:rsidP="008C053A">
      <w:pPr>
        <w:spacing w:line="23" w:lineRule="atLeast"/>
        <w:rPr>
          <w:rFonts w:asciiTheme="minorHAnsi" w:hAnsiTheme="minorHAnsi" w:cstheme="minorHAnsi"/>
          <w:sz w:val="22"/>
          <w:szCs w:val="22"/>
        </w:rPr>
      </w:pPr>
      <w:r w:rsidRPr="006C41B6">
        <w:rPr>
          <w:rFonts w:asciiTheme="minorHAnsi" w:hAnsiTheme="minorHAnsi" w:cstheme="minorHAnsi"/>
          <w:sz w:val="22"/>
          <w:szCs w:val="22"/>
        </w:rPr>
        <w:t xml:space="preserve">The Corporate Governance and Audit Committee </w:t>
      </w:r>
      <w:r>
        <w:rPr>
          <w:rFonts w:asciiTheme="minorHAnsi" w:hAnsiTheme="minorHAnsi" w:cstheme="minorHAnsi"/>
          <w:sz w:val="22"/>
          <w:szCs w:val="22"/>
        </w:rPr>
        <w:t xml:space="preserve">meet at least 4 times a year to </w:t>
      </w:r>
      <w:r w:rsidRPr="006C41B6">
        <w:rPr>
          <w:rFonts w:asciiTheme="minorHAnsi" w:hAnsiTheme="minorHAnsi" w:cstheme="minorHAnsi"/>
          <w:sz w:val="22"/>
          <w:szCs w:val="22"/>
        </w:rPr>
        <w:t>review the progress/effectiveness and probity of the corporate governance arrangements of the Council, including the external audit and internal audit arrangements and the implementation of their recommendations. The committee also considers the internal arrangements in place to identify, monitor and control corporate risks which could impact on the Council’s performance. The committee considers and approves the Council’s statutory annual statement of accounts.</w:t>
      </w:r>
    </w:p>
    <w:p w:rsidR="00E83A90" w:rsidRPr="006C41B6" w:rsidRDefault="00E83A90" w:rsidP="008C053A">
      <w:pPr>
        <w:spacing w:line="23" w:lineRule="atLeast"/>
        <w:rPr>
          <w:rFonts w:asciiTheme="minorHAnsi" w:hAnsiTheme="minorHAnsi" w:cstheme="minorHAnsi"/>
          <w:b/>
          <w:bCs/>
          <w:sz w:val="22"/>
          <w:szCs w:val="22"/>
        </w:rPr>
      </w:pPr>
      <w:r w:rsidRPr="006C41B6">
        <w:rPr>
          <w:rFonts w:asciiTheme="minorHAnsi" w:hAnsiTheme="minorHAnsi" w:cstheme="minorHAnsi"/>
          <w:sz w:val="22"/>
          <w:szCs w:val="22"/>
        </w:rPr>
        <w:br/>
      </w:r>
      <w:r w:rsidRPr="006C41B6">
        <w:rPr>
          <w:rFonts w:asciiTheme="minorHAnsi" w:hAnsiTheme="minorHAnsi" w:cstheme="minorHAnsi"/>
          <w:b/>
          <w:bCs/>
          <w:sz w:val="22"/>
          <w:szCs w:val="22"/>
        </w:rPr>
        <w:t>Other Non- Executive Committees</w:t>
      </w:r>
    </w:p>
    <w:p w:rsidR="00E83A90" w:rsidRPr="006C41B6" w:rsidRDefault="00E83A90" w:rsidP="008C053A">
      <w:pPr>
        <w:spacing w:line="23" w:lineRule="atLeast"/>
        <w:rPr>
          <w:rFonts w:asciiTheme="minorHAnsi" w:hAnsiTheme="minorHAnsi" w:cstheme="minorHAnsi"/>
          <w:b/>
          <w:bCs/>
          <w:sz w:val="22"/>
          <w:szCs w:val="22"/>
        </w:rPr>
      </w:pPr>
    </w:p>
    <w:p w:rsidR="00E83A90" w:rsidRPr="006C41B6" w:rsidRDefault="00E83A90" w:rsidP="008C053A">
      <w:pPr>
        <w:spacing w:line="23" w:lineRule="atLeast"/>
        <w:rPr>
          <w:rFonts w:asciiTheme="minorHAnsi" w:hAnsiTheme="minorHAnsi" w:cstheme="minorHAnsi"/>
          <w:sz w:val="22"/>
          <w:szCs w:val="22"/>
        </w:rPr>
      </w:pPr>
      <w:r w:rsidRPr="006C41B6">
        <w:rPr>
          <w:rFonts w:asciiTheme="minorHAnsi" w:hAnsiTheme="minorHAnsi" w:cstheme="minorHAnsi"/>
          <w:bCs/>
          <w:sz w:val="22"/>
          <w:szCs w:val="22"/>
        </w:rPr>
        <w:t>There</w:t>
      </w:r>
      <w:r>
        <w:rPr>
          <w:rFonts w:asciiTheme="minorHAnsi" w:hAnsiTheme="minorHAnsi" w:cstheme="minorHAnsi"/>
          <w:bCs/>
          <w:sz w:val="22"/>
          <w:szCs w:val="22"/>
        </w:rPr>
        <w:t xml:space="preserve"> are </w:t>
      </w:r>
      <w:r w:rsidRPr="006C41B6">
        <w:rPr>
          <w:rFonts w:asciiTheme="minorHAnsi" w:hAnsiTheme="minorHAnsi" w:cstheme="minorHAnsi"/>
          <w:bCs/>
          <w:sz w:val="22"/>
          <w:szCs w:val="22"/>
        </w:rPr>
        <w:t>also a number of non-executive committees which carry out a number of regulatory functions and makes decisions on matters that may not be decided by Cabinet. These regulatory committees include the Planning Committee and the General Licensing Committee; plus a Standards Committee, which promotes and maintains high standards of conduct.</w:t>
      </w:r>
    </w:p>
    <w:p w:rsidR="00E83A90" w:rsidRDefault="00E83A90" w:rsidP="008C053A">
      <w:pPr>
        <w:rPr>
          <w:rFonts w:asciiTheme="minorHAnsi" w:eastAsia="Arial Unicode MS" w:hAnsiTheme="minorHAnsi" w:cstheme="minorHAnsi"/>
          <w:b/>
          <w:sz w:val="22"/>
          <w:szCs w:val="22"/>
        </w:rPr>
      </w:pPr>
    </w:p>
    <w:p w:rsidR="00E83A90" w:rsidRPr="006C41B6" w:rsidRDefault="00E83A90" w:rsidP="008C053A">
      <w:pPr>
        <w:spacing w:line="23" w:lineRule="atLeast"/>
        <w:rPr>
          <w:rFonts w:asciiTheme="minorHAnsi" w:hAnsiTheme="minorHAnsi" w:cstheme="minorHAnsi"/>
          <w:b/>
          <w:bCs/>
          <w:sz w:val="22"/>
          <w:szCs w:val="22"/>
        </w:rPr>
      </w:pPr>
      <w:r w:rsidRPr="006C41B6">
        <w:rPr>
          <w:rFonts w:asciiTheme="minorHAnsi" w:hAnsiTheme="minorHAnsi" w:cstheme="minorHAnsi"/>
          <w:b/>
          <w:bCs/>
          <w:sz w:val="22"/>
          <w:szCs w:val="22"/>
        </w:rPr>
        <w:t>Officer Support</w:t>
      </w:r>
    </w:p>
    <w:p w:rsidR="00E83A90" w:rsidRPr="006C41B6" w:rsidRDefault="00E83A90" w:rsidP="008C053A">
      <w:pPr>
        <w:spacing w:line="23" w:lineRule="atLeast"/>
        <w:rPr>
          <w:rFonts w:asciiTheme="minorHAnsi" w:hAnsiTheme="minorHAnsi" w:cstheme="minorHAnsi"/>
          <w:b/>
          <w:bCs/>
          <w:sz w:val="22"/>
          <w:szCs w:val="22"/>
        </w:rPr>
      </w:pPr>
    </w:p>
    <w:p w:rsidR="00E83A90" w:rsidRDefault="00E83A90" w:rsidP="008C053A">
      <w:pPr>
        <w:spacing w:line="23" w:lineRule="atLeast"/>
        <w:rPr>
          <w:rStyle w:val="Hyperlink"/>
          <w:rFonts w:asciiTheme="minorHAnsi" w:hAnsiTheme="minorHAnsi" w:cstheme="minorHAnsi"/>
          <w:sz w:val="22"/>
          <w:szCs w:val="22"/>
        </w:rPr>
      </w:pPr>
      <w:r w:rsidRPr="006C41B6">
        <w:rPr>
          <w:rFonts w:asciiTheme="minorHAnsi" w:hAnsiTheme="minorHAnsi" w:cstheme="minorHAnsi"/>
          <w:bCs/>
          <w:sz w:val="22"/>
          <w:szCs w:val="22"/>
        </w:rPr>
        <w:t>During 201</w:t>
      </w:r>
      <w:r>
        <w:rPr>
          <w:rFonts w:asciiTheme="minorHAnsi" w:hAnsiTheme="minorHAnsi" w:cstheme="minorHAnsi"/>
          <w:bCs/>
          <w:sz w:val="22"/>
          <w:szCs w:val="22"/>
        </w:rPr>
        <w:t>9</w:t>
      </w:r>
      <w:r w:rsidRPr="006C41B6">
        <w:rPr>
          <w:rFonts w:asciiTheme="minorHAnsi" w:hAnsiTheme="minorHAnsi" w:cstheme="minorHAnsi"/>
          <w:bCs/>
          <w:sz w:val="22"/>
          <w:szCs w:val="22"/>
        </w:rPr>
        <w:t>-</w:t>
      </w:r>
      <w:r>
        <w:rPr>
          <w:rFonts w:asciiTheme="minorHAnsi" w:hAnsiTheme="minorHAnsi" w:cstheme="minorHAnsi"/>
          <w:bCs/>
          <w:sz w:val="22"/>
          <w:szCs w:val="22"/>
        </w:rPr>
        <w:t>20</w:t>
      </w:r>
      <w:r w:rsidRPr="006C41B6">
        <w:rPr>
          <w:rFonts w:asciiTheme="minorHAnsi" w:hAnsiTheme="minorHAnsi" w:cstheme="minorHAnsi"/>
          <w:bCs/>
          <w:sz w:val="22"/>
          <w:szCs w:val="22"/>
        </w:rPr>
        <w:t xml:space="preserve"> Diane Shepherd, our Chief Executive, led the </w:t>
      </w:r>
      <w:r>
        <w:rPr>
          <w:rFonts w:asciiTheme="minorHAnsi" w:hAnsiTheme="minorHAnsi" w:cstheme="minorHAnsi"/>
          <w:bCs/>
          <w:sz w:val="22"/>
          <w:szCs w:val="22"/>
        </w:rPr>
        <w:t xml:space="preserve">Strategic </w:t>
      </w:r>
      <w:r w:rsidRPr="006C41B6">
        <w:rPr>
          <w:rFonts w:asciiTheme="minorHAnsi" w:hAnsiTheme="minorHAnsi" w:cstheme="minorHAnsi"/>
          <w:bCs/>
          <w:sz w:val="22"/>
          <w:szCs w:val="22"/>
        </w:rPr>
        <w:t>Leadership Team</w:t>
      </w:r>
      <w:r>
        <w:rPr>
          <w:rFonts w:asciiTheme="minorHAnsi" w:hAnsiTheme="minorHAnsi" w:cstheme="minorHAnsi"/>
          <w:bCs/>
          <w:sz w:val="22"/>
          <w:szCs w:val="22"/>
        </w:rPr>
        <w:t xml:space="preserve"> (SLT)</w:t>
      </w:r>
      <w:r w:rsidRPr="006C41B6">
        <w:rPr>
          <w:rFonts w:asciiTheme="minorHAnsi" w:hAnsiTheme="minorHAnsi" w:cstheme="minorHAnsi"/>
          <w:bCs/>
          <w:sz w:val="22"/>
          <w:szCs w:val="22"/>
        </w:rPr>
        <w:t xml:space="preserve"> which included </w:t>
      </w:r>
      <w:r>
        <w:rPr>
          <w:rFonts w:asciiTheme="minorHAnsi" w:hAnsiTheme="minorHAnsi" w:cstheme="minorHAnsi"/>
          <w:bCs/>
          <w:sz w:val="22"/>
          <w:szCs w:val="22"/>
        </w:rPr>
        <w:t xml:space="preserve">one </w:t>
      </w:r>
      <w:r w:rsidRPr="006C41B6">
        <w:rPr>
          <w:rFonts w:asciiTheme="minorHAnsi" w:hAnsiTheme="minorHAnsi" w:cstheme="minorHAnsi"/>
          <w:bCs/>
          <w:sz w:val="22"/>
          <w:szCs w:val="22"/>
        </w:rPr>
        <w:t>Executive Director</w:t>
      </w:r>
      <w:r>
        <w:rPr>
          <w:rFonts w:asciiTheme="minorHAnsi" w:hAnsiTheme="minorHAnsi" w:cstheme="minorHAnsi"/>
          <w:bCs/>
          <w:sz w:val="22"/>
          <w:szCs w:val="22"/>
        </w:rPr>
        <w:t xml:space="preserve"> and Deputy to the Chief Executive</w:t>
      </w:r>
      <w:r w:rsidRPr="006C41B6">
        <w:rPr>
          <w:rFonts w:asciiTheme="minorHAnsi" w:hAnsiTheme="minorHAnsi" w:cstheme="minorHAnsi"/>
          <w:bCs/>
          <w:sz w:val="22"/>
          <w:szCs w:val="22"/>
        </w:rPr>
        <w:t>, Paul Over, and</w:t>
      </w:r>
      <w:r>
        <w:rPr>
          <w:rFonts w:asciiTheme="minorHAnsi" w:hAnsiTheme="minorHAnsi" w:cstheme="minorHAnsi"/>
          <w:bCs/>
          <w:sz w:val="22"/>
          <w:szCs w:val="22"/>
        </w:rPr>
        <w:t xml:space="preserve"> five directors.  However, a </w:t>
      </w:r>
      <w:r w:rsidRPr="006C41B6">
        <w:rPr>
          <w:rFonts w:asciiTheme="minorHAnsi" w:hAnsiTheme="minorHAnsi" w:cstheme="minorHAnsi"/>
          <w:bCs/>
          <w:sz w:val="22"/>
          <w:szCs w:val="22"/>
        </w:rPr>
        <w:t xml:space="preserve">new management structure </w:t>
      </w:r>
      <w:r>
        <w:rPr>
          <w:rFonts w:asciiTheme="minorHAnsi" w:hAnsiTheme="minorHAnsi" w:cstheme="minorHAnsi"/>
          <w:bCs/>
          <w:sz w:val="22"/>
          <w:szCs w:val="22"/>
        </w:rPr>
        <w:t>came i</w:t>
      </w:r>
      <w:r w:rsidRPr="006C41B6">
        <w:rPr>
          <w:rFonts w:asciiTheme="minorHAnsi" w:hAnsiTheme="minorHAnsi" w:cstheme="minorHAnsi"/>
          <w:bCs/>
          <w:sz w:val="22"/>
          <w:szCs w:val="22"/>
        </w:rPr>
        <w:t xml:space="preserve">nto effect </w:t>
      </w:r>
      <w:r>
        <w:rPr>
          <w:rFonts w:asciiTheme="minorHAnsi" w:hAnsiTheme="minorHAnsi" w:cstheme="minorHAnsi"/>
          <w:bCs/>
          <w:sz w:val="22"/>
          <w:szCs w:val="22"/>
        </w:rPr>
        <w:t xml:space="preserve">from 1 June 2019, with the number of Directors being reduced from 5 to 4, and in the latter part of the year the Executive Director and Deputy Chief Executive’s role ceased. Details of the Council’s current management structure can be found here </w:t>
      </w:r>
      <w:hyperlink r:id="rId18" w:history="1">
        <w:r w:rsidRPr="006C41B6">
          <w:rPr>
            <w:rStyle w:val="Hyperlink"/>
            <w:rFonts w:asciiTheme="minorHAnsi" w:hAnsiTheme="minorHAnsi" w:cstheme="minorHAnsi"/>
            <w:sz w:val="22"/>
            <w:szCs w:val="22"/>
          </w:rPr>
          <w:t>http://www.chichester.gov.uk/article/24164/Council-structure</w:t>
        </w:r>
      </w:hyperlink>
      <w:r>
        <w:rPr>
          <w:rStyle w:val="Hyperlink"/>
          <w:rFonts w:asciiTheme="minorHAnsi" w:hAnsiTheme="minorHAnsi" w:cstheme="minorHAnsi"/>
          <w:sz w:val="22"/>
          <w:szCs w:val="22"/>
        </w:rPr>
        <w:t>.</w:t>
      </w:r>
      <w:r>
        <w:rPr>
          <w:rStyle w:val="Hyperlink"/>
          <w:rFonts w:asciiTheme="minorHAnsi" w:hAnsiTheme="minorHAnsi" w:cstheme="minorHAnsi"/>
          <w:sz w:val="22"/>
          <w:szCs w:val="22"/>
        </w:rPr>
        <w:br/>
      </w:r>
    </w:p>
    <w:p w:rsidR="00E83A90" w:rsidRPr="006C41B6" w:rsidRDefault="00E83A90" w:rsidP="008C053A">
      <w:pPr>
        <w:spacing w:line="23" w:lineRule="atLeast"/>
        <w:rPr>
          <w:rFonts w:asciiTheme="minorHAnsi" w:hAnsiTheme="minorHAnsi" w:cstheme="minorHAnsi"/>
          <w:sz w:val="22"/>
          <w:szCs w:val="22"/>
        </w:rPr>
      </w:pPr>
      <w:r>
        <w:rPr>
          <w:rFonts w:asciiTheme="minorHAnsi" w:hAnsiTheme="minorHAnsi" w:cstheme="minorHAnsi"/>
          <w:bCs/>
          <w:sz w:val="22"/>
          <w:szCs w:val="22"/>
        </w:rPr>
        <w:t>The wider Corporate Management Team also consisted of 16 Divisional Managers. T</w:t>
      </w:r>
      <w:r w:rsidRPr="006C41B6">
        <w:rPr>
          <w:rFonts w:asciiTheme="minorHAnsi" w:hAnsiTheme="minorHAnsi" w:cstheme="minorHAnsi"/>
          <w:bCs/>
          <w:sz w:val="22"/>
          <w:szCs w:val="22"/>
        </w:rPr>
        <w:t xml:space="preserve">he Strategic Leadership Team, along with the Divisional Managers, support councillors whilst also overseeing the delivery of the Council’s services. The council employs </w:t>
      </w:r>
      <w:r w:rsidR="00A061DF">
        <w:rPr>
          <w:rFonts w:asciiTheme="minorHAnsi" w:hAnsiTheme="minorHAnsi" w:cstheme="minorHAnsi"/>
          <w:bCs/>
          <w:sz w:val="22"/>
          <w:szCs w:val="22"/>
        </w:rPr>
        <w:t>over 500</w:t>
      </w:r>
      <w:r w:rsidRPr="006C41B6">
        <w:rPr>
          <w:rFonts w:asciiTheme="minorHAnsi" w:hAnsiTheme="minorHAnsi" w:cstheme="minorHAnsi"/>
          <w:bCs/>
          <w:sz w:val="22"/>
          <w:szCs w:val="22"/>
        </w:rPr>
        <w:t xml:space="preserve"> staff that are mostly based at the Council’s main offices in East </w:t>
      </w:r>
      <w:proofErr w:type="spellStart"/>
      <w:r w:rsidRPr="006C41B6">
        <w:rPr>
          <w:rFonts w:asciiTheme="minorHAnsi" w:hAnsiTheme="minorHAnsi" w:cstheme="minorHAnsi"/>
          <w:bCs/>
          <w:sz w:val="22"/>
          <w:szCs w:val="22"/>
        </w:rPr>
        <w:t>Pallant</w:t>
      </w:r>
      <w:proofErr w:type="spellEnd"/>
      <w:r w:rsidRPr="006C41B6">
        <w:rPr>
          <w:rFonts w:asciiTheme="minorHAnsi" w:hAnsiTheme="minorHAnsi" w:cstheme="minorHAnsi"/>
          <w:bCs/>
          <w:sz w:val="22"/>
          <w:szCs w:val="22"/>
        </w:rPr>
        <w:t xml:space="preserve"> House</w:t>
      </w:r>
      <w:r>
        <w:rPr>
          <w:rFonts w:asciiTheme="minorHAnsi" w:hAnsiTheme="minorHAnsi" w:cstheme="minorHAnsi"/>
          <w:bCs/>
          <w:sz w:val="22"/>
          <w:szCs w:val="22"/>
        </w:rPr>
        <w:t xml:space="preserve"> (EPH) and </w:t>
      </w:r>
      <w:r w:rsidRPr="006C41B6">
        <w:rPr>
          <w:rFonts w:asciiTheme="minorHAnsi" w:hAnsiTheme="minorHAnsi" w:cstheme="minorHAnsi"/>
          <w:bCs/>
          <w:sz w:val="22"/>
          <w:szCs w:val="22"/>
        </w:rPr>
        <w:t xml:space="preserve">at </w:t>
      </w:r>
      <w:r>
        <w:rPr>
          <w:rFonts w:asciiTheme="minorHAnsi" w:hAnsiTheme="minorHAnsi" w:cstheme="minorHAnsi"/>
          <w:bCs/>
          <w:sz w:val="22"/>
          <w:szCs w:val="22"/>
        </w:rPr>
        <w:t>its</w:t>
      </w:r>
      <w:r w:rsidRPr="006C41B6">
        <w:rPr>
          <w:rFonts w:asciiTheme="minorHAnsi" w:hAnsiTheme="minorHAnsi" w:cstheme="minorHAnsi"/>
          <w:bCs/>
          <w:sz w:val="22"/>
          <w:szCs w:val="22"/>
        </w:rPr>
        <w:t xml:space="preserve"> Depot in </w:t>
      </w:r>
      <w:r>
        <w:rPr>
          <w:rFonts w:asciiTheme="minorHAnsi" w:hAnsiTheme="minorHAnsi" w:cstheme="minorHAnsi"/>
          <w:bCs/>
          <w:sz w:val="22"/>
          <w:szCs w:val="22"/>
        </w:rPr>
        <w:t>W</w:t>
      </w:r>
      <w:r w:rsidRPr="006C41B6">
        <w:rPr>
          <w:rFonts w:asciiTheme="minorHAnsi" w:hAnsiTheme="minorHAnsi" w:cstheme="minorHAnsi"/>
          <w:bCs/>
          <w:sz w:val="22"/>
          <w:szCs w:val="22"/>
        </w:rPr>
        <w:t>esthampnett</w:t>
      </w:r>
      <w:r>
        <w:rPr>
          <w:rFonts w:asciiTheme="minorHAnsi" w:hAnsiTheme="minorHAnsi" w:cstheme="minorHAnsi"/>
          <w:bCs/>
          <w:sz w:val="22"/>
          <w:szCs w:val="22"/>
        </w:rPr>
        <w:t>, Chichester.</w:t>
      </w:r>
      <w:r w:rsidRPr="006C41B6">
        <w:rPr>
          <w:rFonts w:asciiTheme="minorHAnsi" w:hAnsiTheme="minorHAnsi" w:cstheme="minorHAnsi"/>
          <w:sz w:val="22"/>
          <w:szCs w:val="22"/>
        </w:rPr>
        <w:t xml:space="preserve">  </w:t>
      </w:r>
      <w:r>
        <w:rPr>
          <w:rFonts w:asciiTheme="minorHAnsi" w:hAnsiTheme="minorHAnsi" w:cstheme="minorHAnsi"/>
          <w:sz w:val="22"/>
          <w:szCs w:val="22"/>
        </w:rPr>
        <w:t>In response to Government guidance in March, the majority of staff based at EPH were able to work remotely which continues to be the case whilst the Council considers its recovery plans along with the latest Government guidance.</w:t>
      </w:r>
    </w:p>
    <w:p w:rsidR="00E83A90" w:rsidRPr="006C41B6" w:rsidRDefault="00E83A90" w:rsidP="008C053A">
      <w:pPr>
        <w:spacing w:line="23" w:lineRule="atLeast"/>
        <w:ind w:left="360"/>
        <w:rPr>
          <w:rFonts w:asciiTheme="minorHAnsi" w:hAnsiTheme="minorHAnsi" w:cstheme="minorHAnsi"/>
          <w:sz w:val="22"/>
          <w:szCs w:val="22"/>
        </w:rPr>
      </w:pPr>
    </w:p>
    <w:p w:rsidR="00E83A90" w:rsidRPr="00FB5F0C" w:rsidRDefault="00E83A90" w:rsidP="00E83A90">
      <w:pPr>
        <w:pStyle w:val="ListParagraph"/>
        <w:numPr>
          <w:ilvl w:val="0"/>
          <w:numId w:val="50"/>
        </w:numPr>
        <w:suppressAutoHyphens w:val="0"/>
        <w:overflowPunct/>
        <w:autoSpaceDE/>
        <w:spacing w:after="200" w:line="276" w:lineRule="auto"/>
        <w:contextualSpacing/>
        <w:textAlignment w:val="auto"/>
        <w:rPr>
          <w:rFonts w:asciiTheme="minorHAnsi" w:hAnsiTheme="minorHAnsi" w:cstheme="minorHAnsi"/>
          <w:b/>
          <w:szCs w:val="22"/>
        </w:rPr>
      </w:pPr>
      <w:r w:rsidRPr="00FB5F0C">
        <w:rPr>
          <w:rFonts w:asciiTheme="minorHAnsi" w:hAnsiTheme="minorHAnsi" w:cstheme="minorHAnsi"/>
          <w:b/>
          <w:szCs w:val="22"/>
        </w:rPr>
        <w:t xml:space="preserve">Council Performance </w:t>
      </w:r>
    </w:p>
    <w:p w:rsidR="00E83A90" w:rsidRPr="006C41B6" w:rsidRDefault="00E83A90" w:rsidP="008C053A">
      <w:pPr>
        <w:spacing w:before="240" w:line="23" w:lineRule="atLeast"/>
        <w:rPr>
          <w:rFonts w:asciiTheme="minorHAnsi" w:hAnsiTheme="minorHAnsi" w:cstheme="minorHAnsi"/>
          <w:b/>
          <w:sz w:val="22"/>
          <w:szCs w:val="22"/>
        </w:rPr>
      </w:pPr>
      <w:r w:rsidRPr="006C41B6">
        <w:rPr>
          <w:rFonts w:asciiTheme="minorHAnsi" w:hAnsiTheme="minorHAnsi" w:cstheme="minorHAnsi"/>
          <w:b/>
          <w:sz w:val="22"/>
          <w:szCs w:val="22"/>
        </w:rPr>
        <w:t>Corporate Plan</w:t>
      </w:r>
      <w:r w:rsidRPr="006C41B6">
        <w:rPr>
          <w:rFonts w:asciiTheme="minorHAnsi" w:hAnsiTheme="minorHAnsi" w:cstheme="minorHAnsi"/>
          <w:b/>
          <w:sz w:val="22"/>
          <w:szCs w:val="22"/>
        </w:rPr>
        <w:br/>
      </w:r>
    </w:p>
    <w:p w:rsidR="00E83A90" w:rsidRPr="006C41B6" w:rsidRDefault="00E83A90" w:rsidP="008C053A">
      <w:pPr>
        <w:spacing w:line="23" w:lineRule="atLeast"/>
        <w:rPr>
          <w:rFonts w:asciiTheme="minorHAnsi" w:hAnsiTheme="minorHAnsi" w:cstheme="minorHAnsi"/>
          <w:sz w:val="22"/>
          <w:szCs w:val="22"/>
        </w:rPr>
      </w:pPr>
      <w:r w:rsidRPr="006C41B6">
        <w:rPr>
          <w:rFonts w:asciiTheme="minorHAnsi" w:hAnsiTheme="minorHAnsi" w:cstheme="minorHAnsi"/>
          <w:sz w:val="22"/>
          <w:szCs w:val="22"/>
        </w:rPr>
        <w:t>Our Corporate Plan sets out our vision, key priorities and objectives for the council, and the key projects to be achieved are set out in our detailed Service Plans, both the Corporate Plan and the Service Plans are</w:t>
      </w:r>
      <w:r w:rsidR="00140072">
        <w:rPr>
          <w:rFonts w:asciiTheme="minorHAnsi" w:hAnsiTheme="minorHAnsi" w:cstheme="minorHAnsi"/>
          <w:sz w:val="22"/>
          <w:szCs w:val="22"/>
        </w:rPr>
        <w:t xml:space="preserve"> usually</w:t>
      </w:r>
      <w:r w:rsidRPr="006C41B6">
        <w:rPr>
          <w:rFonts w:asciiTheme="minorHAnsi" w:hAnsiTheme="minorHAnsi" w:cstheme="minorHAnsi"/>
          <w:sz w:val="22"/>
          <w:szCs w:val="22"/>
        </w:rPr>
        <w:t xml:space="preserve"> reviewed annually. The</w:t>
      </w:r>
      <w:r w:rsidR="00140072">
        <w:rPr>
          <w:rFonts w:asciiTheme="minorHAnsi" w:hAnsiTheme="minorHAnsi" w:cstheme="minorHAnsi"/>
          <w:sz w:val="22"/>
          <w:szCs w:val="22"/>
        </w:rPr>
        <w:t xml:space="preserve"> current</w:t>
      </w:r>
      <w:r w:rsidRPr="006C41B6">
        <w:rPr>
          <w:rFonts w:asciiTheme="minorHAnsi" w:hAnsiTheme="minorHAnsi" w:cstheme="minorHAnsi"/>
          <w:sz w:val="22"/>
          <w:szCs w:val="22"/>
        </w:rPr>
        <w:t xml:space="preserve"> full Corporate Plan is available at </w:t>
      </w:r>
      <w:hyperlink r:id="rId19" w:history="1">
        <w:r w:rsidRPr="006C41B6">
          <w:rPr>
            <w:rFonts w:asciiTheme="minorHAnsi" w:hAnsiTheme="minorHAnsi" w:cstheme="minorHAnsi"/>
            <w:color w:val="0000FF" w:themeColor="hyperlink"/>
            <w:sz w:val="22"/>
            <w:szCs w:val="22"/>
            <w:u w:val="single"/>
          </w:rPr>
          <w:t>http://www.chichester.gov.uk/corporateplan</w:t>
        </w:r>
      </w:hyperlink>
      <w:r w:rsidRPr="006C41B6">
        <w:rPr>
          <w:rFonts w:asciiTheme="minorHAnsi" w:hAnsiTheme="minorHAnsi" w:cstheme="minorHAnsi"/>
          <w:sz w:val="22"/>
          <w:szCs w:val="22"/>
        </w:rPr>
        <w:t xml:space="preserve"> </w:t>
      </w:r>
      <w:r>
        <w:rPr>
          <w:rFonts w:asciiTheme="minorHAnsi" w:hAnsiTheme="minorHAnsi" w:cstheme="minorHAnsi"/>
          <w:sz w:val="22"/>
          <w:szCs w:val="22"/>
        </w:rPr>
        <w:t>.</w:t>
      </w:r>
      <w:r w:rsidR="00140072">
        <w:rPr>
          <w:rFonts w:asciiTheme="minorHAnsi" w:hAnsiTheme="minorHAnsi" w:cstheme="minorHAnsi"/>
          <w:sz w:val="22"/>
          <w:szCs w:val="22"/>
        </w:rPr>
        <w:t xml:space="preserve"> I</w:t>
      </w:r>
      <w:r w:rsidR="00140072" w:rsidRPr="00140072">
        <w:rPr>
          <w:rFonts w:asciiTheme="minorHAnsi" w:hAnsiTheme="minorHAnsi" w:cstheme="minorHAnsi"/>
          <w:sz w:val="22"/>
          <w:szCs w:val="22"/>
        </w:rPr>
        <w:t>n 2020 the review of the corp</w:t>
      </w:r>
      <w:r w:rsidR="00140072">
        <w:rPr>
          <w:rFonts w:asciiTheme="minorHAnsi" w:hAnsiTheme="minorHAnsi" w:cstheme="minorHAnsi"/>
          <w:sz w:val="22"/>
          <w:szCs w:val="22"/>
        </w:rPr>
        <w:t xml:space="preserve">orate </w:t>
      </w:r>
      <w:r w:rsidR="00140072" w:rsidRPr="00140072">
        <w:rPr>
          <w:rFonts w:asciiTheme="minorHAnsi" w:hAnsiTheme="minorHAnsi" w:cstheme="minorHAnsi"/>
          <w:sz w:val="22"/>
          <w:szCs w:val="22"/>
        </w:rPr>
        <w:t xml:space="preserve">plan has been deferred while the council instead focuses on </w:t>
      </w:r>
      <w:r w:rsidR="00140072">
        <w:rPr>
          <w:rFonts w:asciiTheme="minorHAnsi" w:hAnsiTheme="minorHAnsi" w:cstheme="minorHAnsi"/>
          <w:sz w:val="22"/>
          <w:szCs w:val="22"/>
        </w:rPr>
        <w:t xml:space="preserve">its </w:t>
      </w:r>
      <w:r w:rsidR="00140072" w:rsidRPr="00140072">
        <w:rPr>
          <w:rFonts w:asciiTheme="minorHAnsi" w:hAnsiTheme="minorHAnsi" w:cstheme="minorHAnsi"/>
          <w:sz w:val="22"/>
          <w:szCs w:val="22"/>
        </w:rPr>
        <w:t>recovery phase following the COVID-19 pandemic.</w:t>
      </w:r>
    </w:p>
    <w:p w:rsidR="00E83A90" w:rsidRPr="006C41B6" w:rsidRDefault="00E83A90" w:rsidP="008C053A">
      <w:pPr>
        <w:keepNext/>
        <w:spacing w:line="23" w:lineRule="atLeast"/>
        <w:outlineLvl w:val="3"/>
        <w:rPr>
          <w:rFonts w:asciiTheme="minorHAnsi" w:hAnsiTheme="minorHAnsi" w:cstheme="minorHAnsi"/>
          <w:b/>
          <w:bCs/>
          <w:sz w:val="22"/>
          <w:szCs w:val="22"/>
        </w:rPr>
      </w:pPr>
      <w:r w:rsidRPr="006C41B6">
        <w:rPr>
          <w:rFonts w:asciiTheme="minorHAnsi" w:hAnsiTheme="minorHAnsi" w:cstheme="minorHAnsi"/>
          <w:b/>
          <w:bCs/>
          <w:sz w:val="22"/>
          <w:szCs w:val="22"/>
        </w:rPr>
        <w:br/>
        <w:t>Key Achievements</w:t>
      </w:r>
      <w:r w:rsidRPr="006C41B6">
        <w:rPr>
          <w:rFonts w:asciiTheme="minorHAnsi" w:hAnsiTheme="minorHAnsi" w:cstheme="minorHAnsi"/>
          <w:b/>
          <w:bCs/>
          <w:sz w:val="22"/>
          <w:szCs w:val="22"/>
        </w:rPr>
        <w:tab/>
      </w:r>
    </w:p>
    <w:p w:rsidR="00E83A90" w:rsidRPr="006C41B6" w:rsidRDefault="00E83A90" w:rsidP="008C053A">
      <w:pPr>
        <w:keepNext/>
        <w:spacing w:line="23" w:lineRule="atLeast"/>
        <w:outlineLvl w:val="3"/>
        <w:rPr>
          <w:rFonts w:asciiTheme="minorHAnsi" w:hAnsiTheme="minorHAnsi" w:cstheme="minorHAnsi"/>
          <w:b/>
          <w:bCs/>
          <w:sz w:val="22"/>
          <w:szCs w:val="22"/>
        </w:rPr>
      </w:pPr>
    </w:p>
    <w:p w:rsidR="00E83A90" w:rsidRPr="006C41B6" w:rsidRDefault="00E83A90" w:rsidP="008C053A">
      <w:pPr>
        <w:spacing w:line="23" w:lineRule="atLeast"/>
        <w:rPr>
          <w:rFonts w:asciiTheme="minorHAnsi" w:hAnsiTheme="minorHAnsi" w:cstheme="minorHAnsi"/>
          <w:sz w:val="22"/>
          <w:szCs w:val="22"/>
        </w:rPr>
      </w:pPr>
      <w:r w:rsidRPr="006C41B6">
        <w:rPr>
          <w:rFonts w:asciiTheme="minorHAnsi" w:hAnsiTheme="minorHAnsi" w:cstheme="minorHAnsi"/>
          <w:sz w:val="22"/>
          <w:szCs w:val="22"/>
        </w:rPr>
        <w:t>In order to achieve quality services whilst offering value for money</w:t>
      </w:r>
      <w:r>
        <w:rPr>
          <w:rFonts w:asciiTheme="minorHAnsi" w:hAnsiTheme="minorHAnsi" w:cstheme="minorHAnsi"/>
          <w:sz w:val="22"/>
          <w:szCs w:val="22"/>
        </w:rPr>
        <w:t>,</w:t>
      </w:r>
      <w:r w:rsidRPr="006C41B6">
        <w:rPr>
          <w:rFonts w:asciiTheme="minorHAnsi" w:hAnsiTheme="minorHAnsi" w:cstheme="minorHAnsi"/>
          <w:sz w:val="22"/>
          <w:szCs w:val="22"/>
        </w:rPr>
        <w:t xml:space="preserve"> we closely monitor our progress throughout the year to make sure that we deliver what we have said we will. Senior officers and Cabinet members regularly monitor key performance indicators and the progress of major projects. </w:t>
      </w:r>
      <w:r>
        <w:rPr>
          <w:rFonts w:asciiTheme="minorHAnsi" w:hAnsiTheme="minorHAnsi" w:cstheme="minorHAnsi"/>
          <w:sz w:val="22"/>
          <w:szCs w:val="22"/>
        </w:rPr>
        <w:t xml:space="preserve"> There were</w:t>
      </w:r>
      <w:r w:rsidRPr="006C41B6">
        <w:rPr>
          <w:rFonts w:asciiTheme="minorHAnsi" w:hAnsiTheme="minorHAnsi" w:cstheme="minorHAnsi"/>
          <w:sz w:val="22"/>
          <w:szCs w:val="22"/>
        </w:rPr>
        <w:t xml:space="preserve"> two Programme Boards that ensure</w:t>
      </w:r>
      <w:r>
        <w:rPr>
          <w:rFonts w:asciiTheme="minorHAnsi" w:hAnsiTheme="minorHAnsi" w:cstheme="minorHAnsi"/>
          <w:sz w:val="22"/>
          <w:szCs w:val="22"/>
        </w:rPr>
        <w:t xml:space="preserve">d the </w:t>
      </w:r>
      <w:r w:rsidRPr="006C41B6">
        <w:rPr>
          <w:rFonts w:asciiTheme="minorHAnsi" w:hAnsiTheme="minorHAnsi" w:cstheme="minorHAnsi"/>
          <w:sz w:val="22"/>
          <w:szCs w:val="22"/>
        </w:rPr>
        <w:t xml:space="preserve">delivery of </w:t>
      </w:r>
      <w:r>
        <w:rPr>
          <w:rFonts w:asciiTheme="minorHAnsi" w:hAnsiTheme="minorHAnsi" w:cstheme="minorHAnsi"/>
          <w:sz w:val="22"/>
          <w:szCs w:val="22"/>
        </w:rPr>
        <w:t xml:space="preserve">our key </w:t>
      </w:r>
      <w:r w:rsidRPr="006C41B6">
        <w:rPr>
          <w:rFonts w:asciiTheme="minorHAnsi" w:hAnsiTheme="minorHAnsi" w:cstheme="minorHAnsi"/>
          <w:sz w:val="22"/>
          <w:szCs w:val="22"/>
        </w:rPr>
        <w:t xml:space="preserve">projects and development of services </w:t>
      </w:r>
      <w:r>
        <w:rPr>
          <w:rFonts w:asciiTheme="minorHAnsi" w:hAnsiTheme="minorHAnsi" w:cstheme="minorHAnsi"/>
          <w:sz w:val="22"/>
          <w:szCs w:val="22"/>
        </w:rPr>
        <w:t>were</w:t>
      </w:r>
      <w:r w:rsidRPr="006C41B6">
        <w:rPr>
          <w:rFonts w:asciiTheme="minorHAnsi" w:hAnsiTheme="minorHAnsi" w:cstheme="minorHAnsi"/>
          <w:sz w:val="22"/>
          <w:szCs w:val="22"/>
        </w:rPr>
        <w:t xml:space="preserve"> kept on track in key areas of the council’s business, these </w:t>
      </w:r>
      <w:r>
        <w:rPr>
          <w:rFonts w:asciiTheme="minorHAnsi" w:hAnsiTheme="minorHAnsi" w:cstheme="minorHAnsi"/>
          <w:sz w:val="22"/>
          <w:szCs w:val="22"/>
        </w:rPr>
        <w:t>were</w:t>
      </w:r>
      <w:r w:rsidRPr="006C41B6">
        <w:rPr>
          <w:rFonts w:asciiTheme="minorHAnsi" w:hAnsiTheme="minorHAnsi" w:cstheme="minorHAnsi"/>
          <w:sz w:val="22"/>
          <w:szCs w:val="22"/>
        </w:rPr>
        <w:t>:</w:t>
      </w:r>
      <w:r w:rsidRPr="006C41B6">
        <w:rPr>
          <w:rFonts w:asciiTheme="minorHAnsi" w:hAnsiTheme="minorHAnsi" w:cstheme="minorHAnsi"/>
          <w:sz w:val="22"/>
          <w:szCs w:val="22"/>
        </w:rPr>
        <w:br/>
      </w:r>
    </w:p>
    <w:p w:rsidR="00E83A90" w:rsidRPr="006C41B6" w:rsidRDefault="00E83A90" w:rsidP="008C053A">
      <w:pPr>
        <w:numPr>
          <w:ilvl w:val="0"/>
          <w:numId w:val="53"/>
        </w:numPr>
        <w:spacing w:line="23" w:lineRule="atLeast"/>
        <w:ind w:left="0" w:firstLine="0"/>
        <w:contextualSpacing/>
        <w:rPr>
          <w:rFonts w:asciiTheme="minorHAnsi" w:eastAsia="Calibri" w:hAnsiTheme="minorHAnsi" w:cstheme="minorHAnsi"/>
          <w:sz w:val="22"/>
          <w:szCs w:val="22"/>
        </w:rPr>
      </w:pPr>
      <w:r w:rsidRPr="006C41B6">
        <w:rPr>
          <w:rFonts w:asciiTheme="minorHAnsi" w:eastAsia="Calibri" w:hAnsiTheme="minorHAnsi" w:cstheme="minorHAnsi"/>
          <w:sz w:val="22"/>
          <w:szCs w:val="22"/>
        </w:rPr>
        <w:t>The Commercial Programme Board</w:t>
      </w:r>
    </w:p>
    <w:p w:rsidR="00E83A90" w:rsidRPr="006C41B6" w:rsidRDefault="00E83A90" w:rsidP="008C053A">
      <w:pPr>
        <w:numPr>
          <w:ilvl w:val="0"/>
          <w:numId w:val="53"/>
        </w:numPr>
        <w:spacing w:line="23" w:lineRule="atLeast"/>
        <w:ind w:left="0" w:firstLine="0"/>
        <w:contextualSpacing/>
        <w:rPr>
          <w:rFonts w:asciiTheme="minorHAnsi" w:eastAsia="Calibri" w:hAnsiTheme="minorHAnsi" w:cstheme="minorHAnsi"/>
          <w:sz w:val="22"/>
          <w:szCs w:val="22"/>
        </w:rPr>
      </w:pPr>
      <w:r w:rsidRPr="006C41B6">
        <w:rPr>
          <w:rFonts w:asciiTheme="minorHAnsi" w:eastAsia="Calibri" w:hAnsiTheme="minorHAnsi" w:cstheme="minorHAnsi"/>
          <w:sz w:val="22"/>
          <w:szCs w:val="22"/>
        </w:rPr>
        <w:lastRenderedPageBreak/>
        <w:t>The Business Improvement Programme Board.</w:t>
      </w:r>
    </w:p>
    <w:p w:rsidR="00E83A90" w:rsidRPr="006C41B6" w:rsidRDefault="00E83A90" w:rsidP="008C053A">
      <w:pPr>
        <w:spacing w:line="23" w:lineRule="atLeast"/>
        <w:contextualSpacing/>
        <w:rPr>
          <w:rFonts w:asciiTheme="minorHAnsi" w:eastAsia="Calibri" w:hAnsiTheme="minorHAnsi" w:cstheme="minorHAnsi"/>
          <w:sz w:val="22"/>
          <w:szCs w:val="22"/>
        </w:rPr>
      </w:pPr>
    </w:p>
    <w:p w:rsidR="00E83A90" w:rsidRDefault="00E83A90" w:rsidP="008C053A">
      <w:pPr>
        <w:spacing w:after="240" w:line="23" w:lineRule="atLeast"/>
        <w:rPr>
          <w:rFonts w:asciiTheme="minorHAnsi" w:hAnsiTheme="minorHAnsi" w:cstheme="minorHAnsi"/>
          <w:sz w:val="22"/>
          <w:szCs w:val="22"/>
        </w:rPr>
      </w:pPr>
      <w:r>
        <w:rPr>
          <w:rFonts w:asciiTheme="minorHAnsi" w:hAnsiTheme="minorHAnsi" w:cstheme="minorHAnsi"/>
          <w:sz w:val="22"/>
          <w:szCs w:val="22"/>
        </w:rPr>
        <w:t xml:space="preserve">A number of </w:t>
      </w:r>
      <w:r w:rsidRPr="00AA0651">
        <w:rPr>
          <w:rFonts w:asciiTheme="minorHAnsi" w:hAnsiTheme="minorHAnsi" w:cstheme="minorHAnsi"/>
          <w:sz w:val="22"/>
          <w:szCs w:val="22"/>
        </w:rPr>
        <w:t xml:space="preserve">other groups </w:t>
      </w:r>
      <w:r>
        <w:rPr>
          <w:rFonts w:asciiTheme="minorHAnsi" w:hAnsiTheme="minorHAnsi" w:cstheme="minorHAnsi"/>
          <w:sz w:val="22"/>
          <w:szCs w:val="22"/>
        </w:rPr>
        <w:t xml:space="preserve">consider major infrastructure aspects in the district this includes the </w:t>
      </w:r>
      <w:r w:rsidRPr="00AA0651">
        <w:rPr>
          <w:rFonts w:asciiTheme="minorHAnsi" w:hAnsiTheme="minorHAnsi" w:cstheme="minorHAnsi"/>
          <w:sz w:val="22"/>
          <w:szCs w:val="22"/>
        </w:rPr>
        <w:t>Chichester Growth Board, D</w:t>
      </w:r>
      <w:r>
        <w:rPr>
          <w:rFonts w:asciiTheme="minorHAnsi" w:hAnsiTheme="minorHAnsi" w:cstheme="minorHAnsi"/>
          <w:sz w:val="22"/>
          <w:szCs w:val="22"/>
        </w:rPr>
        <w:t xml:space="preserve">evelopment </w:t>
      </w:r>
      <w:r w:rsidRPr="00AA0651">
        <w:rPr>
          <w:rFonts w:asciiTheme="minorHAnsi" w:hAnsiTheme="minorHAnsi" w:cstheme="minorHAnsi"/>
          <w:sz w:val="22"/>
          <w:szCs w:val="22"/>
        </w:rPr>
        <w:t>P</w:t>
      </w:r>
      <w:r>
        <w:rPr>
          <w:rFonts w:asciiTheme="minorHAnsi" w:hAnsiTheme="minorHAnsi" w:cstheme="minorHAnsi"/>
          <w:sz w:val="22"/>
          <w:szCs w:val="22"/>
        </w:rPr>
        <w:t xml:space="preserve">lan and </w:t>
      </w:r>
      <w:r w:rsidRPr="00AA0651">
        <w:rPr>
          <w:rFonts w:asciiTheme="minorHAnsi" w:hAnsiTheme="minorHAnsi" w:cstheme="minorHAnsi"/>
          <w:sz w:val="22"/>
          <w:szCs w:val="22"/>
        </w:rPr>
        <w:t>I</w:t>
      </w:r>
      <w:r>
        <w:rPr>
          <w:rFonts w:asciiTheme="minorHAnsi" w:hAnsiTheme="minorHAnsi" w:cstheme="minorHAnsi"/>
          <w:sz w:val="22"/>
          <w:szCs w:val="22"/>
        </w:rPr>
        <w:t xml:space="preserve">nfrastructure </w:t>
      </w:r>
      <w:r w:rsidRPr="00AA0651">
        <w:rPr>
          <w:rFonts w:asciiTheme="minorHAnsi" w:hAnsiTheme="minorHAnsi" w:cstheme="minorHAnsi"/>
          <w:sz w:val="22"/>
          <w:szCs w:val="22"/>
        </w:rPr>
        <w:t>P</w:t>
      </w:r>
      <w:r>
        <w:rPr>
          <w:rFonts w:asciiTheme="minorHAnsi" w:hAnsiTheme="minorHAnsi" w:cstheme="minorHAnsi"/>
          <w:sz w:val="22"/>
          <w:szCs w:val="22"/>
        </w:rPr>
        <w:t>anel (DPIP)</w:t>
      </w:r>
      <w:r w:rsidRPr="00AA0651">
        <w:rPr>
          <w:rFonts w:asciiTheme="minorHAnsi" w:hAnsiTheme="minorHAnsi" w:cstheme="minorHAnsi"/>
          <w:sz w:val="22"/>
          <w:szCs w:val="22"/>
        </w:rPr>
        <w:t xml:space="preserve"> and Chichester Vision Steering Group.</w:t>
      </w:r>
      <w:r w:rsidRPr="006C41B6">
        <w:rPr>
          <w:rFonts w:asciiTheme="minorHAnsi" w:hAnsiTheme="minorHAnsi" w:cstheme="minorHAnsi"/>
          <w:sz w:val="22"/>
          <w:szCs w:val="22"/>
        </w:rPr>
        <w:t xml:space="preserve"> </w:t>
      </w:r>
    </w:p>
    <w:p w:rsidR="00E83A90" w:rsidRPr="006C41B6" w:rsidRDefault="00E83A90" w:rsidP="008C053A">
      <w:pPr>
        <w:spacing w:after="240" w:line="23" w:lineRule="atLeast"/>
        <w:rPr>
          <w:rFonts w:asciiTheme="minorHAnsi" w:hAnsiTheme="minorHAnsi" w:cstheme="minorHAnsi"/>
          <w:sz w:val="22"/>
          <w:szCs w:val="22"/>
        </w:rPr>
      </w:pPr>
      <w:r w:rsidRPr="006C41B6">
        <w:rPr>
          <w:rFonts w:asciiTheme="minorHAnsi" w:hAnsiTheme="minorHAnsi" w:cstheme="minorHAnsi"/>
          <w:sz w:val="22"/>
          <w:szCs w:val="22"/>
        </w:rPr>
        <w:t xml:space="preserve">A detailed outline of the council’s key achievements each year are published annually in the Annual Report which can be found </w:t>
      </w:r>
      <w:hyperlink r:id="rId20" w:history="1">
        <w:r w:rsidRPr="006C41B6">
          <w:rPr>
            <w:rFonts w:asciiTheme="minorHAnsi" w:hAnsiTheme="minorHAnsi" w:cstheme="minorHAnsi"/>
            <w:color w:val="0000FF" w:themeColor="hyperlink"/>
            <w:sz w:val="22"/>
            <w:szCs w:val="22"/>
            <w:u w:val="single"/>
          </w:rPr>
          <w:t>http://www.chichester.gov.uk/corporateplan</w:t>
        </w:r>
      </w:hyperlink>
    </w:p>
    <w:p w:rsidR="00E83A90" w:rsidRPr="008C053A" w:rsidRDefault="00E83A90" w:rsidP="00E83A90">
      <w:pPr>
        <w:pStyle w:val="ListParagraph"/>
        <w:numPr>
          <w:ilvl w:val="0"/>
          <w:numId w:val="50"/>
        </w:numPr>
        <w:suppressAutoHyphens w:val="0"/>
        <w:overflowPunct/>
        <w:autoSpaceDE/>
        <w:spacing w:after="200" w:line="276" w:lineRule="auto"/>
        <w:contextualSpacing/>
        <w:textAlignment w:val="auto"/>
        <w:rPr>
          <w:rFonts w:asciiTheme="minorHAnsi" w:hAnsiTheme="minorHAnsi" w:cstheme="minorHAnsi"/>
          <w:b/>
          <w:szCs w:val="22"/>
        </w:rPr>
      </w:pPr>
      <w:r w:rsidRPr="008C053A">
        <w:rPr>
          <w:rFonts w:asciiTheme="minorHAnsi" w:hAnsiTheme="minorHAnsi" w:cstheme="minorHAnsi"/>
          <w:b/>
          <w:szCs w:val="22"/>
        </w:rPr>
        <w:t>Current Financial performance</w:t>
      </w:r>
    </w:p>
    <w:p w:rsidR="00E83A90" w:rsidRDefault="00E83A90" w:rsidP="008C053A">
      <w:pPr>
        <w:rPr>
          <w:rFonts w:asciiTheme="minorHAnsi" w:hAnsiTheme="minorHAnsi" w:cstheme="minorHAnsi"/>
          <w:sz w:val="22"/>
          <w:szCs w:val="22"/>
        </w:rPr>
      </w:pPr>
      <w:r w:rsidRPr="006C41B6">
        <w:rPr>
          <w:rFonts w:asciiTheme="minorHAnsi" w:hAnsiTheme="minorHAnsi" w:cstheme="minorHAnsi"/>
          <w:sz w:val="22"/>
          <w:szCs w:val="22"/>
        </w:rPr>
        <w:t>The Council set a balanced budget for 201</w:t>
      </w:r>
      <w:r>
        <w:rPr>
          <w:rFonts w:asciiTheme="minorHAnsi" w:hAnsiTheme="minorHAnsi" w:cstheme="minorHAnsi"/>
          <w:sz w:val="22"/>
          <w:szCs w:val="22"/>
        </w:rPr>
        <w:t>9</w:t>
      </w:r>
      <w:r w:rsidRPr="006C41B6">
        <w:rPr>
          <w:rFonts w:asciiTheme="minorHAnsi" w:hAnsiTheme="minorHAnsi" w:cstheme="minorHAnsi"/>
          <w:sz w:val="22"/>
          <w:szCs w:val="22"/>
        </w:rPr>
        <w:t>-</w:t>
      </w:r>
      <w:r>
        <w:rPr>
          <w:rFonts w:asciiTheme="minorHAnsi" w:hAnsiTheme="minorHAnsi" w:cstheme="minorHAnsi"/>
          <w:sz w:val="22"/>
          <w:szCs w:val="22"/>
        </w:rPr>
        <w:t>20</w:t>
      </w:r>
      <w:r w:rsidRPr="006C41B6">
        <w:rPr>
          <w:rFonts w:asciiTheme="minorHAnsi" w:hAnsiTheme="minorHAnsi" w:cstheme="minorHAnsi"/>
          <w:sz w:val="22"/>
          <w:szCs w:val="22"/>
        </w:rPr>
        <w:t xml:space="preserve"> on </w:t>
      </w:r>
      <w:r>
        <w:rPr>
          <w:rFonts w:asciiTheme="minorHAnsi" w:hAnsiTheme="minorHAnsi" w:cstheme="minorHAnsi"/>
          <w:sz w:val="22"/>
          <w:szCs w:val="22"/>
        </w:rPr>
        <w:t>5</w:t>
      </w:r>
      <w:r w:rsidRPr="006C41B6">
        <w:rPr>
          <w:rFonts w:asciiTheme="minorHAnsi" w:hAnsiTheme="minorHAnsi" w:cstheme="minorHAnsi"/>
          <w:sz w:val="22"/>
          <w:szCs w:val="22"/>
        </w:rPr>
        <w:t xml:space="preserve"> March 201</w:t>
      </w:r>
      <w:r>
        <w:rPr>
          <w:rFonts w:asciiTheme="minorHAnsi" w:hAnsiTheme="minorHAnsi" w:cstheme="minorHAnsi"/>
          <w:sz w:val="22"/>
          <w:szCs w:val="22"/>
        </w:rPr>
        <w:t>9,</w:t>
      </w:r>
      <w:r w:rsidRPr="006C41B6">
        <w:rPr>
          <w:rFonts w:asciiTheme="minorHAnsi" w:hAnsiTheme="minorHAnsi" w:cstheme="minorHAnsi"/>
          <w:sz w:val="22"/>
          <w:szCs w:val="22"/>
        </w:rPr>
        <w:t xml:space="preserve"> again without using its reserves or New Homes Bonus (NHB) Government funding.  The </w:t>
      </w:r>
      <w:r w:rsidRPr="006C2755">
        <w:rPr>
          <w:rFonts w:asciiTheme="minorHAnsi" w:hAnsiTheme="minorHAnsi" w:cstheme="minorHAnsi"/>
          <w:sz w:val="22"/>
          <w:szCs w:val="22"/>
        </w:rPr>
        <w:t xml:space="preserve">Council accepted a </w:t>
      </w:r>
      <w:proofErr w:type="gramStart"/>
      <w:r w:rsidRPr="006C2755">
        <w:rPr>
          <w:rFonts w:asciiTheme="minorHAnsi" w:hAnsiTheme="minorHAnsi" w:cstheme="minorHAnsi"/>
          <w:sz w:val="22"/>
          <w:szCs w:val="22"/>
        </w:rPr>
        <w:t>four year</w:t>
      </w:r>
      <w:proofErr w:type="gramEnd"/>
      <w:r w:rsidRPr="006C2755">
        <w:rPr>
          <w:rFonts w:asciiTheme="minorHAnsi" w:hAnsiTheme="minorHAnsi" w:cstheme="minorHAnsi"/>
          <w:sz w:val="22"/>
          <w:szCs w:val="22"/>
        </w:rPr>
        <w:t xml:space="preserve"> funding offer from Government to help provide some degree of certainty covering the period 2016-17 to 2019-20; the 2019-20 Budget </w:t>
      </w:r>
      <w:r>
        <w:rPr>
          <w:rFonts w:asciiTheme="minorHAnsi" w:hAnsiTheme="minorHAnsi" w:cstheme="minorHAnsi"/>
          <w:sz w:val="22"/>
          <w:szCs w:val="22"/>
        </w:rPr>
        <w:t xml:space="preserve">was </w:t>
      </w:r>
      <w:r w:rsidRPr="006C2755">
        <w:rPr>
          <w:rFonts w:asciiTheme="minorHAnsi" w:hAnsiTheme="minorHAnsi" w:cstheme="minorHAnsi"/>
          <w:sz w:val="22"/>
          <w:szCs w:val="22"/>
        </w:rPr>
        <w:t>the final year of th</w:t>
      </w:r>
      <w:r>
        <w:rPr>
          <w:rFonts w:asciiTheme="minorHAnsi" w:hAnsiTheme="minorHAnsi" w:cstheme="minorHAnsi"/>
          <w:sz w:val="22"/>
          <w:szCs w:val="22"/>
        </w:rPr>
        <w:t>at</w:t>
      </w:r>
      <w:r w:rsidRPr="006C2755">
        <w:rPr>
          <w:rFonts w:asciiTheme="minorHAnsi" w:hAnsiTheme="minorHAnsi" w:cstheme="minorHAnsi"/>
          <w:sz w:val="22"/>
          <w:szCs w:val="22"/>
        </w:rPr>
        <w:t xml:space="preserve"> agreement</w:t>
      </w:r>
      <w:r>
        <w:rPr>
          <w:rFonts w:asciiTheme="minorHAnsi" w:hAnsiTheme="minorHAnsi" w:cstheme="minorHAnsi"/>
          <w:sz w:val="22"/>
          <w:szCs w:val="22"/>
        </w:rPr>
        <w:t>.</w:t>
      </w:r>
    </w:p>
    <w:p w:rsidR="00E83A90" w:rsidRPr="006C41B6" w:rsidRDefault="00E83A90" w:rsidP="008C053A">
      <w:pPr>
        <w:rPr>
          <w:rFonts w:asciiTheme="minorHAnsi" w:hAnsiTheme="minorHAnsi" w:cstheme="minorHAnsi"/>
          <w:sz w:val="22"/>
          <w:szCs w:val="22"/>
        </w:rPr>
      </w:pPr>
    </w:p>
    <w:p w:rsidR="00E83A90" w:rsidRDefault="00E83A90" w:rsidP="008C053A">
      <w:pPr>
        <w:rPr>
          <w:rFonts w:asciiTheme="minorHAnsi" w:hAnsiTheme="minorHAnsi" w:cstheme="minorHAnsi"/>
          <w:sz w:val="22"/>
          <w:szCs w:val="22"/>
        </w:rPr>
      </w:pPr>
      <w:r>
        <w:rPr>
          <w:rFonts w:asciiTheme="minorHAnsi" w:hAnsiTheme="minorHAnsi" w:cstheme="minorHAnsi"/>
          <w:sz w:val="22"/>
          <w:szCs w:val="22"/>
        </w:rPr>
        <w:t xml:space="preserve">During 2019-20 the Council participated in </w:t>
      </w:r>
      <w:r w:rsidRPr="006C2755">
        <w:rPr>
          <w:rFonts w:asciiTheme="minorHAnsi" w:hAnsiTheme="minorHAnsi" w:cstheme="minorHAnsi"/>
          <w:sz w:val="22"/>
          <w:szCs w:val="22"/>
        </w:rPr>
        <w:t xml:space="preserve">the West Sussex </w:t>
      </w:r>
      <w:r>
        <w:rPr>
          <w:rFonts w:asciiTheme="minorHAnsi" w:hAnsiTheme="minorHAnsi" w:cstheme="minorHAnsi"/>
          <w:sz w:val="22"/>
          <w:szCs w:val="22"/>
        </w:rPr>
        <w:t xml:space="preserve">Business Rates </w:t>
      </w:r>
      <w:r w:rsidRPr="006C2755">
        <w:rPr>
          <w:rFonts w:asciiTheme="minorHAnsi" w:hAnsiTheme="minorHAnsi" w:cstheme="minorHAnsi"/>
          <w:sz w:val="22"/>
          <w:szCs w:val="22"/>
        </w:rPr>
        <w:t xml:space="preserve">Pool </w:t>
      </w:r>
      <w:r>
        <w:rPr>
          <w:rFonts w:asciiTheme="minorHAnsi" w:hAnsiTheme="minorHAnsi" w:cstheme="minorHAnsi"/>
          <w:sz w:val="22"/>
          <w:szCs w:val="22"/>
        </w:rPr>
        <w:t xml:space="preserve">which was approved by Government for one year only for </w:t>
      </w:r>
      <w:r w:rsidRPr="006C2755">
        <w:rPr>
          <w:rFonts w:asciiTheme="minorHAnsi" w:hAnsiTheme="minorHAnsi" w:cstheme="minorHAnsi"/>
          <w:sz w:val="22"/>
          <w:szCs w:val="22"/>
        </w:rPr>
        <w:t>a 75% localisation Business Rates Pilot</w:t>
      </w:r>
      <w:r>
        <w:rPr>
          <w:rFonts w:asciiTheme="minorHAnsi" w:hAnsiTheme="minorHAnsi" w:cstheme="minorHAnsi"/>
          <w:sz w:val="22"/>
          <w:szCs w:val="22"/>
        </w:rPr>
        <w:t xml:space="preserve"> which meant that </w:t>
      </w:r>
      <w:r w:rsidRPr="006C2755">
        <w:rPr>
          <w:rFonts w:asciiTheme="minorHAnsi" w:hAnsiTheme="minorHAnsi" w:cstheme="minorHAnsi"/>
          <w:sz w:val="22"/>
          <w:szCs w:val="22"/>
        </w:rPr>
        <w:t xml:space="preserve">the Rural Services Delivery Grant </w:t>
      </w:r>
      <w:r>
        <w:rPr>
          <w:rFonts w:asciiTheme="minorHAnsi" w:hAnsiTheme="minorHAnsi" w:cstheme="minorHAnsi"/>
          <w:sz w:val="22"/>
          <w:szCs w:val="22"/>
        </w:rPr>
        <w:t>wa</w:t>
      </w:r>
      <w:r w:rsidRPr="006C2755">
        <w:rPr>
          <w:rFonts w:asciiTheme="minorHAnsi" w:hAnsiTheme="minorHAnsi" w:cstheme="minorHAnsi"/>
          <w:sz w:val="22"/>
          <w:szCs w:val="22"/>
        </w:rPr>
        <w:t>s</w:t>
      </w:r>
      <w:r>
        <w:rPr>
          <w:rFonts w:asciiTheme="minorHAnsi" w:hAnsiTheme="minorHAnsi" w:cstheme="minorHAnsi"/>
          <w:sz w:val="22"/>
          <w:szCs w:val="22"/>
        </w:rPr>
        <w:t xml:space="preserve"> </w:t>
      </w:r>
      <w:r w:rsidRPr="006C2755">
        <w:rPr>
          <w:rFonts w:asciiTheme="minorHAnsi" w:hAnsiTheme="minorHAnsi" w:cstheme="minorHAnsi"/>
          <w:sz w:val="22"/>
          <w:szCs w:val="22"/>
        </w:rPr>
        <w:t>included in the Baseline Funding Level (BFL)</w:t>
      </w:r>
      <w:r>
        <w:rPr>
          <w:rFonts w:asciiTheme="minorHAnsi" w:hAnsiTheme="minorHAnsi" w:cstheme="minorHAnsi"/>
          <w:sz w:val="22"/>
          <w:szCs w:val="22"/>
        </w:rPr>
        <w:t xml:space="preserve">.  </w:t>
      </w:r>
      <w:r w:rsidR="00DA1221">
        <w:rPr>
          <w:rFonts w:asciiTheme="minorHAnsi" w:hAnsiTheme="minorHAnsi" w:cstheme="minorHAnsi"/>
          <w:sz w:val="22"/>
          <w:szCs w:val="22"/>
        </w:rPr>
        <w:t xml:space="preserve">In </w:t>
      </w:r>
      <w:r>
        <w:rPr>
          <w:rFonts w:asciiTheme="minorHAnsi" w:hAnsiTheme="minorHAnsi" w:cstheme="minorHAnsi"/>
          <w:sz w:val="22"/>
          <w:szCs w:val="22"/>
        </w:rPr>
        <w:t xml:space="preserve">budget setting the </w:t>
      </w:r>
      <w:r w:rsidRPr="007E11F2">
        <w:rPr>
          <w:rFonts w:asciiTheme="minorHAnsi" w:hAnsiTheme="minorHAnsi" w:cstheme="minorHAnsi"/>
          <w:sz w:val="22"/>
          <w:szCs w:val="22"/>
        </w:rPr>
        <w:t xml:space="preserve">Council </w:t>
      </w:r>
      <w:r>
        <w:rPr>
          <w:rFonts w:asciiTheme="minorHAnsi" w:hAnsiTheme="minorHAnsi" w:cstheme="minorHAnsi"/>
          <w:sz w:val="22"/>
          <w:szCs w:val="22"/>
        </w:rPr>
        <w:t xml:space="preserve">was already </w:t>
      </w:r>
      <w:r w:rsidRPr="007E11F2">
        <w:rPr>
          <w:rFonts w:asciiTheme="minorHAnsi" w:hAnsiTheme="minorHAnsi" w:cstheme="minorHAnsi"/>
          <w:sz w:val="22"/>
          <w:szCs w:val="22"/>
        </w:rPr>
        <w:t xml:space="preserve">witnessing </w:t>
      </w:r>
      <w:r>
        <w:rPr>
          <w:rFonts w:asciiTheme="minorHAnsi" w:hAnsiTheme="minorHAnsi" w:cstheme="minorHAnsi"/>
          <w:sz w:val="22"/>
          <w:szCs w:val="22"/>
        </w:rPr>
        <w:t xml:space="preserve">the </w:t>
      </w:r>
      <w:r w:rsidRPr="007E11F2">
        <w:rPr>
          <w:rFonts w:asciiTheme="minorHAnsi" w:hAnsiTheme="minorHAnsi" w:cstheme="minorHAnsi"/>
          <w:sz w:val="22"/>
          <w:szCs w:val="22"/>
        </w:rPr>
        <w:t xml:space="preserve">deterioration in some income streams in </w:t>
      </w:r>
      <w:r w:rsidR="00DA1221">
        <w:rPr>
          <w:rFonts w:asciiTheme="minorHAnsi" w:hAnsiTheme="minorHAnsi" w:cstheme="minorHAnsi"/>
          <w:sz w:val="22"/>
          <w:szCs w:val="22"/>
        </w:rPr>
        <w:t xml:space="preserve">the financial year </w:t>
      </w:r>
      <w:r>
        <w:rPr>
          <w:rFonts w:asciiTheme="minorHAnsi" w:hAnsiTheme="minorHAnsi" w:cstheme="minorHAnsi"/>
          <w:sz w:val="22"/>
          <w:szCs w:val="22"/>
        </w:rPr>
        <w:t>2018-19</w:t>
      </w:r>
      <w:r w:rsidRPr="007E11F2">
        <w:rPr>
          <w:rFonts w:asciiTheme="minorHAnsi" w:hAnsiTheme="minorHAnsi" w:cstheme="minorHAnsi"/>
          <w:sz w:val="22"/>
          <w:szCs w:val="22"/>
        </w:rPr>
        <w:t>, especially in relation to car parking and planning fees. To</w:t>
      </w:r>
      <w:r>
        <w:rPr>
          <w:rFonts w:asciiTheme="minorHAnsi" w:hAnsiTheme="minorHAnsi" w:cstheme="minorHAnsi"/>
          <w:sz w:val="22"/>
          <w:szCs w:val="22"/>
        </w:rPr>
        <w:t xml:space="preserve"> mitigate this risk the income forecasts were adjusted downwards for 2019-20 however, the Council’s five year financial model was still able to demonstrate</w:t>
      </w:r>
      <w:r w:rsidRPr="007E11F2">
        <w:rPr>
          <w:rFonts w:asciiTheme="minorHAnsi" w:hAnsiTheme="minorHAnsi" w:cstheme="minorHAnsi"/>
          <w:sz w:val="22"/>
          <w:szCs w:val="22"/>
        </w:rPr>
        <w:t xml:space="preserve"> a balanced budget at the end of year </w:t>
      </w:r>
      <w:r>
        <w:rPr>
          <w:rFonts w:asciiTheme="minorHAnsi" w:hAnsiTheme="minorHAnsi" w:cstheme="minorHAnsi"/>
          <w:sz w:val="22"/>
          <w:szCs w:val="22"/>
        </w:rPr>
        <w:t xml:space="preserve">5. Although there was </w:t>
      </w:r>
      <w:r w:rsidRPr="007E11F2">
        <w:rPr>
          <w:rFonts w:asciiTheme="minorHAnsi" w:hAnsiTheme="minorHAnsi" w:cstheme="minorHAnsi"/>
          <w:sz w:val="22"/>
          <w:szCs w:val="22"/>
        </w:rPr>
        <w:t>a relatively small deficit in year 4 that need</w:t>
      </w:r>
      <w:r>
        <w:rPr>
          <w:rFonts w:asciiTheme="minorHAnsi" w:hAnsiTheme="minorHAnsi" w:cstheme="minorHAnsi"/>
          <w:sz w:val="22"/>
          <w:szCs w:val="22"/>
        </w:rPr>
        <w:t>ed</w:t>
      </w:r>
      <w:r w:rsidRPr="007E11F2">
        <w:rPr>
          <w:rFonts w:asciiTheme="minorHAnsi" w:hAnsiTheme="minorHAnsi" w:cstheme="minorHAnsi"/>
          <w:sz w:val="22"/>
          <w:szCs w:val="22"/>
        </w:rPr>
        <w:t xml:space="preserve"> to be considered along with the delivery of the outstanding items of the agreed 2016 deficit reduction plan, the assumptions used for the forecasts, and the impact of the other uncertainties </w:t>
      </w:r>
      <w:r>
        <w:rPr>
          <w:rFonts w:asciiTheme="minorHAnsi" w:hAnsiTheme="minorHAnsi" w:cstheme="minorHAnsi"/>
          <w:sz w:val="22"/>
          <w:szCs w:val="22"/>
        </w:rPr>
        <w:t xml:space="preserve">were </w:t>
      </w:r>
      <w:r w:rsidRPr="007E11F2">
        <w:rPr>
          <w:rFonts w:asciiTheme="minorHAnsi" w:hAnsiTheme="minorHAnsi" w:cstheme="minorHAnsi"/>
          <w:sz w:val="22"/>
          <w:szCs w:val="22"/>
        </w:rPr>
        <w:t>set out in the Financial Strategy</w:t>
      </w:r>
      <w:r>
        <w:rPr>
          <w:rFonts w:asciiTheme="minorHAnsi" w:hAnsiTheme="minorHAnsi" w:cstheme="minorHAnsi"/>
          <w:sz w:val="22"/>
          <w:szCs w:val="22"/>
        </w:rPr>
        <w:t xml:space="preserve"> reported to Council January 2019</w:t>
      </w:r>
      <w:r w:rsidRPr="007E11F2">
        <w:rPr>
          <w:rFonts w:asciiTheme="minorHAnsi" w:hAnsiTheme="minorHAnsi" w:cstheme="minorHAnsi"/>
          <w:sz w:val="22"/>
          <w:szCs w:val="22"/>
        </w:rPr>
        <w:t>.</w:t>
      </w:r>
      <w:r>
        <w:rPr>
          <w:rFonts w:asciiTheme="minorHAnsi" w:hAnsiTheme="minorHAnsi" w:cstheme="minorHAnsi"/>
          <w:sz w:val="22"/>
          <w:szCs w:val="22"/>
        </w:rPr>
        <w:t xml:space="preserve"> </w:t>
      </w:r>
    </w:p>
    <w:p w:rsidR="00E83A90" w:rsidRPr="006C41B6" w:rsidRDefault="00E83A90" w:rsidP="008C053A">
      <w:pPr>
        <w:rPr>
          <w:rFonts w:asciiTheme="minorHAnsi" w:hAnsiTheme="minorHAnsi" w:cstheme="minorHAnsi"/>
          <w:sz w:val="22"/>
          <w:szCs w:val="22"/>
        </w:rPr>
      </w:pPr>
    </w:p>
    <w:p w:rsidR="00E83A90" w:rsidRDefault="00E83A90" w:rsidP="008C053A">
      <w:pPr>
        <w:rPr>
          <w:rFonts w:asciiTheme="minorHAnsi" w:hAnsiTheme="minorHAnsi" w:cstheme="minorHAnsi"/>
          <w:sz w:val="22"/>
          <w:szCs w:val="22"/>
        </w:rPr>
      </w:pPr>
      <w:r w:rsidRPr="006C41B6">
        <w:rPr>
          <w:rFonts w:asciiTheme="minorHAnsi" w:hAnsiTheme="minorHAnsi" w:cstheme="minorHAnsi"/>
          <w:sz w:val="22"/>
          <w:szCs w:val="22"/>
        </w:rPr>
        <w:t>The following sections describe the actual performance against this budget and the financial strategies that were agreed at the same Council meeting</w:t>
      </w:r>
      <w:r>
        <w:rPr>
          <w:rFonts w:asciiTheme="minorHAnsi" w:hAnsiTheme="minorHAnsi" w:cstheme="minorHAnsi"/>
          <w:sz w:val="22"/>
          <w:szCs w:val="22"/>
        </w:rPr>
        <w:t xml:space="preserve">, further details can be found on the Council’s website here:   </w:t>
      </w:r>
      <w:hyperlink r:id="rId21" w:history="1">
        <w:r w:rsidRPr="003940CA">
          <w:rPr>
            <w:rStyle w:val="Hyperlink"/>
            <w:rFonts w:asciiTheme="minorHAnsi" w:hAnsiTheme="minorHAnsi" w:cstheme="minorHAnsi"/>
            <w:sz w:val="22"/>
            <w:szCs w:val="22"/>
          </w:rPr>
          <w:t>http://www.chichester.gov.uk/annualbudget</w:t>
        </w:r>
      </w:hyperlink>
      <w:r>
        <w:rPr>
          <w:rFonts w:asciiTheme="minorHAnsi" w:hAnsiTheme="minorHAnsi" w:cstheme="minorHAnsi"/>
          <w:sz w:val="22"/>
          <w:szCs w:val="22"/>
        </w:rPr>
        <w:t xml:space="preserve"> along with in year monitoring information: </w:t>
      </w:r>
      <w:hyperlink r:id="rId22" w:history="1">
        <w:r w:rsidRPr="00573E9D">
          <w:rPr>
            <w:rStyle w:val="Hyperlink"/>
            <w:rFonts w:asciiTheme="minorHAnsi" w:hAnsiTheme="minorHAnsi" w:cstheme="minorHAnsi"/>
            <w:sz w:val="22"/>
            <w:szCs w:val="22"/>
          </w:rPr>
          <w:t>https://www.chichester.gov.uk/article/27734/chichesterdotnet/favicons/16x16.png</w:t>
        </w:r>
      </w:hyperlink>
    </w:p>
    <w:p w:rsidR="00E83A90" w:rsidRPr="006C41B6" w:rsidRDefault="00E83A90" w:rsidP="008C053A">
      <w:pPr>
        <w:rPr>
          <w:rFonts w:asciiTheme="minorHAnsi" w:hAnsiTheme="minorHAnsi" w:cstheme="minorHAnsi"/>
          <w:sz w:val="22"/>
          <w:szCs w:val="22"/>
        </w:rPr>
      </w:pPr>
      <w:r w:rsidRPr="006C41B6">
        <w:rPr>
          <w:rFonts w:asciiTheme="minorHAnsi" w:hAnsiTheme="minorHAnsi" w:cstheme="minorHAnsi"/>
          <w:sz w:val="22"/>
          <w:szCs w:val="22"/>
        </w:rPr>
        <w:t xml:space="preserve"> </w:t>
      </w:r>
    </w:p>
    <w:p w:rsidR="00E83A90" w:rsidRPr="006C41B6" w:rsidRDefault="00E83A90" w:rsidP="008C053A">
      <w:pPr>
        <w:rPr>
          <w:rFonts w:asciiTheme="minorHAnsi" w:hAnsiTheme="minorHAnsi" w:cstheme="minorHAnsi"/>
          <w:sz w:val="22"/>
          <w:szCs w:val="22"/>
        </w:rPr>
      </w:pPr>
      <w:r w:rsidRPr="006C41B6">
        <w:rPr>
          <w:rFonts w:asciiTheme="minorHAnsi" w:hAnsiTheme="minorHAnsi" w:cstheme="minorHAnsi"/>
          <w:sz w:val="22"/>
          <w:szCs w:val="22"/>
        </w:rPr>
        <w:t>The Council incurs both revenue and capital expenditure. The revenue account (also known as the General Fund) shows the net operational costs relating to day to day delivery of services. Capital expenditure generates an asset that has a us</w:t>
      </w:r>
      <w:r w:rsidR="006634E7">
        <w:rPr>
          <w:rFonts w:asciiTheme="minorHAnsi" w:hAnsiTheme="minorHAnsi" w:cstheme="minorHAnsi"/>
          <w:sz w:val="22"/>
          <w:szCs w:val="22"/>
        </w:rPr>
        <w:t xml:space="preserve">eful life of more than one year. Examples include the </w:t>
      </w:r>
      <w:r w:rsidRPr="006C41B6">
        <w:rPr>
          <w:rFonts w:asciiTheme="minorHAnsi" w:hAnsiTheme="minorHAnsi" w:cstheme="minorHAnsi"/>
          <w:sz w:val="22"/>
          <w:szCs w:val="22"/>
        </w:rPr>
        <w:t xml:space="preserve">buying </w:t>
      </w:r>
      <w:r w:rsidR="006634E7">
        <w:rPr>
          <w:rFonts w:asciiTheme="minorHAnsi" w:hAnsiTheme="minorHAnsi" w:cstheme="minorHAnsi"/>
          <w:sz w:val="22"/>
          <w:szCs w:val="22"/>
        </w:rPr>
        <w:t xml:space="preserve">and </w:t>
      </w:r>
      <w:r w:rsidRPr="006C41B6">
        <w:rPr>
          <w:rFonts w:asciiTheme="minorHAnsi" w:hAnsiTheme="minorHAnsi" w:cstheme="minorHAnsi"/>
          <w:sz w:val="22"/>
          <w:szCs w:val="22"/>
        </w:rPr>
        <w:t xml:space="preserve">selling </w:t>
      </w:r>
      <w:r w:rsidR="006634E7">
        <w:rPr>
          <w:rFonts w:asciiTheme="minorHAnsi" w:hAnsiTheme="minorHAnsi" w:cstheme="minorHAnsi"/>
          <w:sz w:val="22"/>
          <w:szCs w:val="22"/>
        </w:rPr>
        <w:t xml:space="preserve">of </w:t>
      </w:r>
      <w:r w:rsidRPr="006C41B6">
        <w:rPr>
          <w:rFonts w:asciiTheme="minorHAnsi" w:hAnsiTheme="minorHAnsi" w:cstheme="minorHAnsi"/>
          <w:sz w:val="22"/>
          <w:szCs w:val="22"/>
        </w:rPr>
        <w:t>land, property and other assets, building new property</w:t>
      </w:r>
      <w:r w:rsidR="006634E7">
        <w:rPr>
          <w:rFonts w:asciiTheme="minorHAnsi" w:hAnsiTheme="minorHAnsi" w:cstheme="minorHAnsi"/>
          <w:sz w:val="22"/>
          <w:szCs w:val="22"/>
        </w:rPr>
        <w:t>,  major</w:t>
      </w:r>
      <w:r w:rsidRPr="006C41B6">
        <w:rPr>
          <w:rFonts w:asciiTheme="minorHAnsi" w:hAnsiTheme="minorHAnsi" w:cstheme="minorHAnsi"/>
          <w:sz w:val="22"/>
          <w:szCs w:val="22"/>
        </w:rPr>
        <w:t xml:space="preserve"> improvements</w:t>
      </w:r>
      <w:r w:rsidR="006634E7">
        <w:rPr>
          <w:rFonts w:asciiTheme="minorHAnsi" w:hAnsiTheme="minorHAnsi" w:cstheme="minorHAnsi"/>
          <w:sz w:val="22"/>
          <w:szCs w:val="22"/>
        </w:rPr>
        <w:t xml:space="preserve"> and the p</w:t>
      </w:r>
      <w:r w:rsidRPr="006C41B6">
        <w:rPr>
          <w:rFonts w:asciiTheme="minorHAnsi" w:hAnsiTheme="minorHAnsi" w:cstheme="minorHAnsi"/>
          <w:sz w:val="22"/>
          <w:szCs w:val="22"/>
        </w:rPr>
        <w:t>rovi</w:t>
      </w:r>
      <w:r w:rsidR="006634E7">
        <w:rPr>
          <w:rFonts w:asciiTheme="minorHAnsi" w:hAnsiTheme="minorHAnsi" w:cstheme="minorHAnsi"/>
          <w:sz w:val="22"/>
          <w:szCs w:val="22"/>
        </w:rPr>
        <w:t xml:space="preserve">sion of </w:t>
      </w:r>
      <w:r w:rsidRPr="006C41B6">
        <w:rPr>
          <w:rFonts w:asciiTheme="minorHAnsi" w:hAnsiTheme="minorHAnsi" w:cstheme="minorHAnsi"/>
          <w:sz w:val="22"/>
          <w:szCs w:val="22"/>
        </w:rPr>
        <w:t xml:space="preserve">grants and loans to other bodies in </w:t>
      </w:r>
      <w:r w:rsidR="006634E7">
        <w:rPr>
          <w:rFonts w:asciiTheme="minorHAnsi" w:hAnsiTheme="minorHAnsi" w:cstheme="minorHAnsi"/>
          <w:sz w:val="22"/>
          <w:szCs w:val="22"/>
        </w:rPr>
        <w:t xml:space="preserve">line with council </w:t>
      </w:r>
      <w:r w:rsidRPr="006C41B6">
        <w:rPr>
          <w:rFonts w:asciiTheme="minorHAnsi" w:hAnsiTheme="minorHAnsi" w:cstheme="minorHAnsi"/>
          <w:sz w:val="22"/>
          <w:szCs w:val="22"/>
        </w:rPr>
        <w:t xml:space="preserve">support </w:t>
      </w:r>
      <w:r w:rsidR="006634E7">
        <w:rPr>
          <w:rFonts w:asciiTheme="minorHAnsi" w:hAnsiTheme="minorHAnsi" w:cstheme="minorHAnsi"/>
          <w:sz w:val="22"/>
          <w:szCs w:val="22"/>
        </w:rPr>
        <w:t>a</w:t>
      </w:r>
      <w:r w:rsidRPr="006C41B6">
        <w:rPr>
          <w:rFonts w:asciiTheme="minorHAnsi" w:hAnsiTheme="minorHAnsi" w:cstheme="minorHAnsi"/>
          <w:sz w:val="22"/>
          <w:szCs w:val="22"/>
        </w:rPr>
        <w:t>ctivities.</w:t>
      </w:r>
    </w:p>
    <w:p w:rsidR="00E83A90" w:rsidRPr="006C41B6" w:rsidRDefault="00E83A90" w:rsidP="008C053A">
      <w:pPr>
        <w:rPr>
          <w:rFonts w:asciiTheme="minorHAnsi" w:hAnsiTheme="minorHAnsi" w:cstheme="minorHAnsi"/>
          <w:sz w:val="22"/>
          <w:szCs w:val="22"/>
        </w:rPr>
      </w:pPr>
    </w:p>
    <w:p w:rsidR="008C053A" w:rsidRPr="00BD2C2B" w:rsidRDefault="00E83A90" w:rsidP="008C053A">
      <w:pPr>
        <w:rPr>
          <w:rFonts w:asciiTheme="minorHAnsi" w:hAnsiTheme="minorHAnsi" w:cstheme="minorHAnsi"/>
          <w:sz w:val="22"/>
          <w:szCs w:val="22"/>
        </w:rPr>
      </w:pPr>
      <w:r w:rsidRPr="006C41B6">
        <w:rPr>
          <w:rFonts w:asciiTheme="minorHAnsi" w:hAnsiTheme="minorHAnsi" w:cstheme="minorHAnsi"/>
          <w:sz w:val="22"/>
          <w:szCs w:val="22"/>
        </w:rPr>
        <w:t xml:space="preserve">The main cash flow elements of both capital and revenue are shown in the Council’s cash flow statement on </w:t>
      </w:r>
      <w:r w:rsidRPr="000F0501">
        <w:rPr>
          <w:rFonts w:asciiTheme="minorHAnsi" w:hAnsiTheme="minorHAnsi" w:cstheme="minorHAnsi"/>
          <w:sz w:val="22"/>
          <w:szCs w:val="22"/>
        </w:rPr>
        <w:t>page 27.</w:t>
      </w:r>
    </w:p>
    <w:p w:rsidR="000A0320" w:rsidRDefault="000A0320">
      <w:pPr>
        <w:widowControl/>
        <w:suppressAutoHyphens w:val="0"/>
        <w:rPr>
          <w:rFonts w:asciiTheme="minorHAnsi" w:hAnsiTheme="minorHAnsi" w:cstheme="minorHAnsi"/>
          <w:b/>
          <w:sz w:val="22"/>
          <w:szCs w:val="22"/>
        </w:rPr>
      </w:pPr>
      <w:r>
        <w:rPr>
          <w:rFonts w:asciiTheme="minorHAnsi" w:hAnsiTheme="minorHAnsi" w:cstheme="minorHAnsi"/>
          <w:b/>
          <w:sz w:val="22"/>
          <w:szCs w:val="22"/>
        </w:rPr>
        <w:br w:type="page"/>
      </w:r>
    </w:p>
    <w:p w:rsidR="00E83A90" w:rsidRPr="006C41B6" w:rsidRDefault="00E83A90" w:rsidP="008C053A">
      <w:pPr>
        <w:rPr>
          <w:rFonts w:asciiTheme="minorHAnsi" w:hAnsiTheme="minorHAnsi" w:cstheme="minorHAnsi"/>
          <w:b/>
          <w:sz w:val="22"/>
          <w:szCs w:val="22"/>
        </w:rPr>
      </w:pPr>
      <w:r w:rsidRPr="006C41B6">
        <w:rPr>
          <w:rFonts w:asciiTheme="minorHAnsi" w:hAnsiTheme="minorHAnsi" w:cstheme="minorHAnsi"/>
          <w:b/>
          <w:sz w:val="22"/>
          <w:szCs w:val="22"/>
        </w:rPr>
        <w:lastRenderedPageBreak/>
        <w:t>Capital Expenditure 201</w:t>
      </w:r>
      <w:r>
        <w:rPr>
          <w:rFonts w:asciiTheme="minorHAnsi" w:hAnsiTheme="minorHAnsi" w:cstheme="minorHAnsi"/>
          <w:b/>
          <w:sz w:val="22"/>
          <w:szCs w:val="22"/>
        </w:rPr>
        <w:t>9</w:t>
      </w:r>
      <w:r w:rsidRPr="006C41B6">
        <w:rPr>
          <w:rFonts w:asciiTheme="minorHAnsi" w:hAnsiTheme="minorHAnsi" w:cstheme="minorHAnsi"/>
          <w:b/>
          <w:sz w:val="22"/>
          <w:szCs w:val="22"/>
        </w:rPr>
        <w:t>-</w:t>
      </w:r>
      <w:r>
        <w:rPr>
          <w:rFonts w:asciiTheme="minorHAnsi" w:hAnsiTheme="minorHAnsi" w:cstheme="minorHAnsi"/>
          <w:b/>
          <w:sz w:val="22"/>
          <w:szCs w:val="22"/>
        </w:rPr>
        <w:t>20</w:t>
      </w:r>
      <w:r w:rsidRPr="006C41B6">
        <w:rPr>
          <w:rFonts w:asciiTheme="minorHAnsi" w:hAnsiTheme="minorHAnsi" w:cstheme="minorHAnsi"/>
          <w:b/>
          <w:sz w:val="22"/>
          <w:szCs w:val="22"/>
        </w:rPr>
        <w:t xml:space="preserve"> - Movements in the Council’s asset base</w:t>
      </w:r>
    </w:p>
    <w:p w:rsidR="005B23A5" w:rsidRDefault="005B23A5" w:rsidP="00E83A90">
      <w:pPr>
        <w:rPr>
          <w:rFonts w:asciiTheme="minorHAnsi" w:hAnsiTheme="minorHAnsi" w:cstheme="minorHAnsi"/>
          <w:b/>
          <w:sz w:val="22"/>
          <w:szCs w:val="22"/>
        </w:rPr>
      </w:pPr>
    </w:p>
    <w:tbl>
      <w:tblPr>
        <w:tblStyle w:val="TableGrid"/>
        <w:tblW w:w="9351" w:type="dxa"/>
        <w:tblLook w:val="04A0" w:firstRow="1" w:lastRow="0" w:firstColumn="1" w:lastColumn="0" w:noHBand="0" w:noVBand="1"/>
      </w:tblPr>
      <w:tblGrid>
        <w:gridCol w:w="2122"/>
        <w:gridCol w:w="340"/>
        <w:gridCol w:w="2211"/>
        <w:gridCol w:w="349"/>
        <w:gridCol w:w="2061"/>
        <w:gridCol w:w="399"/>
        <w:gridCol w:w="1869"/>
      </w:tblGrid>
      <w:tr w:rsidR="00420C36" w:rsidTr="00272176">
        <w:trPr>
          <w:trHeight w:val="1036"/>
        </w:trPr>
        <w:tc>
          <w:tcPr>
            <w:tcW w:w="9351" w:type="dxa"/>
            <w:gridSpan w:val="7"/>
            <w:tcBorders>
              <w:top w:val="single" w:sz="24" w:space="0" w:color="8064A2"/>
              <w:left w:val="single" w:sz="24" w:space="0" w:color="8064A2"/>
              <w:bottom w:val="single" w:sz="24" w:space="0" w:color="8064A2"/>
              <w:right w:val="single" w:sz="24" w:space="0" w:color="8064A2"/>
            </w:tcBorders>
          </w:tcPr>
          <w:p w:rsidR="00420C36" w:rsidRPr="006E2E6F" w:rsidRDefault="00420C36" w:rsidP="00272176">
            <w:pPr>
              <w:spacing w:before="360"/>
              <w:jc w:val="center"/>
              <w:rPr>
                <w:rFonts w:ascii="Arial" w:hAnsi="Arial" w:cs="Arial"/>
                <w:sz w:val="20"/>
              </w:rPr>
            </w:pPr>
            <w:r w:rsidRPr="006E2E6F">
              <w:rPr>
                <w:rFonts w:ascii="Arial" w:hAnsi="Arial" w:cs="Arial"/>
                <w:sz w:val="20"/>
              </w:rPr>
              <w:t>TOTAL ASSETS BROUGHT FORWARD</w:t>
            </w:r>
            <w:r w:rsidR="00272176">
              <w:rPr>
                <w:rFonts w:ascii="Arial" w:hAnsi="Arial" w:cs="Arial"/>
                <w:sz w:val="20"/>
              </w:rPr>
              <w:br/>
            </w:r>
            <w:r w:rsidRPr="006E2E6F">
              <w:rPr>
                <w:rFonts w:ascii="Arial" w:hAnsi="Arial" w:cs="Arial"/>
                <w:sz w:val="20"/>
              </w:rPr>
              <w:t>£</w:t>
            </w:r>
            <w:r>
              <w:rPr>
                <w:rFonts w:ascii="Arial" w:hAnsi="Arial" w:cs="Arial"/>
                <w:sz w:val="20"/>
              </w:rPr>
              <w:t>227</w:t>
            </w:r>
          </w:p>
          <w:p w:rsidR="00420C36" w:rsidRDefault="00420C36" w:rsidP="00E83A90">
            <w:pPr>
              <w:rPr>
                <w:rFonts w:asciiTheme="minorHAnsi" w:hAnsiTheme="minorHAnsi" w:cstheme="minorHAnsi"/>
                <w:b/>
                <w:sz w:val="22"/>
                <w:szCs w:val="22"/>
              </w:rPr>
            </w:pPr>
          </w:p>
        </w:tc>
      </w:tr>
      <w:tr w:rsidR="004E71A0" w:rsidTr="00272176">
        <w:tc>
          <w:tcPr>
            <w:tcW w:w="9351" w:type="dxa"/>
            <w:gridSpan w:val="7"/>
            <w:tcBorders>
              <w:top w:val="single" w:sz="24" w:space="0" w:color="8064A2"/>
              <w:left w:val="nil"/>
              <w:bottom w:val="nil"/>
              <w:right w:val="nil"/>
            </w:tcBorders>
          </w:tcPr>
          <w:p w:rsidR="004E71A0" w:rsidRDefault="004E71A0" w:rsidP="00E83A90">
            <w:pPr>
              <w:rPr>
                <w:rFonts w:asciiTheme="minorHAnsi" w:hAnsiTheme="minorHAnsi" w:cstheme="minorHAnsi"/>
                <w:b/>
                <w:sz w:val="22"/>
                <w:szCs w:val="22"/>
              </w:rPr>
            </w:pPr>
          </w:p>
        </w:tc>
      </w:tr>
      <w:tr w:rsidR="00272176" w:rsidTr="00272176">
        <w:tc>
          <w:tcPr>
            <w:tcW w:w="2122" w:type="dxa"/>
            <w:tcBorders>
              <w:top w:val="single" w:sz="24" w:space="0" w:color="8064A2"/>
              <w:left w:val="single" w:sz="24" w:space="0" w:color="8064A2"/>
              <w:bottom w:val="single" w:sz="24" w:space="0" w:color="8064A2"/>
              <w:right w:val="single" w:sz="24" w:space="0" w:color="8064A2"/>
            </w:tcBorders>
          </w:tcPr>
          <w:p w:rsidR="00420C36" w:rsidRPr="00315412" w:rsidRDefault="00420C36" w:rsidP="008A1F7F">
            <w:pPr>
              <w:spacing w:before="240"/>
              <w:jc w:val="center"/>
              <w:rPr>
                <w:rFonts w:ascii="Arial" w:hAnsi="Arial" w:cs="Arial"/>
                <w:sz w:val="20"/>
              </w:rPr>
            </w:pPr>
            <w:r w:rsidRPr="00315412">
              <w:rPr>
                <w:rFonts w:ascii="Arial" w:hAnsi="Arial" w:cs="Arial"/>
                <w:sz w:val="20"/>
              </w:rPr>
              <w:t>Purchases and Sales of assets</w:t>
            </w:r>
          </w:p>
          <w:p w:rsidR="00420C36" w:rsidRPr="006E2E6F" w:rsidRDefault="00420C36" w:rsidP="00420C36">
            <w:pPr>
              <w:jc w:val="center"/>
              <w:rPr>
                <w:rFonts w:ascii="Arial" w:hAnsi="Arial" w:cs="Arial"/>
                <w:sz w:val="20"/>
              </w:rPr>
            </w:pPr>
            <w:r w:rsidRPr="00315412">
              <w:rPr>
                <w:rFonts w:ascii="Arial" w:hAnsi="Arial" w:cs="Arial"/>
                <w:sz w:val="20"/>
              </w:rPr>
              <w:t>£</w:t>
            </w:r>
            <w:r>
              <w:rPr>
                <w:rFonts w:ascii="Arial" w:hAnsi="Arial" w:cs="Arial"/>
                <w:sz w:val="20"/>
              </w:rPr>
              <w:t>4</w:t>
            </w:r>
            <w:r w:rsidRPr="00315412">
              <w:rPr>
                <w:rFonts w:ascii="Arial" w:hAnsi="Arial" w:cs="Arial"/>
                <w:sz w:val="20"/>
              </w:rPr>
              <w:t>m</w:t>
            </w:r>
          </w:p>
          <w:p w:rsidR="00420C36" w:rsidRDefault="00420C36" w:rsidP="00E83A90">
            <w:pPr>
              <w:rPr>
                <w:rFonts w:asciiTheme="minorHAnsi" w:hAnsiTheme="minorHAnsi" w:cstheme="minorHAnsi"/>
                <w:b/>
                <w:sz w:val="22"/>
                <w:szCs w:val="22"/>
              </w:rPr>
            </w:pPr>
          </w:p>
        </w:tc>
        <w:tc>
          <w:tcPr>
            <w:tcW w:w="340" w:type="dxa"/>
            <w:tcBorders>
              <w:top w:val="nil"/>
              <w:left w:val="single" w:sz="24" w:space="0" w:color="8064A2"/>
              <w:bottom w:val="nil"/>
              <w:right w:val="single" w:sz="24" w:space="0" w:color="8064A2"/>
            </w:tcBorders>
          </w:tcPr>
          <w:p w:rsidR="00420C36" w:rsidRDefault="00420C36" w:rsidP="00E83A90">
            <w:pPr>
              <w:rPr>
                <w:rFonts w:asciiTheme="minorHAnsi" w:hAnsiTheme="minorHAnsi" w:cstheme="minorHAnsi"/>
                <w:b/>
                <w:sz w:val="22"/>
                <w:szCs w:val="22"/>
              </w:rPr>
            </w:pPr>
          </w:p>
        </w:tc>
        <w:tc>
          <w:tcPr>
            <w:tcW w:w="2211" w:type="dxa"/>
            <w:tcBorders>
              <w:top w:val="single" w:sz="24" w:space="0" w:color="8064A2"/>
              <w:left w:val="single" w:sz="24" w:space="0" w:color="8064A2"/>
              <w:bottom w:val="single" w:sz="24" w:space="0" w:color="8064A2"/>
              <w:right w:val="single" w:sz="24" w:space="0" w:color="8064A2"/>
            </w:tcBorders>
          </w:tcPr>
          <w:p w:rsidR="004E71A0" w:rsidRPr="00315412" w:rsidRDefault="004E71A0" w:rsidP="008A1F7F">
            <w:pPr>
              <w:spacing w:before="240"/>
              <w:jc w:val="center"/>
              <w:rPr>
                <w:rFonts w:ascii="Arial" w:hAnsi="Arial" w:cs="Arial"/>
                <w:sz w:val="20"/>
              </w:rPr>
            </w:pPr>
            <w:r w:rsidRPr="00315412">
              <w:rPr>
                <w:rFonts w:ascii="Arial" w:hAnsi="Arial" w:cs="Arial"/>
                <w:sz w:val="20"/>
              </w:rPr>
              <w:t>Depreciation</w:t>
            </w:r>
          </w:p>
          <w:p w:rsidR="004E71A0" w:rsidRPr="006E2E6F" w:rsidRDefault="004E71A0" w:rsidP="004E71A0">
            <w:pPr>
              <w:jc w:val="center"/>
              <w:rPr>
                <w:rFonts w:ascii="Arial" w:hAnsi="Arial" w:cs="Arial"/>
                <w:sz w:val="20"/>
              </w:rPr>
            </w:pPr>
            <w:r w:rsidRPr="00315412">
              <w:rPr>
                <w:rFonts w:ascii="Arial" w:hAnsi="Arial" w:cs="Arial"/>
                <w:sz w:val="20"/>
              </w:rPr>
              <w:t>(£</w:t>
            </w:r>
            <w:r>
              <w:rPr>
                <w:rFonts w:ascii="Arial" w:hAnsi="Arial" w:cs="Arial"/>
                <w:sz w:val="20"/>
              </w:rPr>
              <w:t>3</w:t>
            </w:r>
            <w:r w:rsidRPr="00315412">
              <w:rPr>
                <w:rFonts w:ascii="Arial" w:hAnsi="Arial" w:cs="Arial"/>
                <w:sz w:val="20"/>
              </w:rPr>
              <w:t>m)</w:t>
            </w:r>
          </w:p>
          <w:p w:rsidR="00420C36" w:rsidRDefault="00420C36" w:rsidP="00E83A90">
            <w:pPr>
              <w:rPr>
                <w:rFonts w:asciiTheme="minorHAnsi" w:hAnsiTheme="minorHAnsi" w:cstheme="minorHAnsi"/>
                <w:b/>
                <w:sz w:val="22"/>
                <w:szCs w:val="22"/>
              </w:rPr>
            </w:pPr>
          </w:p>
        </w:tc>
        <w:tc>
          <w:tcPr>
            <w:tcW w:w="349" w:type="dxa"/>
            <w:tcBorders>
              <w:top w:val="nil"/>
              <w:left w:val="single" w:sz="24" w:space="0" w:color="8064A2"/>
              <w:bottom w:val="nil"/>
              <w:right w:val="single" w:sz="24" w:space="0" w:color="8064A2"/>
            </w:tcBorders>
          </w:tcPr>
          <w:p w:rsidR="00420C36" w:rsidRDefault="00420C36" w:rsidP="00E83A90">
            <w:pPr>
              <w:rPr>
                <w:rFonts w:asciiTheme="minorHAnsi" w:hAnsiTheme="minorHAnsi" w:cstheme="minorHAnsi"/>
                <w:b/>
                <w:sz w:val="22"/>
                <w:szCs w:val="22"/>
              </w:rPr>
            </w:pPr>
          </w:p>
        </w:tc>
        <w:tc>
          <w:tcPr>
            <w:tcW w:w="2061" w:type="dxa"/>
            <w:tcBorders>
              <w:top w:val="single" w:sz="24" w:space="0" w:color="8064A2"/>
              <w:left w:val="single" w:sz="24" w:space="0" w:color="8064A2"/>
              <w:bottom w:val="single" w:sz="24" w:space="0" w:color="8064A2"/>
              <w:right w:val="single" w:sz="24" w:space="0" w:color="8064A2"/>
            </w:tcBorders>
          </w:tcPr>
          <w:p w:rsidR="004E71A0" w:rsidRPr="00315412" w:rsidRDefault="004E71A0" w:rsidP="008A1F7F">
            <w:pPr>
              <w:spacing w:before="240"/>
              <w:jc w:val="center"/>
              <w:rPr>
                <w:rFonts w:ascii="Arial" w:hAnsi="Arial" w:cs="Arial"/>
                <w:sz w:val="20"/>
              </w:rPr>
            </w:pPr>
            <w:r w:rsidRPr="00315412">
              <w:rPr>
                <w:rFonts w:ascii="Arial" w:hAnsi="Arial" w:cs="Arial"/>
                <w:sz w:val="20"/>
              </w:rPr>
              <w:t xml:space="preserve">Other changes in value </w:t>
            </w:r>
          </w:p>
          <w:p w:rsidR="004E71A0" w:rsidRPr="006E2E6F" w:rsidRDefault="004E71A0" w:rsidP="004E71A0">
            <w:pPr>
              <w:jc w:val="center"/>
              <w:rPr>
                <w:rFonts w:ascii="Arial" w:hAnsi="Arial" w:cs="Arial"/>
                <w:sz w:val="20"/>
              </w:rPr>
            </w:pPr>
            <w:r w:rsidRPr="002360A9">
              <w:rPr>
                <w:rFonts w:ascii="Arial" w:hAnsi="Arial" w:cs="Arial"/>
                <w:sz w:val="20"/>
              </w:rPr>
              <w:t>£3</w:t>
            </w:r>
            <w:r>
              <w:rPr>
                <w:rFonts w:ascii="Arial" w:hAnsi="Arial" w:cs="Arial"/>
                <w:sz w:val="20"/>
              </w:rPr>
              <w:t>3</w:t>
            </w:r>
            <w:r w:rsidRPr="002360A9">
              <w:rPr>
                <w:rFonts w:ascii="Arial" w:hAnsi="Arial" w:cs="Arial"/>
                <w:sz w:val="20"/>
              </w:rPr>
              <w:t>m</w:t>
            </w:r>
          </w:p>
          <w:p w:rsidR="00420C36" w:rsidRDefault="00420C36" w:rsidP="00E83A90">
            <w:pPr>
              <w:rPr>
                <w:rFonts w:asciiTheme="minorHAnsi" w:hAnsiTheme="minorHAnsi" w:cstheme="minorHAnsi"/>
                <w:b/>
                <w:sz w:val="22"/>
                <w:szCs w:val="22"/>
              </w:rPr>
            </w:pPr>
          </w:p>
        </w:tc>
        <w:tc>
          <w:tcPr>
            <w:tcW w:w="399" w:type="dxa"/>
            <w:tcBorders>
              <w:top w:val="nil"/>
              <w:left w:val="single" w:sz="24" w:space="0" w:color="8064A2"/>
              <w:bottom w:val="nil"/>
              <w:right w:val="single" w:sz="24" w:space="0" w:color="8064A2"/>
            </w:tcBorders>
          </w:tcPr>
          <w:p w:rsidR="00420C36" w:rsidRDefault="00420C36" w:rsidP="00E83A90">
            <w:pPr>
              <w:rPr>
                <w:rFonts w:asciiTheme="minorHAnsi" w:hAnsiTheme="minorHAnsi" w:cstheme="minorHAnsi"/>
                <w:b/>
                <w:sz w:val="22"/>
                <w:szCs w:val="22"/>
              </w:rPr>
            </w:pPr>
          </w:p>
        </w:tc>
        <w:tc>
          <w:tcPr>
            <w:tcW w:w="1869" w:type="dxa"/>
            <w:tcBorders>
              <w:top w:val="single" w:sz="24" w:space="0" w:color="8064A2"/>
              <w:left w:val="single" w:sz="24" w:space="0" w:color="8064A2"/>
              <w:bottom w:val="single" w:sz="24" w:space="0" w:color="8064A2"/>
              <w:right w:val="single" w:sz="24" w:space="0" w:color="8064A2"/>
            </w:tcBorders>
          </w:tcPr>
          <w:p w:rsidR="004E71A0" w:rsidRDefault="004E71A0" w:rsidP="008A1F7F">
            <w:pPr>
              <w:spacing w:before="240"/>
              <w:jc w:val="center"/>
              <w:rPr>
                <w:rFonts w:ascii="Arial" w:hAnsi="Arial" w:cs="Arial"/>
                <w:sz w:val="20"/>
              </w:rPr>
            </w:pPr>
            <w:r>
              <w:rPr>
                <w:rFonts w:ascii="Arial" w:hAnsi="Arial" w:cs="Arial"/>
                <w:sz w:val="20"/>
              </w:rPr>
              <w:t xml:space="preserve">Change in </w:t>
            </w:r>
          </w:p>
          <w:p w:rsidR="004E71A0" w:rsidRPr="00315412" w:rsidRDefault="004E71A0" w:rsidP="004E71A0">
            <w:pPr>
              <w:jc w:val="center"/>
              <w:rPr>
                <w:rFonts w:ascii="Arial" w:hAnsi="Arial" w:cs="Arial"/>
                <w:sz w:val="20"/>
              </w:rPr>
            </w:pPr>
            <w:r w:rsidRPr="00315412">
              <w:rPr>
                <w:rFonts w:ascii="Arial" w:hAnsi="Arial" w:cs="Arial"/>
                <w:sz w:val="20"/>
              </w:rPr>
              <w:t>Current Assets</w:t>
            </w:r>
          </w:p>
          <w:p w:rsidR="004E71A0" w:rsidRPr="006E2E6F" w:rsidRDefault="004E71A0" w:rsidP="004E71A0">
            <w:pPr>
              <w:jc w:val="center"/>
              <w:rPr>
                <w:rFonts w:ascii="Arial" w:hAnsi="Arial" w:cs="Arial"/>
                <w:sz w:val="20"/>
              </w:rPr>
            </w:pPr>
            <w:r w:rsidRPr="002360A9">
              <w:rPr>
                <w:rFonts w:ascii="Arial" w:hAnsi="Arial" w:cs="Arial"/>
                <w:sz w:val="20"/>
              </w:rPr>
              <w:t>(£8m)</w:t>
            </w:r>
          </w:p>
          <w:p w:rsidR="00420C36" w:rsidRDefault="00420C36" w:rsidP="00E83A90">
            <w:pPr>
              <w:rPr>
                <w:rFonts w:asciiTheme="minorHAnsi" w:hAnsiTheme="minorHAnsi" w:cstheme="minorHAnsi"/>
                <w:b/>
                <w:sz w:val="22"/>
                <w:szCs w:val="22"/>
              </w:rPr>
            </w:pPr>
          </w:p>
        </w:tc>
      </w:tr>
      <w:tr w:rsidR="004E71A0" w:rsidTr="00272176">
        <w:tc>
          <w:tcPr>
            <w:tcW w:w="9351" w:type="dxa"/>
            <w:gridSpan w:val="7"/>
            <w:tcBorders>
              <w:top w:val="nil"/>
              <w:left w:val="nil"/>
              <w:bottom w:val="nil"/>
              <w:right w:val="nil"/>
            </w:tcBorders>
          </w:tcPr>
          <w:p w:rsidR="004E71A0" w:rsidRDefault="004E71A0" w:rsidP="00E83A90">
            <w:pPr>
              <w:rPr>
                <w:rFonts w:asciiTheme="minorHAnsi" w:hAnsiTheme="minorHAnsi" w:cstheme="minorHAnsi"/>
                <w:b/>
                <w:sz w:val="22"/>
                <w:szCs w:val="22"/>
              </w:rPr>
            </w:pPr>
          </w:p>
        </w:tc>
      </w:tr>
      <w:tr w:rsidR="00272176" w:rsidTr="006C0857">
        <w:trPr>
          <w:trHeight w:val="1297"/>
        </w:trPr>
        <w:tc>
          <w:tcPr>
            <w:tcW w:w="2122" w:type="dxa"/>
            <w:tcBorders>
              <w:top w:val="single" w:sz="24" w:space="0" w:color="8064A2"/>
              <w:left w:val="single" w:sz="24" w:space="0" w:color="8064A2"/>
              <w:bottom w:val="single" w:sz="24" w:space="0" w:color="8064A2"/>
              <w:right w:val="single" w:sz="24" w:space="0" w:color="8064A2"/>
            </w:tcBorders>
          </w:tcPr>
          <w:p w:rsidR="00420C36" w:rsidRPr="006E2E6F" w:rsidRDefault="00420C36" w:rsidP="00272176">
            <w:pPr>
              <w:spacing w:before="360"/>
              <w:jc w:val="center"/>
              <w:rPr>
                <w:rFonts w:ascii="Arial" w:hAnsi="Arial" w:cs="Arial"/>
                <w:sz w:val="20"/>
              </w:rPr>
            </w:pPr>
            <w:r w:rsidRPr="006E2E6F">
              <w:rPr>
                <w:rFonts w:ascii="Arial" w:hAnsi="Arial" w:cs="Arial"/>
                <w:sz w:val="20"/>
              </w:rPr>
              <w:t>P</w:t>
            </w:r>
            <w:r>
              <w:rPr>
                <w:rFonts w:ascii="Arial" w:hAnsi="Arial" w:cs="Arial"/>
                <w:sz w:val="20"/>
              </w:rPr>
              <w:t>roperty</w:t>
            </w:r>
            <w:r w:rsidRPr="006E2E6F">
              <w:rPr>
                <w:rFonts w:ascii="Arial" w:hAnsi="Arial" w:cs="Arial"/>
                <w:sz w:val="20"/>
              </w:rPr>
              <w:t>, P</w:t>
            </w:r>
            <w:r>
              <w:rPr>
                <w:rFonts w:ascii="Arial" w:hAnsi="Arial" w:cs="Arial"/>
                <w:sz w:val="20"/>
              </w:rPr>
              <w:t>lant</w:t>
            </w:r>
            <w:r w:rsidRPr="006E2E6F">
              <w:rPr>
                <w:rFonts w:ascii="Arial" w:hAnsi="Arial" w:cs="Arial"/>
                <w:sz w:val="20"/>
              </w:rPr>
              <w:t xml:space="preserve"> &amp; </w:t>
            </w:r>
            <w:r w:rsidRPr="00315412">
              <w:rPr>
                <w:rFonts w:ascii="Arial" w:hAnsi="Arial" w:cs="Arial"/>
                <w:sz w:val="20"/>
              </w:rPr>
              <w:t>Equipment</w:t>
            </w:r>
            <w:r w:rsidR="00272176">
              <w:rPr>
                <w:rFonts w:ascii="Arial" w:hAnsi="Arial" w:cs="Arial"/>
                <w:sz w:val="20"/>
              </w:rPr>
              <w:br/>
            </w:r>
            <w:r>
              <w:rPr>
                <w:rFonts w:ascii="Arial" w:hAnsi="Arial" w:cs="Arial"/>
                <w:sz w:val="20"/>
              </w:rPr>
              <w:t>£130</w:t>
            </w:r>
            <w:r w:rsidRPr="00315412">
              <w:rPr>
                <w:rFonts w:ascii="Arial" w:hAnsi="Arial" w:cs="Arial"/>
                <w:sz w:val="20"/>
              </w:rPr>
              <w:t>m</w:t>
            </w:r>
          </w:p>
          <w:p w:rsidR="00420C36" w:rsidRDefault="00420C36" w:rsidP="00272176">
            <w:pPr>
              <w:spacing w:before="360"/>
              <w:rPr>
                <w:rFonts w:asciiTheme="minorHAnsi" w:hAnsiTheme="minorHAnsi" w:cstheme="minorHAnsi"/>
                <w:b/>
                <w:sz w:val="22"/>
                <w:szCs w:val="22"/>
              </w:rPr>
            </w:pPr>
          </w:p>
        </w:tc>
        <w:tc>
          <w:tcPr>
            <w:tcW w:w="340" w:type="dxa"/>
            <w:tcBorders>
              <w:top w:val="nil"/>
              <w:left w:val="single" w:sz="24" w:space="0" w:color="8064A2"/>
              <w:bottom w:val="nil"/>
              <w:right w:val="single" w:sz="24" w:space="0" w:color="8064A2"/>
            </w:tcBorders>
          </w:tcPr>
          <w:p w:rsidR="00420C36" w:rsidRDefault="00420C36" w:rsidP="00272176">
            <w:pPr>
              <w:spacing w:before="360"/>
              <w:rPr>
                <w:rFonts w:asciiTheme="minorHAnsi" w:hAnsiTheme="minorHAnsi" w:cstheme="minorHAnsi"/>
                <w:b/>
                <w:sz w:val="22"/>
                <w:szCs w:val="22"/>
              </w:rPr>
            </w:pPr>
          </w:p>
        </w:tc>
        <w:tc>
          <w:tcPr>
            <w:tcW w:w="2211" w:type="dxa"/>
            <w:tcBorders>
              <w:top w:val="single" w:sz="24" w:space="0" w:color="8064A2"/>
              <w:left w:val="single" w:sz="24" w:space="0" w:color="8064A2"/>
              <w:bottom w:val="single" w:sz="24" w:space="0" w:color="8064A2"/>
              <w:right w:val="single" w:sz="24" w:space="0" w:color="8064A2"/>
            </w:tcBorders>
          </w:tcPr>
          <w:p w:rsidR="004E71A0" w:rsidRPr="006E2E6F" w:rsidRDefault="004E71A0" w:rsidP="00272176">
            <w:pPr>
              <w:spacing w:before="360"/>
              <w:jc w:val="center"/>
              <w:rPr>
                <w:rFonts w:ascii="Arial" w:hAnsi="Arial" w:cs="Arial"/>
                <w:sz w:val="20"/>
              </w:rPr>
            </w:pPr>
            <w:r w:rsidRPr="006E2E6F">
              <w:rPr>
                <w:rFonts w:ascii="Arial" w:hAnsi="Arial" w:cs="Arial"/>
                <w:sz w:val="20"/>
              </w:rPr>
              <w:t>I</w:t>
            </w:r>
            <w:r>
              <w:rPr>
                <w:rFonts w:ascii="Arial" w:hAnsi="Arial" w:cs="Arial"/>
                <w:sz w:val="20"/>
              </w:rPr>
              <w:t>nvestment</w:t>
            </w:r>
            <w:r w:rsidRPr="006E2E6F">
              <w:rPr>
                <w:rFonts w:ascii="Arial" w:hAnsi="Arial" w:cs="Arial"/>
                <w:sz w:val="20"/>
              </w:rPr>
              <w:t xml:space="preserve"> </w:t>
            </w:r>
            <w:r w:rsidR="00272176">
              <w:rPr>
                <w:rFonts w:ascii="Arial" w:hAnsi="Arial" w:cs="Arial"/>
                <w:sz w:val="20"/>
              </w:rPr>
              <w:br/>
            </w:r>
            <w:r w:rsidRPr="006E2E6F">
              <w:rPr>
                <w:rFonts w:ascii="Arial" w:hAnsi="Arial" w:cs="Arial"/>
                <w:sz w:val="20"/>
              </w:rPr>
              <w:t>P</w:t>
            </w:r>
            <w:r>
              <w:rPr>
                <w:rFonts w:ascii="Arial" w:hAnsi="Arial" w:cs="Arial"/>
                <w:sz w:val="20"/>
              </w:rPr>
              <w:t>roperty</w:t>
            </w:r>
            <w:r w:rsidR="00272176">
              <w:rPr>
                <w:rFonts w:ascii="Arial" w:hAnsi="Arial" w:cs="Arial"/>
                <w:sz w:val="20"/>
              </w:rPr>
              <w:br/>
            </w:r>
            <w:r w:rsidRPr="00315412">
              <w:rPr>
                <w:rFonts w:ascii="Arial" w:hAnsi="Arial" w:cs="Arial"/>
                <w:sz w:val="20"/>
              </w:rPr>
              <w:t>£</w:t>
            </w:r>
            <w:r>
              <w:rPr>
                <w:rFonts w:ascii="Arial" w:hAnsi="Arial" w:cs="Arial"/>
                <w:sz w:val="20"/>
              </w:rPr>
              <w:t>14m</w:t>
            </w:r>
          </w:p>
          <w:p w:rsidR="00420C36" w:rsidRDefault="00420C36" w:rsidP="00272176">
            <w:pPr>
              <w:spacing w:before="360"/>
              <w:rPr>
                <w:rFonts w:asciiTheme="minorHAnsi" w:hAnsiTheme="minorHAnsi" w:cstheme="minorHAnsi"/>
                <w:b/>
                <w:sz w:val="22"/>
                <w:szCs w:val="22"/>
              </w:rPr>
            </w:pPr>
          </w:p>
        </w:tc>
        <w:tc>
          <w:tcPr>
            <w:tcW w:w="349" w:type="dxa"/>
            <w:tcBorders>
              <w:top w:val="nil"/>
              <w:left w:val="single" w:sz="24" w:space="0" w:color="8064A2"/>
              <w:bottom w:val="nil"/>
              <w:right w:val="single" w:sz="24" w:space="0" w:color="8064A2"/>
            </w:tcBorders>
          </w:tcPr>
          <w:p w:rsidR="00420C36" w:rsidRDefault="00420C36" w:rsidP="00272176">
            <w:pPr>
              <w:spacing w:before="360"/>
              <w:rPr>
                <w:rFonts w:asciiTheme="minorHAnsi" w:hAnsiTheme="minorHAnsi" w:cstheme="minorHAnsi"/>
                <w:b/>
                <w:sz w:val="22"/>
                <w:szCs w:val="22"/>
              </w:rPr>
            </w:pPr>
          </w:p>
        </w:tc>
        <w:tc>
          <w:tcPr>
            <w:tcW w:w="2061" w:type="dxa"/>
            <w:tcBorders>
              <w:top w:val="single" w:sz="24" w:space="0" w:color="8064A2"/>
              <w:left w:val="single" w:sz="24" w:space="0" w:color="8064A2"/>
              <w:bottom w:val="single" w:sz="24" w:space="0" w:color="8064A2"/>
              <w:right w:val="single" w:sz="24" w:space="0" w:color="8064A2"/>
            </w:tcBorders>
          </w:tcPr>
          <w:p w:rsidR="004E71A0" w:rsidRPr="006E2E6F" w:rsidRDefault="004E71A0" w:rsidP="00272176">
            <w:pPr>
              <w:spacing w:before="360"/>
              <w:jc w:val="center"/>
              <w:rPr>
                <w:rFonts w:ascii="Arial" w:hAnsi="Arial" w:cs="Arial"/>
                <w:sz w:val="20"/>
              </w:rPr>
            </w:pPr>
            <w:r w:rsidRPr="006E2E6F">
              <w:rPr>
                <w:rFonts w:ascii="Arial" w:hAnsi="Arial" w:cs="Arial"/>
                <w:sz w:val="20"/>
              </w:rPr>
              <w:t>O</w:t>
            </w:r>
            <w:r>
              <w:rPr>
                <w:rFonts w:ascii="Arial" w:hAnsi="Arial" w:cs="Arial"/>
                <w:sz w:val="20"/>
              </w:rPr>
              <w:t xml:space="preserve">ther </w:t>
            </w:r>
            <w:r w:rsidRPr="006E2E6F">
              <w:rPr>
                <w:rFonts w:ascii="Arial" w:hAnsi="Arial" w:cs="Arial"/>
                <w:sz w:val="20"/>
              </w:rPr>
              <w:t>L</w:t>
            </w:r>
            <w:r>
              <w:rPr>
                <w:rFonts w:ascii="Arial" w:hAnsi="Arial" w:cs="Arial"/>
                <w:sz w:val="20"/>
              </w:rPr>
              <w:t>ong</w:t>
            </w:r>
            <w:r w:rsidRPr="006E2E6F">
              <w:rPr>
                <w:rFonts w:ascii="Arial" w:hAnsi="Arial" w:cs="Arial"/>
                <w:sz w:val="20"/>
              </w:rPr>
              <w:t xml:space="preserve"> T</w:t>
            </w:r>
            <w:r>
              <w:rPr>
                <w:rFonts w:ascii="Arial" w:hAnsi="Arial" w:cs="Arial"/>
                <w:sz w:val="20"/>
              </w:rPr>
              <w:t>erm</w:t>
            </w:r>
            <w:r w:rsidRPr="006E2E6F">
              <w:rPr>
                <w:rFonts w:ascii="Arial" w:hAnsi="Arial" w:cs="Arial"/>
                <w:sz w:val="20"/>
              </w:rPr>
              <w:t xml:space="preserve"> A</w:t>
            </w:r>
            <w:r>
              <w:rPr>
                <w:rFonts w:ascii="Arial" w:hAnsi="Arial" w:cs="Arial"/>
                <w:sz w:val="20"/>
              </w:rPr>
              <w:t>ssets</w:t>
            </w:r>
            <w:r w:rsidRPr="006E2E6F">
              <w:rPr>
                <w:rFonts w:ascii="Arial" w:hAnsi="Arial" w:cs="Arial"/>
                <w:sz w:val="20"/>
              </w:rPr>
              <w:t xml:space="preserve"> </w:t>
            </w:r>
            <w:r w:rsidR="00272176">
              <w:rPr>
                <w:rFonts w:ascii="Arial" w:hAnsi="Arial" w:cs="Arial"/>
                <w:sz w:val="20"/>
              </w:rPr>
              <w:br/>
            </w:r>
            <w:r w:rsidRPr="003F2966">
              <w:rPr>
                <w:rFonts w:ascii="Arial" w:hAnsi="Arial" w:cs="Arial"/>
                <w:sz w:val="20"/>
              </w:rPr>
              <w:t>£5</w:t>
            </w:r>
            <w:r>
              <w:rPr>
                <w:rFonts w:ascii="Arial" w:hAnsi="Arial" w:cs="Arial"/>
                <w:sz w:val="20"/>
              </w:rPr>
              <w:t>9</w:t>
            </w:r>
            <w:r w:rsidRPr="003F2966">
              <w:rPr>
                <w:rFonts w:ascii="Arial" w:hAnsi="Arial" w:cs="Arial"/>
                <w:sz w:val="20"/>
              </w:rPr>
              <w:t>m</w:t>
            </w:r>
          </w:p>
          <w:p w:rsidR="00420C36" w:rsidRDefault="00420C36" w:rsidP="00272176">
            <w:pPr>
              <w:spacing w:before="360"/>
              <w:rPr>
                <w:rFonts w:asciiTheme="minorHAnsi" w:hAnsiTheme="minorHAnsi" w:cstheme="minorHAnsi"/>
                <w:b/>
                <w:sz w:val="22"/>
                <w:szCs w:val="22"/>
              </w:rPr>
            </w:pPr>
          </w:p>
        </w:tc>
        <w:tc>
          <w:tcPr>
            <w:tcW w:w="399" w:type="dxa"/>
            <w:tcBorders>
              <w:top w:val="nil"/>
              <w:left w:val="single" w:sz="24" w:space="0" w:color="8064A2"/>
              <w:bottom w:val="nil"/>
              <w:right w:val="single" w:sz="24" w:space="0" w:color="8064A2"/>
            </w:tcBorders>
          </w:tcPr>
          <w:p w:rsidR="00420C36" w:rsidRDefault="00420C36" w:rsidP="00272176">
            <w:pPr>
              <w:spacing w:before="360"/>
              <w:rPr>
                <w:rFonts w:asciiTheme="minorHAnsi" w:hAnsiTheme="minorHAnsi" w:cstheme="minorHAnsi"/>
                <w:b/>
                <w:sz w:val="22"/>
                <w:szCs w:val="22"/>
              </w:rPr>
            </w:pPr>
          </w:p>
        </w:tc>
        <w:tc>
          <w:tcPr>
            <w:tcW w:w="1869" w:type="dxa"/>
            <w:tcBorders>
              <w:top w:val="single" w:sz="24" w:space="0" w:color="8064A2"/>
              <w:left w:val="single" w:sz="24" w:space="0" w:color="8064A2"/>
              <w:bottom w:val="single" w:sz="24" w:space="0" w:color="8064A2"/>
              <w:right w:val="single" w:sz="24" w:space="0" w:color="8064A2"/>
            </w:tcBorders>
          </w:tcPr>
          <w:p w:rsidR="004E71A0" w:rsidRPr="006E2E6F" w:rsidRDefault="004E71A0" w:rsidP="00272176">
            <w:pPr>
              <w:spacing w:before="360"/>
              <w:jc w:val="center"/>
              <w:rPr>
                <w:rFonts w:ascii="Arial" w:hAnsi="Arial" w:cs="Arial"/>
                <w:sz w:val="20"/>
              </w:rPr>
            </w:pPr>
            <w:r w:rsidRPr="006E2E6F">
              <w:rPr>
                <w:rFonts w:ascii="Arial" w:hAnsi="Arial" w:cs="Arial"/>
                <w:sz w:val="20"/>
              </w:rPr>
              <w:t>C</w:t>
            </w:r>
            <w:r>
              <w:rPr>
                <w:rFonts w:ascii="Arial" w:hAnsi="Arial" w:cs="Arial"/>
                <w:sz w:val="20"/>
              </w:rPr>
              <w:t>urrent</w:t>
            </w:r>
            <w:r w:rsidRPr="006E2E6F">
              <w:rPr>
                <w:rFonts w:ascii="Arial" w:hAnsi="Arial" w:cs="Arial"/>
                <w:sz w:val="20"/>
              </w:rPr>
              <w:t xml:space="preserve"> A</w:t>
            </w:r>
            <w:r>
              <w:rPr>
                <w:rFonts w:ascii="Arial" w:hAnsi="Arial" w:cs="Arial"/>
                <w:sz w:val="20"/>
              </w:rPr>
              <w:t>ssets</w:t>
            </w:r>
            <w:r w:rsidR="00272176">
              <w:rPr>
                <w:rFonts w:ascii="Arial" w:hAnsi="Arial" w:cs="Arial"/>
                <w:sz w:val="20"/>
              </w:rPr>
              <w:br/>
            </w:r>
            <w:r w:rsidRPr="003F2966">
              <w:rPr>
                <w:rFonts w:ascii="Arial" w:hAnsi="Arial" w:cs="Arial"/>
                <w:sz w:val="20"/>
              </w:rPr>
              <w:t>£</w:t>
            </w:r>
            <w:r>
              <w:rPr>
                <w:rFonts w:ascii="Arial" w:hAnsi="Arial" w:cs="Arial"/>
                <w:sz w:val="20"/>
              </w:rPr>
              <w:t>50</w:t>
            </w:r>
            <w:r w:rsidRPr="003F2966">
              <w:rPr>
                <w:rFonts w:ascii="Arial" w:hAnsi="Arial" w:cs="Arial"/>
                <w:sz w:val="20"/>
              </w:rPr>
              <w:t>m</w:t>
            </w:r>
          </w:p>
          <w:p w:rsidR="00420C36" w:rsidRDefault="00420C36" w:rsidP="00272176">
            <w:pPr>
              <w:spacing w:before="360"/>
              <w:rPr>
                <w:rFonts w:asciiTheme="minorHAnsi" w:hAnsiTheme="minorHAnsi" w:cstheme="minorHAnsi"/>
                <w:b/>
                <w:sz w:val="22"/>
                <w:szCs w:val="22"/>
              </w:rPr>
            </w:pPr>
          </w:p>
        </w:tc>
      </w:tr>
      <w:tr w:rsidR="004E71A0" w:rsidTr="00272176">
        <w:tc>
          <w:tcPr>
            <w:tcW w:w="9351" w:type="dxa"/>
            <w:gridSpan w:val="7"/>
            <w:tcBorders>
              <w:top w:val="nil"/>
              <w:left w:val="nil"/>
              <w:bottom w:val="single" w:sz="24" w:space="0" w:color="8064A2"/>
              <w:right w:val="nil"/>
            </w:tcBorders>
          </w:tcPr>
          <w:p w:rsidR="004E71A0" w:rsidRDefault="004E71A0" w:rsidP="00E83A90">
            <w:pPr>
              <w:rPr>
                <w:rFonts w:asciiTheme="minorHAnsi" w:hAnsiTheme="minorHAnsi" w:cstheme="minorHAnsi"/>
                <w:b/>
                <w:sz w:val="22"/>
                <w:szCs w:val="22"/>
              </w:rPr>
            </w:pPr>
          </w:p>
        </w:tc>
      </w:tr>
      <w:tr w:rsidR="00420C36" w:rsidTr="00272176">
        <w:trPr>
          <w:trHeight w:val="1035"/>
        </w:trPr>
        <w:tc>
          <w:tcPr>
            <w:tcW w:w="9351" w:type="dxa"/>
            <w:gridSpan w:val="7"/>
            <w:tcBorders>
              <w:top w:val="single" w:sz="24" w:space="0" w:color="8064A2"/>
              <w:left w:val="single" w:sz="24" w:space="0" w:color="8064A2"/>
              <w:bottom w:val="single" w:sz="24" w:space="0" w:color="8064A2"/>
              <w:right w:val="single" w:sz="24" w:space="0" w:color="8064A2"/>
            </w:tcBorders>
          </w:tcPr>
          <w:p w:rsidR="00420C36" w:rsidRPr="006E2E6F" w:rsidRDefault="00420C36" w:rsidP="00272176">
            <w:pPr>
              <w:spacing w:before="360"/>
              <w:jc w:val="center"/>
              <w:rPr>
                <w:rFonts w:ascii="Arial" w:hAnsi="Arial" w:cs="Arial"/>
                <w:sz w:val="20"/>
              </w:rPr>
            </w:pPr>
            <w:r w:rsidRPr="006E2E6F">
              <w:rPr>
                <w:rFonts w:ascii="Arial" w:hAnsi="Arial" w:cs="Arial"/>
                <w:sz w:val="20"/>
              </w:rPr>
              <w:t>T</w:t>
            </w:r>
            <w:r>
              <w:rPr>
                <w:rFonts w:ascii="Arial" w:hAnsi="Arial" w:cs="Arial"/>
                <w:sz w:val="20"/>
              </w:rPr>
              <w:t>otal</w:t>
            </w:r>
            <w:r w:rsidRPr="006E2E6F">
              <w:rPr>
                <w:rFonts w:ascii="Arial" w:hAnsi="Arial" w:cs="Arial"/>
                <w:sz w:val="20"/>
              </w:rPr>
              <w:t xml:space="preserve"> A</w:t>
            </w:r>
            <w:r>
              <w:rPr>
                <w:rFonts w:ascii="Arial" w:hAnsi="Arial" w:cs="Arial"/>
                <w:sz w:val="20"/>
              </w:rPr>
              <w:t>ssets</w:t>
            </w:r>
            <w:r w:rsidRPr="006E2E6F">
              <w:rPr>
                <w:rFonts w:ascii="Arial" w:hAnsi="Arial" w:cs="Arial"/>
                <w:sz w:val="20"/>
              </w:rPr>
              <w:t xml:space="preserve"> C</w:t>
            </w:r>
            <w:r>
              <w:rPr>
                <w:rFonts w:ascii="Arial" w:hAnsi="Arial" w:cs="Arial"/>
                <w:sz w:val="20"/>
              </w:rPr>
              <w:t>arried</w:t>
            </w:r>
            <w:r w:rsidRPr="006E2E6F">
              <w:rPr>
                <w:rFonts w:ascii="Arial" w:hAnsi="Arial" w:cs="Arial"/>
                <w:sz w:val="20"/>
              </w:rPr>
              <w:t xml:space="preserve"> F</w:t>
            </w:r>
            <w:r>
              <w:rPr>
                <w:rFonts w:ascii="Arial" w:hAnsi="Arial" w:cs="Arial"/>
                <w:sz w:val="20"/>
              </w:rPr>
              <w:t xml:space="preserve">orward </w:t>
            </w:r>
            <w:r w:rsidR="00272176">
              <w:rPr>
                <w:rFonts w:ascii="Arial" w:hAnsi="Arial" w:cs="Arial"/>
                <w:sz w:val="20"/>
              </w:rPr>
              <w:br/>
            </w:r>
            <w:r>
              <w:rPr>
                <w:rFonts w:ascii="Arial" w:hAnsi="Arial" w:cs="Arial"/>
                <w:sz w:val="20"/>
              </w:rPr>
              <w:t>£253m</w:t>
            </w:r>
          </w:p>
          <w:p w:rsidR="00420C36" w:rsidRDefault="00420C36" w:rsidP="00E83A90">
            <w:pPr>
              <w:rPr>
                <w:rFonts w:asciiTheme="minorHAnsi" w:hAnsiTheme="minorHAnsi" w:cstheme="minorHAnsi"/>
                <w:b/>
                <w:sz w:val="22"/>
                <w:szCs w:val="22"/>
              </w:rPr>
            </w:pPr>
          </w:p>
        </w:tc>
      </w:tr>
    </w:tbl>
    <w:p w:rsidR="00E83A90" w:rsidRDefault="00E83A90" w:rsidP="00E83A90">
      <w:pPr>
        <w:rPr>
          <w:rFonts w:asciiTheme="minorHAnsi" w:hAnsiTheme="minorHAnsi" w:cstheme="minorHAnsi"/>
          <w:b/>
          <w:sz w:val="22"/>
          <w:szCs w:val="22"/>
        </w:rPr>
      </w:pPr>
    </w:p>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Capital Expenditure Outlook</w:t>
      </w:r>
    </w:p>
    <w:p w:rsidR="00E83A90" w:rsidRPr="006C41B6" w:rsidRDefault="00E83A90" w:rsidP="00E83A90">
      <w:pPr>
        <w:rPr>
          <w:rFonts w:asciiTheme="minorHAnsi" w:hAnsiTheme="minorHAnsi" w:cstheme="minorHAnsi"/>
          <w:sz w:val="22"/>
          <w:szCs w:val="22"/>
          <w:u w:val="single"/>
        </w:rPr>
      </w:pPr>
    </w:p>
    <w:p w:rsidR="00E83A90" w:rsidRPr="00C9643E" w:rsidRDefault="00E83A90" w:rsidP="00E83A90">
      <w:r w:rsidRPr="00C9643E">
        <w:rPr>
          <w:rFonts w:asciiTheme="minorHAnsi" w:hAnsiTheme="minorHAnsi" w:cstheme="minorHAnsi"/>
          <w:sz w:val="22"/>
          <w:szCs w:val="22"/>
        </w:rPr>
        <w:t xml:space="preserve">The Council has a capital and asset replacement programme of £41.4m </w:t>
      </w:r>
      <w:r w:rsidR="008530F6">
        <w:rPr>
          <w:rFonts w:asciiTheme="minorHAnsi" w:hAnsiTheme="minorHAnsi" w:cstheme="minorHAnsi"/>
          <w:sz w:val="22"/>
          <w:szCs w:val="22"/>
        </w:rPr>
        <w:t xml:space="preserve">approved in March 2020 </w:t>
      </w:r>
      <w:r w:rsidRPr="00C9643E">
        <w:rPr>
          <w:rFonts w:asciiTheme="minorHAnsi" w:hAnsiTheme="minorHAnsi" w:cstheme="minorHAnsi"/>
          <w:sz w:val="22"/>
          <w:szCs w:val="22"/>
        </w:rPr>
        <w:t>in the period 2020-21 to 2024-25</w:t>
      </w:r>
      <w:r w:rsidR="008530F6">
        <w:rPr>
          <w:rFonts w:asciiTheme="minorHAnsi" w:hAnsiTheme="minorHAnsi" w:cstheme="minorHAnsi"/>
          <w:sz w:val="22"/>
          <w:szCs w:val="22"/>
        </w:rPr>
        <w:t xml:space="preserve"> (£47.4m including slippage from 2019-20). </w:t>
      </w:r>
      <w:r w:rsidRPr="00C9643E">
        <w:rPr>
          <w:rFonts w:asciiTheme="minorHAnsi" w:hAnsiTheme="minorHAnsi" w:cstheme="minorHAnsi"/>
          <w:sz w:val="22"/>
          <w:szCs w:val="22"/>
        </w:rPr>
        <w:t xml:space="preserve"> The major schemes currently planned for this period include:</w:t>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Caption w:val="Capital Expenditure Outlook"/>
      </w:tblPr>
      <w:tblGrid>
        <w:gridCol w:w="4744"/>
        <w:gridCol w:w="1381"/>
        <w:gridCol w:w="1382"/>
        <w:gridCol w:w="1439"/>
      </w:tblGrid>
      <w:tr w:rsidR="00E83A90" w:rsidRPr="006C41B6" w:rsidTr="00E83A90">
        <w:trPr>
          <w:tblHeader/>
        </w:trPr>
        <w:tc>
          <w:tcPr>
            <w:tcW w:w="4744" w:type="dxa"/>
            <w:shd w:val="clear" w:color="auto" w:fill="8064A2" w:themeFill="accent4"/>
          </w:tcPr>
          <w:p w:rsidR="00E83A90" w:rsidRPr="006C41B6" w:rsidRDefault="00E83A90" w:rsidP="00E83A90">
            <w:pPr>
              <w:rPr>
                <w:rFonts w:asciiTheme="minorHAnsi" w:hAnsiTheme="minorHAnsi" w:cstheme="minorHAnsi"/>
                <w:color w:val="FFFFFF" w:themeColor="background1"/>
                <w:sz w:val="22"/>
                <w:szCs w:val="22"/>
              </w:rPr>
            </w:pPr>
            <w:r w:rsidRPr="006C41B6">
              <w:rPr>
                <w:rFonts w:asciiTheme="minorHAnsi" w:hAnsiTheme="minorHAnsi" w:cstheme="minorHAnsi"/>
                <w:color w:val="FFFFFF" w:themeColor="background1"/>
                <w:sz w:val="22"/>
                <w:szCs w:val="22"/>
              </w:rPr>
              <w:t>Capital Expenditure (Planned)</w:t>
            </w:r>
          </w:p>
        </w:tc>
        <w:tc>
          <w:tcPr>
            <w:tcW w:w="1381" w:type="dxa"/>
            <w:shd w:val="clear" w:color="auto" w:fill="8064A2" w:themeFill="accent4"/>
          </w:tcPr>
          <w:p w:rsidR="00E83A90" w:rsidRPr="006C41B6" w:rsidRDefault="00E83A90" w:rsidP="00E83A90">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2020-21</w:t>
            </w:r>
          </w:p>
          <w:p w:rsidR="00E83A90" w:rsidRPr="006C41B6" w:rsidRDefault="00E83A90" w:rsidP="00E83A90">
            <w:pPr>
              <w:jc w:val="center"/>
              <w:rPr>
                <w:rFonts w:asciiTheme="minorHAnsi" w:hAnsiTheme="minorHAnsi" w:cstheme="minorHAnsi"/>
                <w:color w:val="FFFFFF" w:themeColor="background1"/>
                <w:sz w:val="22"/>
                <w:szCs w:val="22"/>
              </w:rPr>
            </w:pPr>
            <w:r w:rsidRPr="006C41B6">
              <w:rPr>
                <w:rFonts w:asciiTheme="minorHAnsi" w:hAnsiTheme="minorHAnsi" w:cstheme="minorHAnsi"/>
                <w:color w:val="FFFFFF" w:themeColor="background1"/>
                <w:sz w:val="22"/>
                <w:szCs w:val="22"/>
              </w:rPr>
              <w:t>£000</w:t>
            </w:r>
          </w:p>
        </w:tc>
        <w:tc>
          <w:tcPr>
            <w:tcW w:w="1382" w:type="dxa"/>
            <w:shd w:val="clear" w:color="auto" w:fill="8064A2" w:themeFill="accent4"/>
          </w:tcPr>
          <w:p w:rsidR="00E83A90" w:rsidRPr="006C41B6" w:rsidRDefault="00E83A90" w:rsidP="00E83A90">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2021-22</w:t>
            </w:r>
          </w:p>
          <w:p w:rsidR="00E83A90" w:rsidRPr="006C41B6" w:rsidRDefault="00E83A90" w:rsidP="00E83A90">
            <w:pPr>
              <w:jc w:val="center"/>
              <w:rPr>
                <w:rFonts w:asciiTheme="minorHAnsi" w:hAnsiTheme="minorHAnsi" w:cstheme="minorHAnsi"/>
                <w:color w:val="FFFFFF" w:themeColor="background1"/>
                <w:sz w:val="22"/>
                <w:szCs w:val="22"/>
              </w:rPr>
            </w:pPr>
            <w:r w:rsidRPr="006C41B6">
              <w:rPr>
                <w:rFonts w:asciiTheme="minorHAnsi" w:hAnsiTheme="minorHAnsi" w:cstheme="minorHAnsi"/>
                <w:color w:val="FFFFFF" w:themeColor="background1"/>
                <w:sz w:val="22"/>
                <w:szCs w:val="22"/>
              </w:rPr>
              <w:t>£000</w:t>
            </w:r>
          </w:p>
        </w:tc>
        <w:tc>
          <w:tcPr>
            <w:tcW w:w="1439" w:type="dxa"/>
            <w:shd w:val="clear" w:color="auto" w:fill="8064A2" w:themeFill="accent4"/>
          </w:tcPr>
          <w:p w:rsidR="00E83A90" w:rsidRPr="006C41B6" w:rsidRDefault="00E83A90" w:rsidP="00E83A90">
            <w:pPr>
              <w:jc w:val="center"/>
              <w:rPr>
                <w:rFonts w:asciiTheme="minorHAnsi" w:hAnsiTheme="minorHAnsi" w:cstheme="minorHAnsi"/>
                <w:color w:val="FFFFFF" w:themeColor="background1"/>
                <w:sz w:val="22"/>
                <w:szCs w:val="22"/>
              </w:rPr>
            </w:pPr>
            <w:r w:rsidRPr="006C41B6">
              <w:rPr>
                <w:rFonts w:asciiTheme="minorHAnsi" w:hAnsiTheme="minorHAnsi" w:cstheme="minorHAnsi"/>
                <w:color w:val="FFFFFF" w:themeColor="background1"/>
                <w:sz w:val="22"/>
                <w:szCs w:val="22"/>
              </w:rPr>
              <w:t>Later</w:t>
            </w:r>
          </w:p>
          <w:p w:rsidR="00E83A90" w:rsidRPr="006C41B6" w:rsidRDefault="00E83A90" w:rsidP="00E83A90">
            <w:pPr>
              <w:jc w:val="center"/>
              <w:rPr>
                <w:rFonts w:asciiTheme="minorHAnsi" w:hAnsiTheme="minorHAnsi" w:cstheme="minorHAnsi"/>
                <w:color w:val="FFFFFF" w:themeColor="background1"/>
                <w:sz w:val="22"/>
                <w:szCs w:val="22"/>
              </w:rPr>
            </w:pPr>
            <w:r w:rsidRPr="006C41B6">
              <w:rPr>
                <w:rFonts w:asciiTheme="minorHAnsi" w:hAnsiTheme="minorHAnsi" w:cstheme="minorHAnsi"/>
                <w:color w:val="FFFFFF" w:themeColor="background1"/>
                <w:sz w:val="22"/>
                <w:szCs w:val="22"/>
              </w:rPr>
              <w:t>£000</w:t>
            </w:r>
          </w:p>
        </w:tc>
      </w:tr>
      <w:tr w:rsidR="00E83A90" w:rsidRPr="006C41B6" w:rsidTr="00E83A90">
        <w:tc>
          <w:tcPr>
            <w:tcW w:w="4744" w:type="dxa"/>
            <w:shd w:val="clear" w:color="auto" w:fill="auto"/>
          </w:tcPr>
          <w:p w:rsidR="00E83A90" w:rsidRPr="00C9643E" w:rsidRDefault="00E83A90" w:rsidP="00E83A90">
            <w:pPr>
              <w:rPr>
                <w:rFonts w:asciiTheme="minorHAnsi" w:hAnsiTheme="minorHAnsi" w:cstheme="minorHAnsi"/>
                <w:sz w:val="22"/>
                <w:szCs w:val="22"/>
              </w:rPr>
            </w:pPr>
            <w:r w:rsidRPr="00C9643E">
              <w:rPr>
                <w:rFonts w:asciiTheme="minorHAnsi" w:hAnsiTheme="minorHAnsi" w:cstheme="minorHAnsi"/>
                <w:sz w:val="22"/>
                <w:szCs w:val="22"/>
              </w:rPr>
              <w:t>Plot 21 Terminus Road Development</w:t>
            </w:r>
          </w:p>
        </w:tc>
        <w:tc>
          <w:tcPr>
            <w:tcW w:w="1381" w:type="dxa"/>
            <w:shd w:val="clear" w:color="auto" w:fill="auto"/>
          </w:tcPr>
          <w:p w:rsidR="00E83A90" w:rsidRPr="00C9643E" w:rsidRDefault="00E83A90" w:rsidP="00E83A90">
            <w:pPr>
              <w:jc w:val="right"/>
              <w:rPr>
                <w:rFonts w:asciiTheme="minorHAnsi" w:hAnsiTheme="minorHAnsi" w:cstheme="minorHAnsi"/>
                <w:sz w:val="22"/>
                <w:szCs w:val="22"/>
              </w:rPr>
            </w:pPr>
            <w:r w:rsidRPr="00C9643E">
              <w:rPr>
                <w:rFonts w:asciiTheme="minorHAnsi" w:hAnsiTheme="minorHAnsi" w:cstheme="minorHAnsi"/>
                <w:sz w:val="22"/>
                <w:szCs w:val="22"/>
              </w:rPr>
              <w:t>1,564</w:t>
            </w:r>
          </w:p>
        </w:tc>
        <w:tc>
          <w:tcPr>
            <w:tcW w:w="1382" w:type="dxa"/>
            <w:shd w:val="clear" w:color="auto" w:fill="auto"/>
          </w:tcPr>
          <w:p w:rsidR="00E83A90" w:rsidRPr="00C9643E" w:rsidRDefault="00E83A90" w:rsidP="00E83A90">
            <w:pPr>
              <w:jc w:val="right"/>
              <w:rPr>
                <w:rFonts w:asciiTheme="minorHAnsi" w:hAnsiTheme="minorHAnsi" w:cstheme="minorHAnsi"/>
                <w:sz w:val="22"/>
                <w:szCs w:val="22"/>
              </w:rPr>
            </w:pPr>
            <w:r w:rsidRPr="00C9643E">
              <w:rPr>
                <w:rFonts w:asciiTheme="minorHAnsi" w:hAnsiTheme="minorHAnsi" w:cstheme="minorHAnsi"/>
                <w:sz w:val="22"/>
                <w:szCs w:val="22"/>
              </w:rPr>
              <w:t>-</w:t>
            </w:r>
          </w:p>
        </w:tc>
        <w:tc>
          <w:tcPr>
            <w:tcW w:w="1439" w:type="dxa"/>
            <w:shd w:val="clear" w:color="auto" w:fill="auto"/>
          </w:tcPr>
          <w:p w:rsidR="00E83A90" w:rsidRPr="00C9643E" w:rsidRDefault="00E83A90" w:rsidP="00E83A90">
            <w:pPr>
              <w:jc w:val="right"/>
              <w:rPr>
                <w:rFonts w:asciiTheme="minorHAnsi" w:hAnsiTheme="minorHAnsi" w:cstheme="minorHAnsi"/>
                <w:sz w:val="22"/>
                <w:szCs w:val="22"/>
              </w:rPr>
            </w:pPr>
            <w:r w:rsidRPr="00C9643E">
              <w:rPr>
                <w:rFonts w:asciiTheme="minorHAnsi" w:hAnsiTheme="minorHAnsi" w:cstheme="minorHAnsi"/>
                <w:sz w:val="22"/>
                <w:szCs w:val="22"/>
              </w:rPr>
              <w:t>-</w:t>
            </w:r>
          </w:p>
        </w:tc>
      </w:tr>
      <w:tr w:rsidR="00E83A90" w:rsidRPr="006C41B6" w:rsidTr="00E83A90">
        <w:tc>
          <w:tcPr>
            <w:tcW w:w="4744" w:type="dxa"/>
            <w:shd w:val="clear" w:color="auto" w:fill="auto"/>
          </w:tcPr>
          <w:p w:rsidR="00E83A90" w:rsidRPr="00C85F23" w:rsidRDefault="00E83A90" w:rsidP="00E83A90">
            <w:pPr>
              <w:rPr>
                <w:rFonts w:asciiTheme="minorHAnsi" w:hAnsiTheme="minorHAnsi" w:cstheme="minorHAnsi"/>
                <w:sz w:val="22"/>
                <w:szCs w:val="22"/>
              </w:rPr>
            </w:pPr>
            <w:r>
              <w:rPr>
                <w:rFonts w:asciiTheme="minorHAnsi" w:hAnsiTheme="minorHAnsi" w:cstheme="minorHAnsi"/>
                <w:sz w:val="22"/>
                <w:szCs w:val="22"/>
              </w:rPr>
              <w:t xml:space="preserve">St. James’ Industrial Estate Refurbishment </w:t>
            </w:r>
          </w:p>
        </w:tc>
        <w:tc>
          <w:tcPr>
            <w:tcW w:w="1381" w:type="dxa"/>
            <w:shd w:val="clear" w:color="auto" w:fill="auto"/>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1,966</w:t>
            </w:r>
          </w:p>
        </w:tc>
        <w:tc>
          <w:tcPr>
            <w:tcW w:w="1382" w:type="dxa"/>
            <w:shd w:val="clear" w:color="auto" w:fill="auto"/>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3,089</w:t>
            </w:r>
          </w:p>
        </w:tc>
        <w:tc>
          <w:tcPr>
            <w:tcW w:w="1439" w:type="dxa"/>
            <w:shd w:val="clear" w:color="auto" w:fill="auto"/>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12</w:t>
            </w:r>
          </w:p>
        </w:tc>
      </w:tr>
      <w:tr w:rsidR="00E83A90" w:rsidRPr="006C41B6" w:rsidTr="00E83A90">
        <w:tc>
          <w:tcPr>
            <w:tcW w:w="4744" w:type="dxa"/>
            <w:shd w:val="clear" w:color="auto" w:fill="auto"/>
          </w:tcPr>
          <w:p w:rsidR="00E83A90" w:rsidDel="00D82550" w:rsidRDefault="00E83A90" w:rsidP="00E83A90">
            <w:pPr>
              <w:rPr>
                <w:rFonts w:asciiTheme="minorHAnsi" w:hAnsiTheme="minorHAnsi" w:cstheme="minorHAnsi"/>
                <w:sz w:val="22"/>
                <w:szCs w:val="22"/>
              </w:rPr>
            </w:pPr>
            <w:r>
              <w:rPr>
                <w:rFonts w:asciiTheme="minorHAnsi" w:hAnsiTheme="minorHAnsi" w:cstheme="minorHAnsi"/>
                <w:sz w:val="22"/>
                <w:szCs w:val="22"/>
              </w:rPr>
              <w:t>Community Grants</w:t>
            </w:r>
          </w:p>
        </w:tc>
        <w:tc>
          <w:tcPr>
            <w:tcW w:w="1381" w:type="dxa"/>
            <w:shd w:val="clear" w:color="auto" w:fill="auto"/>
          </w:tcPr>
          <w:p w:rsidR="00E83A90" w:rsidDel="00D82550" w:rsidRDefault="00E83A90" w:rsidP="00E83A90">
            <w:pPr>
              <w:jc w:val="right"/>
              <w:rPr>
                <w:rFonts w:asciiTheme="minorHAnsi" w:hAnsiTheme="minorHAnsi" w:cstheme="minorHAnsi"/>
                <w:sz w:val="22"/>
                <w:szCs w:val="22"/>
              </w:rPr>
            </w:pPr>
            <w:r>
              <w:rPr>
                <w:rFonts w:asciiTheme="minorHAnsi" w:hAnsiTheme="minorHAnsi" w:cstheme="minorHAnsi"/>
                <w:sz w:val="22"/>
                <w:szCs w:val="22"/>
              </w:rPr>
              <w:t>425</w:t>
            </w:r>
          </w:p>
        </w:tc>
        <w:tc>
          <w:tcPr>
            <w:tcW w:w="1382" w:type="dxa"/>
            <w:shd w:val="clear" w:color="auto" w:fill="auto"/>
          </w:tcPr>
          <w:p w:rsidR="00E83A90" w:rsidDel="00D82550" w:rsidRDefault="00E83A90" w:rsidP="00E83A90">
            <w:pPr>
              <w:jc w:val="right"/>
              <w:rPr>
                <w:rFonts w:asciiTheme="minorHAnsi" w:hAnsiTheme="minorHAnsi" w:cstheme="minorHAnsi"/>
                <w:sz w:val="22"/>
                <w:szCs w:val="22"/>
              </w:rPr>
            </w:pPr>
            <w:r>
              <w:rPr>
                <w:rFonts w:asciiTheme="minorHAnsi" w:hAnsiTheme="minorHAnsi" w:cstheme="minorHAnsi"/>
                <w:sz w:val="22"/>
                <w:szCs w:val="22"/>
              </w:rPr>
              <w:t>425</w:t>
            </w:r>
          </w:p>
        </w:tc>
        <w:tc>
          <w:tcPr>
            <w:tcW w:w="1439" w:type="dxa"/>
            <w:shd w:val="clear" w:color="auto" w:fill="auto"/>
          </w:tcPr>
          <w:p w:rsidR="00E83A90" w:rsidDel="00D82550" w:rsidRDefault="00E83A90" w:rsidP="00E83A90">
            <w:pPr>
              <w:jc w:val="right"/>
              <w:rPr>
                <w:rFonts w:asciiTheme="minorHAnsi" w:hAnsiTheme="minorHAnsi" w:cstheme="minorHAnsi"/>
                <w:sz w:val="22"/>
                <w:szCs w:val="22"/>
              </w:rPr>
            </w:pPr>
            <w:r>
              <w:rPr>
                <w:rFonts w:asciiTheme="minorHAnsi" w:hAnsiTheme="minorHAnsi" w:cstheme="minorHAnsi"/>
                <w:sz w:val="22"/>
                <w:szCs w:val="22"/>
              </w:rPr>
              <w:t>1,275</w:t>
            </w:r>
          </w:p>
        </w:tc>
      </w:tr>
      <w:tr w:rsidR="00E83A90" w:rsidRPr="006C41B6" w:rsidTr="00E83A90">
        <w:tc>
          <w:tcPr>
            <w:tcW w:w="4744" w:type="dxa"/>
            <w:shd w:val="clear" w:color="auto" w:fill="auto"/>
          </w:tcPr>
          <w:p w:rsidR="00E83A90" w:rsidRPr="00C85F23" w:rsidRDefault="00E83A90" w:rsidP="00E83A90">
            <w:pPr>
              <w:rPr>
                <w:rFonts w:asciiTheme="minorHAnsi" w:hAnsiTheme="minorHAnsi" w:cstheme="minorHAnsi"/>
                <w:sz w:val="22"/>
                <w:szCs w:val="22"/>
              </w:rPr>
            </w:pPr>
            <w:r w:rsidRPr="00C85F23">
              <w:rPr>
                <w:rFonts w:asciiTheme="minorHAnsi" w:hAnsiTheme="minorHAnsi" w:cstheme="minorHAnsi"/>
                <w:sz w:val="22"/>
                <w:szCs w:val="22"/>
              </w:rPr>
              <w:t>Community Led Housing</w:t>
            </w:r>
          </w:p>
        </w:tc>
        <w:tc>
          <w:tcPr>
            <w:tcW w:w="1381" w:type="dxa"/>
            <w:shd w:val="clear" w:color="auto" w:fill="auto"/>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370</w:t>
            </w:r>
          </w:p>
        </w:tc>
        <w:tc>
          <w:tcPr>
            <w:tcW w:w="1382" w:type="dxa"/>
            <w:shd w:val="clear" w:color="auto" w:fill="auto"/>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310</w:t>
            </w:r>
          </w:p>
        </w:tc>
        <w:tc>
          <w:tcPr>
            <w:tcW w:w="1439" w:type="dxa"/>
            <w:shd w:val="clear" w:color="auto" w:fill="auto"/>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r>
      <w:tr w:rsidR="00E83A90" w:rsidRPr="006C41B6" w:rsidTr="00E83A90">
        <w:tc>
          <w:tcPr>
            <w:tcW w:w="4744" w:type="dxa"/>
            <w:shd w:val="clear" w:color="auto" w:fill="auto"/>
          </w:tcPr>
          <w:p w:rsidR="00E83A90" w:rsidRPr="00C85F23" w:rsidRDefault="00E83A90" w:rsidP="00E83A90">
            <w:pPr>
              <w:rPr>
                <w:rFonts w:asciiTheme="minorHAnsi" w:hAnsiTheme="minorHAnsi" w:cstheme="minorHAnsi"/>
                <w:sz w:val="22"/>
                <w:szCs w:val="22"/>
              </w:rPr>
            </w:pPr>
            <w:r>
              <w:rPr>
                <w:rFonts w:asciiTheme="minorHAnsi" w:hAnsiTheme="minorHAnsi" w:cstheme="minorHAnsi"/>
                <w:sz w:val="22"/>
                <w:szCs w:val="22"/>
              </w:rPr>
              <w:t>Affordable Housing, including Grants</w:t>
            </w:r>
          </w:p>
        </w:tc>
        <w:tc>
          <w:tcPr>
            <w:tcW w:w="1381" w:type="dxa"/>
            <w:shd w:val="clear" w:color="auto" w:fill="auto"/>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1,077</w:t>
            </w:r>
          </w:p>
        </w:tc>
        <w:tc>
          <w:tcPr>
            <w:tcW w:w="1382" w:type="dxa"/>
            <w:shd w:val="clear" w:color="auto" w:fill="auto"/>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1,000</w:t>
            </w:r>
          </w:p>
        </w:tc>
        <w:tc>
          <w:tcPr>
            <w:tcW w:w="1439" w:type="dxa"/>
            <w:shd w:val="clear" w:color="auto" w:fill="auto"/>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500</w:t>
            </w:r>
          </w:p>
        </w:tc>
      </w:tr>
      <w:tr w:rsidR="00E83A90" w:rsidRPr="006C41B6" w:rsidTr="00E83A90">
        <w:tc>
          <w:tcPr>
            <w:tcW w:w="4744" w:type="dxa"/>
          </w:tcPr>
          <w:p w:rsidR="00E83A90" w:rsidRPr="00C85F23" w:rsidRDefault="00E83A90" w:rsidP="00E83A90">
            <w:pPr>
              <w:rPr>
                <w:rFonts w:asciiTheme="minorHAnsi" w:hAnsiTheme="minorHAnsi" w:cstheme="minorHAnsi"/>
                <w:sz w:val="22"/>
                <w:szCs w:val="22"/>
              </w:rPr>
            </w:pPr>
            <w:r w:rsidRPr="00C85F23">
              <w:rPr>
                <w:rFonts w:asciiTheme="minorHAnsi" w:hAnsiTheme="minorHAnsi" w:cstheme="minorHAnsi"/>
                <w:sz w:val="22"/>
                <w:szCs w:val="22"/>
              </w:rPr>
              <w:t xml:space="preserve">Disabled Facilities </w:t>
            </w:r>
            <w:r>
              <w:rPr>
                <w:rFonts w:asciiTheme="minorHAnsi" w:hAnsiTheme="minorHAnsi" w:cstheme="minorHAnsi"/>
                <w:sz w:val="22"/>
                <w:szCs w:val="22"/>
              </w:rPr>
              <w:t>G</w:t>
            </w:r>
            <w:r w:rsidRPr="00C85F23">
              <w:rPr>
                <w:rFonts w:asciiTheme="minorHAnsi" w:hAnsiTheme="minorHAnsi" w:cstheme="minorHAnsi"/>
                <w:sz w:val="22"/>
                <w:szCs w:val="22"/>
              </w:rPr>
              <w:t>rants</w:t>
            </w:r>
          </w:p>
        </w:tc>
        <w:tc>
          <w:tcPr>
            <w:tcW w:w="1381"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1,350</w:t>
            </w:r>
          </w:p>
        </w:tc>
        <w:tc>
          <w:tcPr>
            <w:tcW w:w="1382"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1,350</w:t>
            </w:r>
          </w:p>
        </w:tc>
        <w:tc>
          <w:tcPr>
            <w:tcW w:w="1439"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4,050</w:t>
            </w:r>
          </w:p>
        </w:tc>
      </w:tr>
      <w:tr w:rsidR="00E83A90" w:rsidRPr="006C41B6" w:rsidTr="00E83A90">
        <w:tc>
          <w:tcPr>
            <w:tcW w:w="4744" w:type="dxa"/>
          </w:tcPr>
          <w:p w:rsidR="00E83A90" w:rsidRDefault="00E83A90" w:rsidP="00E83A90">
            <w:pPr>
              <w:rPr>
                <w:rFonts w:asciiTheme="minorHAnsi" w:hAnsiTheme="minorHAnsi" w:cstheme="minorHAnsi"/>
                <w:sz w:val="22"/>
                <w:szCs w:val="22"/>
              </w:rPr>
            </w:pPr>
            <w:r>
              <w:rPr>
                <w:rFonts w:asciiTheme="minorHAnsi" w:hAnsiTheme="minorHAnsi" w:cstheme="minorHAnsi"/>
                <w:sz w:val="22"/>
                <w:szCs w:val="22"/>
              </w:rPr>
              <w:t>Rural Housing Fund</w:t>
            </w:r>
          </w:p>
        </w:tc>
        <w:tc>
          <w:tcPr>
            <w:tcW w:w="1381"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200</w:t>
            </w:r>
          </w:p>
        </w:tc>
        <w:tc>
          <w:tcPr>
            <w:tcW w:w="1382"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260</w:t>
            </w:r>
          </w:p>
        </w:tc>
        <w:tc>
          <w:tcPr>
            <w:tcW w:w="1439"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r>
      <w:tr w:rsidR="00E83A90" w:rsidRPr="006C41B6" w:rsidTr="00E83A90">
        <w:tc>
          <w:tcPr>
            <w:tcW w:w="4744" w:type="dxa"/>
          </w:tcPr>
          <w:p w:rsidR="00E83A90" w:rsidRDefault="00E83A90" w:rsidP="00E83A90">
            <w:pPr>
              <w:rPr>
                <w:rFonts w:asciiTheme="minorHAnsi" w:hAnsiTheme="minorHAnsi" w:cstheme="minorHAnsi"/>
                <w:sz w:val="22"/>
                <w:szCs w:val="22"/>
              </w:rPr>
            </w:pPr>
            <w:r>
              <w:rPr>
                <w:rFonts w:asciiTheme="minorHAnsi" w:hAnsiTheme="minorHAnsi" w:cstheme="minorHAnsi"/>
                <w:sz w:val="22"/>
                <w:szCs w:val="22"/>
              </w:rPr>
              <w:t>Playground Replacement Programme</w:t>
            </w:r>
          </w:p>
        </w:tc>
        <w:tc>
          <w:tcPr>
            <w:tcW w:w="1381"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150</w:t>
            </w:r>
          </w:p>
        </w:tc>
        <w:tc>
          <w:tcPr>
            <w:tcW w:w="1382"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c>
          <w:tcPr>
            <w:tcW w:w="1439"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290</w:t>
            </w:r>
          </w:p>
        </w:tc>
      </w:tr>
      <w:tr w:rsidR="00E83A90" w:rsidRPr="006C41B6" w:rsidTr="00E83A90">
        <w:tc>
          <w:tcPr>
            <w:tcW w:w="4744" w:type="dxa"/>
          </w:tcPr>
          <w:p w:rsidR="00E83A90" w:rsidRPr="00C85F23" w:rsidRDefault="00E83A90" w:rsidP="00E83A90">
            <w:pPr>
              <w:rPr>
                <w:rFonts w:asciiTheme="minorHAnsi" w:hAnsiTheme="minorHAnsi" w:cstheme="minorHAnsi"/>
                <w:sz w:val="22"/>
                <w:szCs w:val="22"/>
              </w:rPr>
            </w:pPr>
            <w:r>
              <w:rPr>
                <w:rFonts w:asciiTheme="minorHAnsi" w:hAnsiTheme="minorHAnsi" w:cstheme="minorHAnsi"/>
                <w:sz w:val="22"/>
                <w:szCs w:val="22"/>
              </w:rPr>
              <w:t>Public Convenience Refurbishment programme</w:t>
            </w:r>
          </w:p>
        </w:tc>
        <w:tc>
          <w:tcPr>
            <w:tcW w:w="1381"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490</w:t>
            </w:r>
          </w:p>
        </w:tc>
        <w:tc>
          <w:tcPr>
            <w:tcW w:w="1382"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170</w:t>
            </w:r>
          </w:p>
        </w:tc>
        <w:tc>
          <w:tcPr>
            <w:tcW w:w="1439"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300</w:t>
            </w:r>
          </w:p>
        </w:tc>
      </w:tr>
      <w:tr w:rsidR="00E83A90" w:rsidRPr="006C41B6" w:rsidTr="00E83A90">
        <w:tc>
          <w:tcPr>
            <w:tcW w:w="4744" w:type="dxa"/>
            <w:shd w:val="clear" w:color="auto" w:fill="auto"/>
          </w:tcPr>
          <w:p w:rsidR="00E83A90" w:rsidRPr="00C85F23" w:rsidRDefault="00E83A90" w:rsidP="00E83A90">
            <w:pPr>
              <w:rPr>
                <w:rFonts w:asciiTheme="minorHAnsi" w:hAnsiTheme="minorHAnsi" w:cstheme="minorHAnsi"/>
                <w:sz w:val="22"/>
                <w:szCs w:val="22"/>
              </w:rPr>
            </w:pPr>
            <w:r w:rsidRPr="00C85F23">
              <w:rPr>
                <w:rFonts w:asciiTheme="minorHAnsi" w:hAnsiTheme="minorHAnsi" w:cstheme="minorHAnsi"/>
                <w:sz w:val="22"/>
                <w:szCs w:val="22"/>
              </w:rPr>
              <w:t>Vehicle Replacement Programme</w:t>
            </w:r>
          </w:p>
        </w:tc>
        <w:tc>
          <w:tcPr>
            <w:tcW w:w="1381" w:type="dxa"/>
            <w:shd w:val="clear" w:color="auto" w:fill="auto"/>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1,271</w:t>
            </w:r>
          </w:p>
        </w:tc>
        <w:tc>
          <w:tcPr>
            <w:tcW w:w="1382" w:type="dxa"/>
            <w:shd w:val="clear" w:color="auto" w:fill="auto"/>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1,057</w:t>
            </w:r>
          </w:p>
        </w:tc>
        <w:tc>
          <w:tcPr>
            <w:tcW w:w="1439" w:type="dxa"/>
            <w:shd w:val="clear" w:color="auto" w:fill="auto"/>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1,809</w:t>
            </w:r>
          </w:p>
        </w:tc>
      </w:tr>
      <w:tr w:rsidR="00E83A90" w:rsidRPr="006C41B6" w:rsidTr="00E83A90">
        <w:tc>
          <w:tcPr>
            <w:tcW w:w="4744" w:type="dxa"/>
          </w:tcPr>
          <w:p w:rsidR="00E83A90" w:rsidRPr="004741A7" w:rsidRDefault="00E83A90" w:rsidP="00E83A90">
            <w:pPr>
              <w:rPr>
                <w:rFonts w:asciiTheme="minorHAnsi" w:hAnsiTheme="minorHAnsi" w:cstheme="minorHAnsi"/>
                <w:i/>
                <w:sz w:val="22"/>
                <w:szCs w:val="22"/>
              </w:rPr>
            </w:pPr>
            <w:r w:rsidRPr="004741A7">
              <w:rPr>
                <w:rFonts w:asciiTheme="minorHAnsi" w:hAnsiTheme="minorHAnsi" w:cstheme="minorHAnsi"/>
                <w:i/>
                <w:sz w:val="22"/>
                <w:szCs w:val="22"/>
              </w:rPr>
              <w:t>Community Infrastructure Levy (CIL) Projects</w:t>
            </w:r>
          </w:p>
        </w:tc>
        <w:tc>
          <w:tcPr>
            <w:tcW w:w="1381" w:type="dxa"/>
          </w:tcPr>
          <w:p w:rsidR="00E83A90" w:rsidRPr="00C85F23" w:rsidRDefault="00E83A90" w:rsidP="00E83A90">
            <w:pPr>
              <w:jc w:val="right"/>
              <w:rPr>
                <w:rFonts w:asciiTheme="minorHAnsi" w:hAnsiTheme="minorHAnsi" w:cstheme="minorHAnsi"/>
                <w:sz w:val="22"/>
                <w:szCs w:val="22"/>
              </w:rPr>
            </w:pPr>
          </w:p>
        </w:tc>
        <w:tc>
          <w:tcPr>
            <w:tcW w:w="1382" w:type="dxa"/>
          </w:tcPr>
          <w:p w:rsidR="00E83A90" w:rsidRPr="00C85F23" w:rsidRDefault="00E83A90" w:rsidP="00E83A90">
            <w:pPr>
              <w:jc w:val="right"/>
              <w:rPr>
                <w:rFonts w:asciiTheme="minorHAnsi" w:hAnsiTheme="minorHAnsi" w:cstheme="minorHAnsi"/>
                <w:sz w:val="22"/>
                <w:szCs w:val="22"/>
              </w:rPr>
            </w:pPr>
          </w:p>
        </w:tc>
        <w:tc>
          <w:tcPr>
            <w:tcW w:w="1439" w:type="dxa"/>
          </w:tcPr>
          <w:p w:rsidR="00E83A90" w:rsidRPr="00C85F23" w:rsidRDefault="00E83A90" w:rsidP="00E83A90">
            <w:pPr>
              <w:jc w:val="right"/>
              <w:rPr>
                <w:rFonts w:asciiTheme="minorHAnsi" w:hAnsiTheme="minorHAnsi" w:cstheme="minorHAnsi"/>
                <w:sz w:val="22"/>
                <w:szCs w:val="22"/>
              </w:rPr>
            </w:pPr>
          </w:p>
        </w:tc>
      </w:tr>
      <w:tr w:rsidR="00E83A90" w:rsidRPr="006C41B6" w:rsidTr="00E83A90">
        <w:tc>
          <w:tcPr>
            <w:tcW w:w="4744" w:type="dxa"/>
          </w:tcPr>
          <w:p w:rsidR="00E83A90" w:rsidRPr="00C85F23" w:rsidRDefault="00E83A90" w:rsidP="00E83A90">
            <w:pPr>
              <w:pStyle w:val="ListParagraph"/>
              <w:numPr>
                <w:ilvl w:val="0"/>
                <w:numId w:val="62"/>
              </w:numPr>
              <w:rPr>
                <w:rFonts w:asciiTheme="minorHAnsi" w:hAnsiTheme="minorHAnsi" w:cstheme="minorHAnsi"/>
                <w:szCs w:val="22"/>
              </w:rPr>
            </w:pPr>
            <w:r>
              <w:rPr>
                <w:rFonts w:asciiTheme="minorHAnsi" w:hAnsiTheme="minorHAnsi" w:cstheme="minorHAnsi"/>
                <w:szCs w:val="22"/>
              </w:rPr>
              <w:t>Westhampnett Waste Transfer &amp; Recycling Station</w:t>
            </w:r>
          </w:p>
        </w:tc>
        <w:tc>
          <w:tcPr>
            <w:tcW w:w="1381"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2,500</w:t>
            </w:r>
          </w:p>
        </w:tc>
        <w:tc>
          <w:tcPr>
            <w:tcW w:w="1382"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c>
          <w:tcPr>
            <w:tcW w:w="1439"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r>
      <w:tr w:rsidR="00E83A90" w:rsidRPr="006C41B6" w:rsidTr="00E83A90">
        <w:tc>
          <w:tcPr>
            <w:tcW w:w="4744" w:type="dxa"/>
          </w:tcPr>
          <w:p w:rsidR="00E83A90" w:rsidRDefault="00E83A90" w:rsidP="00E83A90">
            <w:pPr>
              <w:pStyle w:val="ListParagraph"/>
              <w:numPr>
                <w:ilvl w:val="0"/>
                <w:numId w:val="62"/>
              </w:numPr>
              <w:rPr>
                <w:rFonts w:asciiTheme="minorHAnsi" w:hAnsiTheme="minorHAnsi" w:cstheme="minorHAnsi"/>
                <w:szCs w:val="22"/>
              </w:rPr>
            </w:pPr>
            <w:r>
              <w:rPr>
                <w:rFonts w:asciiTheme="minorHAnsi" w:hAnsiTheme="minorHAnsi" w:cstheme="minorHAnsi"/>
                <w:szCs w:val="22"/>
              </w:rPr>
              <w:t>Southern Gateway Bus &amp; Rail Interchange</w:t>
            </w:r>
          </w:p>
        </w:tc>
        <w:tc>
          <w:tcPr>
            <w:tcW w:w="1381"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c>
          <w:tcPr>
            <w:tcW w:w="1382"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3,000</w:t>
            </w:r>
          </w:p>
        </w:tc>
        <w:tc>
          <w:tcPr>
            <w:tcW w:w="1439"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r>
      <w:tr w:rsidR="00E83A90" w:rsidRPr="006C41B6" w:rsidTr="00E83A90">
        <w:tc>
          <w:tcPr>
            <w:tcW w:w="4744" w:type="dxa"/>
          </w:tcPr>
          <w:p w:rsidR="00E83A90" w:rsidRPr="00C85F23" w:rsidRDefault="00E83A90" w:rsidP="00E83A90">
            <w:pPr>
              <w:pStyle w:val="ListParagraph"/>
              <w:numPr>
                <w:ilvl w:val="0"/>
                <w:numId w:val="62"/>
              </w:numPr>
              <w:rPr>
                <w:rFonts w:asciiTheme="minorHAnsi" w:hAnsiTheme="minorHAnsi" w:cstheme="minorHAnsi"/>
                <w:szCs w:val="22"/>
              </w:rPr>
            </w:pPr>
            <w:r>
              <w:rPr>
                <w:rFonts w:asciiTheme="minorHAnsi" w:hAnsiTheme="minorHAnsi" w:cstheme="minorHAnsi"/>
                <w:szCs w:val="22"/>
              </w:rPr>
              <w:t>Southern Gateway New City Square</w:t>
            </w:r>
          </w:p>
        </w:tc>
        <w:tc>
          <w:tcPr>
            <w:tcW w:w="1381"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c>
          <w:tcPr>
            <w:tcW w:w="1382"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1,000</w:t>
            </w:r>
          </w:p>
        </w:tc>
        <w:tc>
          <w:tcPr>
            <w:tcW w:w="1439"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r>
      <w:tr w:rsidR="00E83A90" w:rsidRPr="006C41B6" w:rsidTr="00E83A90">
        <w:tc>
          <w:tcPr>
            <w:tcW w:w="4744" w:type="dxa"/>
          </w:tcPr>
          <w:p w:rsidR="00E83A90" w:rsidRPr="00C85F23" w:rsidRDefault="00E83A90" w:rsidP="00E83A90">
            <w:pPr>
              <w:pStyle w:val="ListParagraph"/>
              <w:numPr>
                <w:ilvl w:val="0"/>
                <w:numId w:val="62"/>
              </w:numPr>
              <w:rPr>
                <w:rFonts w:asciiTheme="minorHAnsi" w:hAnsiTheme="minorHAnsi" w:cstheme="minorHAnsi"/>
                <w:szCs w:val="22"/>
              </w:rPr>
            </w:pPr>
            <w:r w:rsidRPr="00C85F23">
              <w:rPr>
                <w:rFonts w:asciiTheme="minorHAnsi" w:hAnsiTheme="minorHAnsi" w:cstheme="minorHAnsi"/>
                <w:szCs w:val="22"/>
              </w:rPr>
              <w:t xml:space="preserve">School Places </w:t>
            </w:r>
          </w:p>
        </w:tc>
        <w:tc>
          <w:tcPr>
            <w:tcW w:w="1381"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1,200</w:t>
            </w:r>
          </w:p>
        </w:tc>
        <w:tc>
          <w:tcPr>
            <w:tcW w:w="1382"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2,400</w:t>
            </w:r>
          </w:p>
        </w:tc>
        <w:tc>
          <w:tcPr>
            <w:tcW w:w="1439"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r>
      <w:tr w:rsidR="00E83A90" w:rsidRPr="006C41B6" w:rsidTr="00E83A90">
        <w:tc>
          <w:tcPr>
            <w:tcW w:w="4744" w:type="dxa"/>
          </w:tcPr>
          <w:p w:rsidR="00E83A90" w:rsidRPr="00C85F23" w:rsidRDefault="00E83A90" w:rsidP="00E83A90">
            <w:pPr>
              <w:pStyle w:val="ListParagraph"/>
              <w:numPr>
                <w:ilvl w:val="0"/>
                <w:numId w:val="62"/>
              </w:numPr>
              <w:rPr>
                <w:rFonts w:asciiTheme="minorHAnsi" w:hAnsiTheme="minorHAnsi" w:cstheme="minorHAnsi"/>
                <w:szCs w:val="22"/>
              </w:rPr>
            </w:pPr>
            <w:r w:rsidRPr="00C85F23">
              <w:rPr>
                <w:rFonts w:asciiTheme="minorHAnsi" w:hAnsiTheme="minorHAnsi" w:cstheme="minorHAnsi"/>
                <w:szCs w:val="22"/>
              </w:rPr>
              <w:t>Sustainable Transport</w:t>
            </w:r>
          </w:p>
        </w:tc>
        <w:tc>
          <w:tcPr>
            <w:tcW w:w="1381"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500</w:t>
            </w:r>
          </w:p>
        </w:tc>
        <w:tc>
          <w:tcPr>
            <w:tcW w:w="1382"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25</w:t>
            </w:r>
          </w:p>
        </w:tc>
        <w:tc>
          <w:tcPr>
            <w:tcW w:w="1439"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475</w:t>
            </w:r>
          </w:p>
        </w:tc>
      </w:tr>
      <w:tr w:rsidR="00E83A90" w:rsidRPr="006C41B6" w:rsidTr="00E83A90">
        <w:tc>
          <w:tcPr>
            <w:tcW w:w="4744" w:type="dxa"/>
          </w:tcPr>
          <w:p w:rsidR="00E83A90" w:rsidRPr="00C85F23" w:rsidRDefault="00E83A90" w:rsidP="00E83A90">
            <w:pPr>
              <w:pStyle w:val="ListParagraph"/>
              <w:numPr>
                <w:ilvl w:val="0"/>
                <w:numId w:val="62"/>
              </w:numPr>
              <w:rPr>
                <w:rFonts w:asciiTheme="minorHAnsi" w:hAnsiTheme="minorHAnsi" w:cstheme="minorHAnsi"/>
                <w:szCs w:val="22"/>
              </w:rPr>
            </w:pPr>
            <w:r w:rsidRPr="00C85F23">
              <w:rPr>
                <w:rFonts w:asciiTheme="minorHAnsi" w:hAnsiTheme="minorHAnsi" w:cstheme="minorHAnsi"/>
                <w:szCs w:val="22"/>
              </w:rPr>
              <w:t>Medical Centre West Chichester</w:t>
            </w:r>
          </w:p>
        </w:tc>
        <w:tc>
          <w:tcPr>
            <w:tcW w:w="1381"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1,750</w:t>
            </w:r>
          </w:p>
        </w:tc>
        <w:tc>
          <w:tcPr>
            <w:tcW w:w="1382"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c>
          <w:tcPr>
            <w:tcW w:w="1439" w:type="dxa"/>
          </w:tcPr>
          <w:p w:rsidR="00E83A90" w:rsidRPr="00C85F23" w:rsidRDefault="00E83A90" w:rsidP="00E83A90">
            <w:pPr>
              <w:jc w:val="right"/>
              <w:rPr>
                <w:rFonts w:asciiTheme="minorHAnsi" w:hAnsiTheme="minorHAnsi" w:cstheme="minorHAnsi"/>
                <w:sz w:val="22"/>
                <w:szCs w:val="22"/>
              </w:rPr>
            </w:pPr>
            <w:r w:rsidRPr="00C85F23">
              <w:rPr>
                <w:rFonts w:asciiTheme="minorHAnsi" w:hAnsiTheme="minorHAnsi" w:cstheme="minorHAnsi"/>
                <w:sz w:val="22"/>
                <w:szCs w:val="22"/>
              </w:rPr>
              <w:t>-</w:t>
            </w:r>
          </w:p>
        </w:tc>
      </w:tr>
      <w:tr w:rsidR="00E83A90" w:rsidRPr="006C41B6" w:rsidTr="00E83A90">
        <w:tc>
          <w:tcPr>
            <w:tcW w:w="4744" w:type="dxa"/>
          </w:tcPr>
          <w:p w:rsidR="00E83A90" w:rsidRPr="00C85F23" w:rsidRDefault="00E83A90" w:rsidP="00E83A90">
            <w:pPr>
              <w:pStyle w:val="ListParagraph"/>
              <w:numPr>
                <w:ilvl w:val="0"/>
                <w:numId w:val="62"/>
              </w:numPr>
              <w:rPr>
                <w:rFonts w:asciiTheme="minorHAnsi" w:hAnsiTheme="minorHAnsi" w:cstheme="minorHAnsi"/>
                <w:szCs w:val="22"/>
              </w:rPr>
            </w:pPr>
            <w:r>
              <w:rPr>
                <w:rFonts w:asciiTheme="minorHAnsi" w:hAnsiTheme="minorHAnsi" w:cstheme="minorHAnsi"/>
                <w:szCs w:val="22"/>
              </w:rPr>
              <w:t>Area-wide Parking Management</w:t>
            </w:r>
          </w:p>
        </w:tc>
        <w:tc>
          <w:tcPr>
            <w:tcW w:w="1381"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500</w:t>
            </w:r>
          </w:p>
        </w:tc>
        <w:tc>
          <w:tcPr>
            <w:tcW w:w="1382" w:type="dxa"/>
          </w:tcPr>
          <w:p w:rsidR="00E83A90" w:rsidRDefault="00E83A90" w:rsidP="00E83A90">
            <w:pPr>
              <w:jc w:val="right"/>
              <w:rPr>
                <w:rFonts w:asciiTheme="minorHAnsi" w:hAnsiTheme="minorHAnsi" w:cstheme="minorHAnsi"/>
                <w:sz w:val="22"/>
                <w:szCs w:val="22"/>
              </w:rPr>
            </w:pPr>
            <w:r>
              <w:rPr>
                <w:rFonts w:asciiTheme="minorHAnsi" w:hAnsiTheme="minorHAnsi" w:cstheme="minorHAnsi"/>
                <w:sz w:val="22"/>
                <w:szCs w:val="22"/>
              </w:rPr>
              <w:t>250</w:t>
            </w:r>
          </w:p>
        </w:tc>
        <w:tc>
          <w:tcPr>
            <w:tcW w:w="1439" w:type="dxa"/>
          </w:tcPr>
          <w:p w:rsidR="00E83A90" w:rsidRPr="00C85F23" w:rsidRDefault="00E83A90" w:rsidP="00E83A90">
            <w:pPr>
              <w:jc w:val="right"/>
              <w:rPr>
                <w:rFonts w:asciiTheme="minorHAnsi" w:hAnsiTheme="minorHAnsi" w:cstheme="minorHAnsi"/>
                <w:sz w:val="22"/>
                <w:szCs w:val="22"/>
              </w:rPr>
            </w:pPr>
            <w:r>
              <w:rPr>
                <w:rFonts w:asciiTheme="minorHAnsi" w:hAnsiTheme="minorHAnsi" w:cstheme="minorHAnsi"/>
                <w:sz w:val="22"/>
                <w:szCs w:val="22"/>
              </w:rPr>
              <w:t>-</w:t>
            </w:r>
          </w:p>
        </w:tc>
      </w:tr>
    </w:tbl>
    <w:p w:rsidR="00E83A90" w:rsidRPr="006C41B6" w:rsidRDefault="00E83A90" w:rsidP="00E83A90">
      <w:pPr>
        <w:rPr>
          <w:rFonts w:asciiTheme="minorHAnsi" w:hAnsiTheme="minorHAnsi" w:cstheme="minorHAnsi"/>
          <w:sz w:val="22"/>
          <w:szCs w:val="22"/>
        </w:rPr>
      </w:pPr>
      <w:r w:rsidRPr="006C41B6">
        <w:rPr>
          <w:rFonts w:asciiTheme="minorHAnsi" w:hAnsiTheme="minorHAnsi" w:cstheme="minorHAnsi"/>
          <w:sz w:val="22"/>
          <w:szCs w:val="22"/>
        </w:rPr>
        <w:lastRenderedPageBreak/>
        <w:t>The capital programme is an estimate of the scheme’s likely cost, and is always subject to amendment if, for example, a scheme cost is higher than anticipated. Due to its nature the capital programme is constantly changing, so the resource position is regularly updated and monitored to ensure that the</w:t>
      </w:r>
      <w:r>
        <w:rPr>
          <w:rFonts w:asciiTheme="minorHAnsi" w:hAnsiTheme="minorHAnsi" w:cstheme="minorHAnsi"/>
          <w:sz w:val="22"/>
          <w:szCs w:val="22"/>
        </w:rPr>
        <w:t xml:space="preserve"> programme remains affordable. This is an important consideration due to the COVID-19 pandemic which may have a fundamental impact on the Council’s future corporate objectives and the resources available for capital investment.</w:t>
      </w:r>
    </w:p>
    <w:p w:rsidR="00E83A90" w:rsidRPr="006C41B6" w:rsidRDefault="00E83A90" w:rsidP="00E83A90">
      <w:pPr>
        <w:rPr>
          <w:rFonts w:asciiTheme="minorHAnsi" w:hAnsiTheme="minorHAnsi" w:cstheme="minorHAnsi"/>
          <w:sz w:val="22"/>
          <w:szCs w:val="22"/>
        </w:rPr>
      </w:pPr>
    </w:p>
    <w:p w:rsidR="00E83A90"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The Council is currently debt free and fully funds its capital programme and asset replacement programme from its own resources i.e. capital receipts and revenue reserves, plus grants and contributions from third parties</w:t>
      </w:r>
      <w:r>
        <w:rPr>
          <w:rFonts w:asciiTheme="minorHAnsi" w:hAnsiTheme="minorHAnsi" w:cstheme="minorHAnsi"/>
          <w:sz w:val="22"/>
          <w:szCs w:val="22"/>
        </w:rPr>
        <w:t xml:space="preserve"> and via Council Tax for the asset replacement programme</w:t>
      </w:r>
      <w:r w:rsidRPr="006C41B6">
        <w:rPr>
          <w:rFonts w:asciiTheme="minorHAnsi" w:hAnsiTheme="minorHAnsi" w:cstheme="minorHAnsi"/>
          <w:sz w:val="22"/>
          <w:szCs w:val="22"/>
        </w:rPr>
        <w:t>. In the medium term this position is not expected to change.</w:t>
      </w:r>
    </w:p>
    <w:p w:rsidR="00E83A90" w:rsidRDefault="00E83A90" w:rsidP="00E83A90">
      <w:pPr>
        <w:rPr>
          <w:rFonts w:asciiTheme="minorHAnsi" w:hAnsiTheme="minorHAnsi" w:cstheme="minorHAnsi"/>
          <w:sz w:val="22"/>
          <w:szCs w:val="22"/>
        </w:rPr>
      </w:pPr>
    </w:p>
    <w:p w:rsidR="00E83A90" w:rsidRDefault="00E83A90" w:rsidP="00E83A90">
      <w:pPr>
        <w:rPr>
          <w:rFonts w:asciiTheme="minorHAnsi" w:hAnsiTheme="minorHAnsi" w:cstheme="minorHAnsi"/>
          <w:sz w:val="22"/>
          <w:szCs w:val="22"/>
        </w:rPr>
      </w:pPr>
      <w:r w:rsidRPr="004F016A">
        <w:rPr>
          <w:rFonts w:asciiTheme="minorHAnsi" w:hAnsiTheme="minorHAnsi" w:cstheme="minorHAnsi"/>
          <w:sz w:val="22"/>
          <w:szCs w:val="22"/>
        </w:rPr>
        <w:t>Planned support for the Council’s future capital programme includes £4m from Coast to Capital (</w:t>
      </w:r>
      <w:hyperlink r:id="rId23" w:history="1">
        <w:r w:rsidRPr="004F016A">
          <w:rPr>
            <w:rStyle w:val="Hyperlink"/>
            <w:rFonts w:asciiTheme="minorHAnsi" w:hAnsiTheme="minorHAnsi" w:cstheme="minorHAnsi"/>
            <w:sz w:val="22"/>
            <w:szCs w:val="22"/>
          </w:rPr>
          <w:t>http://www.coast2capital.org.uk/</w:t>
        </w:r>
      </w:hyperlink>
      <w:r w:rsidRPr="004F016A">
        <w:rPr>
          <w:rFonts w:asciiTheme="minorHAnsi" w:hAnsiTheme="minorHAnsi" w:cstheme="minorHAnsi"/>
          <w:sz w:val="22"/>
          <w:szCs w:val="22"/>
        </w:rPr>
        <w:t xml:space="preserve">). This funding is being used to help the Council regenerate the Southern Gateway area of Chichester.  More about this project can be found on the Council’s website at </w:t>
      </w:r>
      <w:hyperlink r:id="rId24" w:history="1">
        <w:r w:rsidRPr="003940CA">
          <w:rPr>
            <w:rStyle w:val="Hyperlink"/>
            <w:rFonts w:asciiTheme="minorHAnsi" w:hAnsiTheme="minorHAnsi" w:cstheme="minorHAnsi"/>
            <w:sz w:val="22"/>
            <w:szCs w:val="22"/>
          </w:rPr>
          <w:t>http://www.chichester.gov.uk/article/29385/About-the-Southern-Gateway</w:t>
        </w:r>
      </w:hyperlink>
      <w:r>
        <w:rPr>
          <w:rFonts w:asciiTheme="minorHAnsi" w:hAnsiTheme="minorHAnsi" w:cstheme="minorHAnsi"/>
          <w:sz w:val="22"/>
          <w:szCs w:val="22"/>
        </w:rPr>
        <w:t>.</w:t>
      </w:r>
    </w:p>
    <w:p w:rsidR="00E83A90" w:rsidRPr="006C41B6" w:rsidRDefault="00E83A90" w:rsidP="00E83A90">
      <w:pPr>
        <w:rPr>
          <w:rFonts w:asciiTheme="minorHAnsi" w:hAnsiTheme="minorHAnsi" w:cstheme="minorHAnsi"/>
          <w:sz w:val="22"/>
          <w:szCs w:val="22"/>
        </w:rPr>
      </w:pPr>
    </w:p>
    <w:p w:rsidR="00E83A90" w:rsidRPr="006C41B6" w:rsidRDefault="00E83A90" w:rsidP="00E83A90">
      <w:pPr>
        <w:rPr>
          <w:rFonts w:asciiTheme="minorHAnsi" w:hAnsiTheme="minorHAnsi" w:cstheme="minorHAnsi"/>
          <w:b/>
          <w:sz w:val="22"/>
          <w:szCs w:val="22"/>
        </w:rPr>
      </w:pPr>
      <w:r>
        <w:rPr>
          <w:rFonts w:asciiTheme="minorHAnsi" w:hAnsiTheme="minorHAnsi" w:cstheme="minorHAnsi"/>
          <w:b/>
          <w:sz w:val="22"/>
          <w:szCs w:val="22"/>
        </w:rPr>
        <w:t>R</w:t>
      </w:r>
      <w:r w:rsidRPr="006C41B6">
        <w:rPr>
          <w:rFonts w:asciiTheme="minorHAnsi" w:hAnsiTheme="minorHAnsi" w:cstheme="minorHAnsi"/>
          <w:b/>
          <w:sz w:val="22"/>
          <w:szCs w:val="22"/>
        </w:rPr>
        <w:t>evenue Expenditure 201</w:t>
      </w:r>
      <w:r>
        <w:rPr>
          <w:rFonts w:asciiTheme="minorHAnsi" w:hAnsiTheme="minorHAnsi" w:cstheme="minorHAnsi"/>
          <w:b/>
          <w:sz w:val="22"/>
          <w:szCs w:val="22"/>
        </w:rPr>
        <w:t>9</w:t>
      </w:r>
      <w:r w:rsidRPr="006C41B6">
        <w:rPr>
          <w:rFonts w:asciiTheme="minorHAnsi" w:hAnsiTheme="minorHAnsi" w:cstheme="minorHAnsi"/>
          <w:b/>
          <w:sz w:val="22"/>
          <w:szCs w:val="22"/>
        </w:rPr>
        <w:t>-</w:t>
      </w:r>
      <w:r>
        <w:rPr>
          <w:rFonts w:asciiTheme="minorHAnsi" w:hAnsiTheme="minorHAnsi" w:cstheme="minorHAnsi"/>
          <w:b/>
          <w:sz w:val="22"/>
          <w:szCs w:val="22"/>
        </w:rPr>
        <w:t>20</w:t>
      </w:r>
    </w:p>
    <w:p w:rsidR="00E83A90" w:rsidRPr="000A0320" w:rsidRDefault="00E83A90" w:rsidP="00E83A90">
      <w:pPr>
        <w:rPr>
          <w:rFonts w:asciiTheme="minorHAnsi" w:hAnsiTheme="minorHAnsi" w:cstheme="minorHAnsi"/>
          <w:sz w:val="10"/>
          <w:szCs w:val="10"/>
        </w:rPr>
      </w:pPr>
    </w:p>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Revenue Inflows and Outflows</w:t>
      </w:r>
    </w:p>
    <w:p w:rsidR="00E83A90" w:rsidRPr="000A0320" w:rsidRDefault="00E83A90" w:rsidP="00E83A90">
      <w:pPr>
        <w:rPr>
          <w:rFonts w:asciiTheme="minorHAnsi" w:hAnsiTheme="minorHAnsi" w:cstheme="minorHAnsi"/>
          <w:b/>
          <w:sz w:val="10"/>
          <w:szCs w:val="10"/>
        </w:rPr>
      </w:pPr>
    </w:p>
    <w:p w:rsidR="00E83A90" w:rsidRPr="006C0857"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The Council’s main elements of cash flow for revenue activities are set out below:</w:t>
      </w:r>
    </w:p>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28"/>
        <w:gridCol w:w="67"/>
        <w:gridCol w:w="1418"/>
        <w:gridCol w:w="30"/>
        <w:gridCol w:w="308"/>
        <w:gridCol w:w="1393"/>
        <w:gridCol w:w="318"/>
        <w:gridCol w:w="786"/>
        <w:gridCol w:w="992"/>
        <w:gridCol w:w="30"/>
        <w:gridCol w:w="253"/>
        <w:gridCol w:w="1379"/>
      </w:tblGrid>
      <w:tr w:rsidR="00D32ADF" w:rsidTr="006C0857">
        <w:trPr>
          <w:trHeight w:val="1151"/>
        </w:trPr>
        <w:tc>
          <w:tcPr>
            <w:tcW w:w="1418" w:type="dxa"/>
            <w:tcBorders>
              <w:top w:val="single" w:sz="24" w:space="0" w:color="7030A0"/>
              <w:left w:val="single" w:sz="24" w:space="0" w:color="7030A0"/>
              <w:bottom w:val="single" w:sz="24" w:space="0" w:color="7030A0"/>
              <w:right w:val="single" w:sz="24" w:space="0" w:color="7030A0"/>
            </w:tcBorders>
          </w:tcPr>
          <w:p w:rsidR="00D32ADF" w:rsidRPr="006C0857" w:rsidRDefault="00D32ADF" w:rsidP="006C0857">
            <w:pPr>
              <w:spacing w:before="240"/>
              <w:jc w:val="center"/>
              <w:rPr>
                <w:rFonts w:ascii="Arial" w:hAnsi="Arial" w:cs="Arial"/>
                <w:sz w:val="20"/>
              </w:rPr>
            </w:pPr>
            <w:r w:rsidRPr="005D7F71">
              <w:rPr>
                <w:rFonts w:ascii="Arial" w:hAnsi="Arial" w:cs="Arial"/>
                <w:sz w:val="20"/>
              </w:rPr>
              <w:t>Council Tax</w:t>
            </w:r>
            <w:r>
              <w:rPr>
                <w:rFonts w:ascii="Arial" w:hAnsi="Arial" w:cs="Arial"/>
                <w:sz w:val="20"/>
              </w:rPr>
              <w:t xml:space="preserve"> including Parishes</w:t>
            </w:r>
            <w:r w:rsidRPr="005D7F71">
              <w:rPr>
                <w:rFonts w:ascii="Arial" w:hAnsi="Arial" w:cs="Arial"/>
                <w:sz w:val="20"/>
              </w:rPr>
              <w:t xml:space="preserve"> £</w:t>
            </w:r>
            <w:r>
              <w:rPr>
                <w:rFonts w:ascii="Arial" w:hAnsi="Arial" w:cs="Arial"/>
                <w:sz w:val="20"/>
              </w:rPr>
              <w:t>12m</w:t>
            </w:r>
          </w:p>
        </w:tc>
        <w:tc>
          <w:tcPr>
            <w:tcW w:w="328" w:type="dxa"/>
            <w:tcBorders>
              <w:left w:val="single" w:sz="24" w:space="0" w:color="7030A0"/>
              <w:right w:val="single" w:sz="24" w:space="0" w:color="7030A0"/>
            </w:tcBorders>
          </w:tcPr>
          <w:p w:rsidR="00D32ADF" w:rsidRDefault="00D32ADF" w:rsidP="00E83A90">
            <w:pPr>
              <w:rPr>
                <w:rFonts w:asciiTheme="minorHAnsi" w:hAnsiTheme="minorHAnsi" w:cstheme="minorHAnsi"/>
                <w:b/>
                <w:sz w:val="22"/>
                <w:szCs w:val="22"/>
              </w:rPr>
            </w:pPr>
          </w:p>
        </w:tc>
        <w:tc>
          <w:tcPr>
            <w:tcW w:w="1515" w:type="dxa"/>
            <w:gridSpan w:val="3"/>
            <w:tcBorders>
              <w:top w:val="single" w:sz="24" w:space="0" w:color="7030A0"/>
              <w:left w:val="single" w:sz="24" w:space="0" w:color="7030A0"/>
              <w:bottom w:val="single" w:sz="24" w:space="0" w:color="7030A0"/>
              <w:right w:val="single" w:sz="24" w:space="0" w:color="7030A0"/>
            </w:tcBorders>
          </w:tcPr>
          <w:p w:rsidR="00D32ADF" w:rsidRPr="006C0857" w:rsidRDefault="00D32ADF" w:rsidP="006C0857">
            <w:pPr>
              <w:spacing w:before="240"/>
              <w:jc w:val="center"/>
              <w:rPr>
                <w:rFonts w:ascii="Arial" w:hAnsi="Arial" w:cs="Arial"/>
                <w:sz w:val="20"/>
              </w:rPr>
            </w:pPr>
            <w:r w:rsidRPr="005D7F71">
              <w:rPr>
                <w:rFonts w:ascii="Arial" w:hAnsi="Arial" w:cs="Arial"/>
                <w:sz w:val="20"/>
              </w:rPr>
              <w:t xml:space="preserve">Business Rates </w:t>
            </w:r>
            <w:r w:rsidR="008A1F7F">
              <w:rPr>
                <w:rFonts w:ascii="Arial" w:hAnsi="Arial" w:cs="Arial"/>
                <w:sz w:val="20"/>
              </w:rPr>
              <w:br/>
            </w:r>
            <w:r w:rsidRPr="005D7F71">
              <w:rPr>
                <w:rFonts w:ascii="Arial" w:hAnsi="Arial" w:cs="Arial"/>
                <w:sz w:val="20"/>
              </w:rPr>
              <w:t>£</w:t>
            </w:r>
            <w:r>
              <w:rPr>
                <w:rFonts w:ascii="Arial" w:hAnsi="Arial" w:cs="Arial"/>
                <w:sz w:val="20"/>
              </w:rPr>
              <w:t>2m</w:t>
            </w:r>
          </w:p>
        </w:tc>
        <w:tc>
          <w:tcPr>
            <w:tcW w:w="308" w:type="dxa"/>
            <w:tcBorders>
              <w:left w:val="single" w:sz="24" w:space="0" w:color="7030A0"/>
              <w:right w:val="single" w:sz="24" w:space="0" w:color="7030A0"/>
            </w:tcBorders>
          </w:tcPr>
          <w:p w:rsidR="00D32ADF" w:rsidRDefault="00D32ADF" w:rsidP="00E83A90">
            <w:pPr>
              <w:rPr>
                <w:rFonts w:asciiTheme="minorHAnsi" w:hAnsiTheme="minorHAnsi" w:cstheme="minorHAnsi"/>
                <w:b/>
                <w:sz w:val="22"/>
                <w:szCs w:val="22"/>
              </w:rPr>
            </w:pPr>
          </w:p>
        </w:tc>
        <w:tc>
          <w:tcPr>
            <w:tcW w:w="1393" w:type="dxa"/>
            <w:tcBorders>
              <w:top w:val="single" w:sz="24" w:space="0" w:color="7030A0"/>
              <w:left w:val="single" w:sz="24" w:space="0" w:color="7030A0"/>
              <w:bottom w:val="single" w:sz="24" w:space="0" w:color="7030A0"/>
              <w:right w:val="single" w:sz="24" w:space="0" w:color="7030A0"/>
            </w:tcBorders>
          </w:tcPr>
          <w:p w:rsidR="00D32ADF" w:rsidRDefault="00D32ADF" w:rsidP="00C21E2B">
            <w:pPr>
              <w:spacing w:before="240"/>
              <w:jc w:val="center"/>
              <w:rPr>
                <w:rFonts w:asciiTheme="minorHAnsi" w:hAnsiTheme="minorHAnsi" w:cstheme="minorHAnsi"/>
                <w:b/>
                <w:sz w:val="22"/>
                <w:szCs w:val="22"/>
              </w:rPr>
            </w:pPr>
            <w:r w:rsidRPr="005D7F71">
              <w:rPr>
                <w:rFonts w:ascii="Arial" w:hAnsi="Arial" w:cs="Arial"/>
                <w:sz w:val="20"/>
              </w:rPr>
              <w:t xml:space="preserve">Fees &amp; Charges </w:t>
            </w:r>
            <w:r w:rsidRPr="0084542C">
              <w:rPr>
                <w:rFonts w:ascii="Arial" w:hAnsi="Arial" w:cs="Arial"/>
                <w:sz w:val="20"/>
              </w:rPr>
              <w:t>£1</w:t>
            </w:r>
            <w:r>
              <w:rPr>
                <w:rFonts w:ascii="Arial" w:hAnsi="Arial" w:cs="Arial"/>
                <w:sz w:val="20"/>
              </w:rPr>
              <w:t>8m</w:t>
            </w:r>
          </w:p>
        </w:tc>
        <w:tc>
          <w:tcPr>
            <w:tcW w:w="318" w:type="dxa"/>
            <w:tcBorders>
              <w:left w:val="single" w:sz="24" w:space="0" w:color="7030A0"/>
              <w:right w:val="single" w:sz="24" w:space="0" w:color="7030A0"/>
            </w:tcBorders>
          </w:tcPr>
          <w:p w:rsidR="00D32ADF" w:rsidRDefault="00D32ADF" w:rsidP="00E83A90">
            <w:pPr>
              <w:rPr>
                <w:rFonts w:asciiTheme="minorHAnsi" w:hAnsiTheme="minorHAnsi" w:cstheme="minorHAnsi"/>
                <w:b/>
                <w:sz w:val="22"/>
                <w:szCs w:val="22"/>
              </w:rPr>
            </w:pPr>
          </w:p>
        </w:tc>
        <w:tc>
          <w:tcPr>
            <w:tcW w:w="1808" w:type="dxa"/>
            <w:gridSpan w:val="3"/>
            <w:tcBorders>
              <w:top w:val="single" w:sz="24" w:space="0" w:color="7030A0"/>
              <w:left w:val="single" w:sz="24" w:space="0" w:color="7030A0"/>
              <w:bottom w:val="single" w:sz="24" w:space="0" w:color="7030A0"/>
              <w:right w:val="single" w:sz="24" w:space="0" w:color="7030A0"/>
            </w:tcBorders>
          </w:tcPr>
          <w:p w:rsidR="00D32ADF" w:rsidRPr="00691413" w:rsidRDefault="00D32ADF" w:rsidP="00C21E2B">
            <w:pPr>
              <w:spacing w:before="240"/>
              <w:jc w:val="center"/>
              <w:rPr>
                <w:rFonts w:ascii="Arial" w:hAnsi="Arial" w:cs="Arial"/>
                <w:sz w:val="20"/>
              </w:rPr>
            </w:pPr>
            <w:r w:rsidRPr="00691413">
              <w:rPr>
                <w:rFonts w:ascii="Arial" w:hAnsi="Arial" w:cs="Arial"/>
                <w:sz w:val="20"/>
              </w:rPr>
              <w:t>Grants</w:t>
            </w:r>
            <w:r>
              <w:rPr>
                <w:rFonts w:ascii="Arial" w:hAnsi="Arial" w:cs="Arial"/>
                <w:sz w:val="20"/>
              </w:rPr>
              <w:t>,</w:t>
            </w:r>
            <w:r w:rsidRPr="00691413">
              <w:rPr>
                <w:rFonts w:ascii="Arial" w:hAnsi="Arial" w:cs="Arial"/>
                <w:sz w:val="20"/>
              </w:rPr>
              <w:t xml:space="preserve"> Contributions</w:t>
            </w:r>
            <w:r>
              <w:rPr>
                <w:rFonts w:ascii="Arial" w:hAnsi="Arial" w:cs="Arial"/>
                <w:sz w:val="20"/>
              </w:rPr>
              <w:t xml:space="preserve"> </w:t>
            </w:r>
            <w:r w:rsidR="008A1F7F">
              <w:rPr>
                <w:rFonts w:ascii="Arial" w:hAnsi="Arial" w:cs="Arial"/>
                <w:sz w:val="20"/>
              </w:rPr>
              <w:br/>
            </w:r>
            <w:r>
              <w:rPr>
                <w:rFonts w:ascii="Arial" w:hAnsi="Arial" w:cs="Arial"/>
                <w:sz w:val="20"/>
              </w:rPr>
              <w:t>and Subsidies</w:t>
            </w:r>
          </w:p>
          <w:p w:rsidR="00D32ADF" w:rsidRPr="00691413" w:rsidRDefault="00D32ADF" w:rsidP="00D32ADF">
            <w:pPr>
              <w:jc w:val="center"/>
              <w:rPr>
                <w:rFonts w:ascii="Arial" w:hAnsi="Arial" w:cs="Arial"/>
                <w:sz w:val="20"/>
              </w:rPr>
            </w:pPr>
            <w:r w:rsidRPr="00564CB7">
              <w:rPr>
                <w:rFonts w:ascii="Arial" w:hAnsi="Arial" w:cs="Arial"/>
                <w:sz w:val="20"/>
              </w:rPr>
              <w:t>£</w:t>
            </w:r>
            <w:r>
              <w:rPr>
                <w:rFonts w:ascii="Arial" w:hAnsi="Arial" w:cs="Arial"/>
                <w:sz w:val="20"/>
              </w:rPr>
              <w:t>40m</w:t>
            </w:r>
          </w:p>
          <w:p w:rsidR="00D32ADF" w:rsidRDefault="00D32ADF" w:rsidP="00E83A90">
            <w:pPr>
              <w:rPr>
                <w:rFonts w:asciiTheme="minorHAnsi" w:hAnsiTheme="minorHAnsi" w:cstheme="minorHAnsi"/>
                <w:b/>
                <w:sz w:val="22"/>
                <w:szCs w:val="22"/>
              </w:rPr>
            </w:pPr>
          </w:p>
        </w:tc>
        <w:tc>
          <w:tcPr>
            <w:tcW w:w="253" w:type="dxa"/>
            <w:tcBorders>
              <w:left w:val="single" w:sz="24" w:space="0" w:color="7030A0"/>
              <w:right w:val="single" w:sz="24" w:space="0" w:color="7030A0"/>
            </w:tcBorders>
          </w:tcPr>
          <w:p w:rsidR="00D32ADF" w:rsidRDefault="00D32ADF" w:rsidP="00E83A90">
            <w:pPr>
              <w:rPr>
                <w:rFonts w:asciiTheme="minorHAnsi" w:hAnsiTheme="minorHAnsi" w:cstheme="minorHAnsi"/>
                <w:b/>
                <w:sz w:val="22"/>
                <w:szCs w:val="22"/>
              </w:rPr>
            </w:pPr>
          </w:p>
        </w:tc>
        <w:tc>
          <w:tcPr>
            <w:tcW w:w="1379" w:type="dxa"/>
            <w:tcBorders>
              <w:top w:val="single" w:sz="24" w:space="0" w:color="7030A0"/>
              <w:left w:val="single" w:sz="24" w:space="0" w:color="7030A0"/>
              <w:bottom w:val="single" w:sz="24" w:space="0" w:color="7030A0"/>
              <w:right w:val="single" w:sz="24" w:space="0" w:color="7030A0"/>
            </w:tcBorders>
          </w:tcPr>
          <w:p w:rsidR="00D32ADF" w:rsidRPr="00691413" w:rsidRDefault="00D32ADF" w:rsidP="00C21E2B">
            <w:pPr>
              <w:spacing w:before="480"/>
              <w:jc w:val="center"/>
              <w:rPr>
                <w:rFonts w:ascii="Arial" w:hAnsi="Arial" w:cs="Arial"/>
                <w:sz w:val="20"/>
              </w:rPr>
            </w:pPr>
            <w:r>
              <w:rPr>
                <w:rFonts w:ascii="Arial" w:hAnsi="Arial" w:cs="Arial"/>
                <w:sz w:val="20"/>
              </w:rPr>
              <w:t>Other</w:t>
            </w:r>
            <w:r w:rsidR="008A1F7F">
              <w:rPr>
                <w:rFonts w:ascii="Arial" w:hAnsi="Arial" w:cs="Arial"/>
                <w:sz w:val="20"/>
              </w:rPr>
              <w:br/>
            </w:r>
            <w:r w:rsidRPr="00691413">
              <w:rPr>
                <w:rFonts w:ascii="Arial" w:hAnsi="Arial" w:cs="Arial"/>
                <w:sz w:val="20"/>
              </w:rPr>
              <w:t>£</w:t>
            </w:r>
            <w:r>
              <w:rPr>
                <w:rFonts w:ascii="Arial" w:hAnsi="Arial" w:cs="Arial"/>
                <w:sz w:val="20"/>
              </w:rPr>
              <w:t>2m</w:t>
            </w:r>
          </w:p>
          <w:p w:rsidR="00D32ADF" w:rsidRDefault="00D32ADF" w:rsidP="00E83A90">
            <w:pPr>
              <w:rPr>
                <w:rFonts w:asciiTheme="minorHAnsi" w:hAnsiTheme="minorHAnsi" w:cstheme="minorHAnsi"/>
                <w:b/>
                <w:sz w:val="22"/>
                <w:szCs w:val="22"/>
              </w:rPr>
            </w:pPr>
          </w:p>
        </w:tc>
      </w:tr>
      <w:tr w:rsidR="003B4B82" w:rsidTr="006C0857">
        <w:trPr>
          <w:trHeight w:val="95"/>
        </w:trPr>
        <w:tc>
          <w:tcPr>
            <w:tcW w:w="8720" w:type="dxa"/>
            <w:gridSpan w:val="13"/>
            <w:tcBorders>
              <w:bottom w:val="single" w:sz="24" w:space="0" w:color="7030A0"/>
            </w:tcBorders>
          </w:tcPr>
          <w:p w:rsidR="003B4B82" w:rsidRPr="000A0320" w:rsidRDefault="000A0320" w:rsidP="000A0320">
            <w:pPr>
              <w:tabs>
                <w:tab w:val="left" w:pos="1560"/>
              </w:tabs>
              <w:rPr>
                <w:rFonts w:asciiTheme="minorHAnsi" w:hAnsiTheme="minorHAnsi" w:cstheme="minorHAnsi"/>
                <w:b/>
                <w:sz w:val="8"/>
                <w:szCs w:val="8"/>
              </w:rPr>
            </w:pPr>
            <w:r>
              <w:rPr>
                <w:rFonts w:asciiTheme="minorHAnsi" w:hAnsiTheme="minorHAnsi" w:cstheme="minorHAnsi"/>
                <w:b/>
                <w:sz w:val="22"/>
                <w:szCs w:val="22"/>
              </w:rPr>
              <w:tab/>
            </w:r>
          </w:p>
        </w:tc>
      </w:tr>
      <w:tr w:rsidR="00D32ADF" w:rsidTr="00C21E2B">
        <w:trPr>
          <w:trHeight w:val="257"/>
        </w:trPr>
        <w:tc>
          <w:tcPr>
            <w:tcW w:w="8720" w:type="dxa"/>
            <w:gridSpan w:val="13"/>
            <w:tcBorders>
              <w:top w:val="single" w:sz="24" w:space="0" w:color="7030A0"/>
              <w:left w:val="single" w:sz="24" w:space="0" w:color="7030A0"/>
              <w:bottom w:val="single" w:sz="24" w:space="0" w:color="7030A0"/>
              <w:right w:val="single" w:sz="24" w:space="0" w:color="7030A0"/>
            </w:tcBorders>
          </w:tcPr>
          <w:p w:rsidR="00D32ADF" w:rsidRPr="00D32ADF" w:rsidRDefault="00D32ADF" w:rsidP="008A1F7F">
            <w:pPr>
              <w:spacing w:before="120" w:after="120"/>
              <w:jc w:val="center"/>
              <w:rPr>
                <w:rFonts w:ascii="Arial" w:hAnsi="Arial" w:cs="Arial"/>
                <w:szCs w:val="24"/>
              </w:rPr>
            </w:pPr>
            <w:r w:rsidRPr="005D7F71">
              <w:rPr>
                <w:rFonts w:ascii="Arial" w:hAnsi="Arial" w:cs="Arial"/>
                <w:szCs w:val="24"/>
              </w:rPr>
              <w:t>Total Resources</w:t>
            </w:r>
          </w:p>
        </w:tc>
      </w:tr>
      <w:tr w:rsidR="00C21E2B" w:rsidTr="000A0320">
        <w:trPr>
          <w:trHeight w:val="45"/>
        </w:trPr>
        <w:tc>
          <w:tcPr>
            <w:tcW w:w="8720" w:type="dxa"/>
            <w:gridSpan w:val="13"/>
            <w:tcBorders>
              <w:top w:val="single" w:sz="24" w:space="0" w:color="7030A0"/>
            </w:tcBorders>
          </w:tcPr>
          <w:p w:rsidR="00C21E2B" w:rsidRPr="000A0320" w:rsidRDefault="00C21E2B" w:rsidP="00E03767">
            <w:pPr>
              <w:spacing w:before="120" w:after="120"/>
              <w:rPr>
                <w:rFonts w:ascii="Arial" w:hAnsi="Arial" w:cs="Arial"/>
                <w:sz w:val="8"/>
                <w:szCs w:val="8"/>
              </w:rPr>
            </w:pPr>
          </w:p>
        </w:tc>
      </w:tr>
      <w:tr w:rsidR="00C21E2B" w:rsidTr="006C0857">
        <w:trPr>
          <w:trHeight w:val="1187"/>
        </w:trPr>
        <w:tc>
          <w:tcPr>
            <w:tcW w:w="1813" w:type="dxa"/>
            <w:gridSpan w:val="3"/>
            <w:tcBorders>
              <w:right w:val="single" w:sz="24" w:space="0" w:color="7030A0"/>
            </w:tcBorders>
          </w:tcPr>
          <w:p w:rsidR="00C21E2B" w:rsidRDefault="00C21E2B" w:rsidP="00E83A90">
            <w:pPr>
              <w:rPr>
                <w:rFonts w:asciiTheme="minorHAnsi" w:hAnsiTheme="minorHAnsi" w:cstheme="minorHAnsi"/>
                <w:b/>
                <w:sz w:val="22"/>
                <w:szCs w:val="22"/>
              </w:rPr>
            </w:pPr>
          </w:p>
        </w:tc>
        <w:tc>
          <w:tcPr>
            <w:tcW w:w="4253" w:type="dxa"/>
            <w:gridSpan w:val="6"/>
            <w:tcBorders>
              <w:top w:val="single" w:sz="24" w:space="0" w:color="7030A0"/>
              <w:left w:val="single" w:sz="24" w:space="0" w:color="7030A0"/>
              <w:bottom w:val="single" w:sz="24" w:space="0" w:color="7030A0"/>
              <w:right w:val="single" w:sz="24" w:space="0" w:color="7030A0"/>
            </w:tcBorders>
          </w:tcPr>
          <w:p w:rsidR="00C21E2B" w:rsidRPr="00C21E2B" w:rsidRDefault="00C21E2B" w:rsidP="00C21E2B">
            <w:pPr>
              <w:spacing w:before="480"/>
              <w:jc w:val="center"/>
              <w:rPr>
                <w:rFonts w:asciiTheme="minorHAnsi" w:hAnsiTheme="minorHAnsi" w:cstheme="minorHAnsi"/>
                <w:sz w:val="22"/>
                <w:szCs w:val="22"/>
              </w:rPr>
            </w:pPr>
            <w:r w:rsidRPr="00C21E2B">
              <w:rPr>
                <w:rFonts w:asciiTheme="minorHAnsi" w:hAnsiTheme="minorHAnsi" w:cstheme="minorHAnsi"/>
                <w:sz w:val="22"/>
                <w:szCs w:val="22"/>
              </w:rPr>
              <w:t>£74m</w:t>
            </w:r>
          </w:p>
        </w:tc>
        <w:tc>
          <w:tcPr>
            <w:tcW w:w="992" w:type="dxa"/>
            <w:tcBorders>
              <w:left w:val="single" w:sz="24" w:space="0" w:color="7030A0"/>
              <w:right w:val="single" w:sz="24" w:space="0" w:color="7030A0"/>
            </w:tcBorders>
          </w:tcPr>
          <w:p w:rsidR="00C21E2B" w:rsidRDefault="00C21E2B" w:rsidP="00E83A90">
            <w:pPr>
              <w:rPr>
                <w:rFonts w:asciiTheme="minorHAnsi" w:hAnsiTheme="minorHAnsi" w:cstheme="minorHAnsi"/>
                <w:b/>
                <w:sz w:val="22"/>
                <w:szCs w:val="22"/>
              </w:rPr>
            </w:pPr>
            <w:r w:rsidRPr="006C41B6">
              <w:rPr>
                <w:rFonts w:asciiTheme="minorHAnsi" w:hAnsiTheme="minorHAnsi" w:cstheme="minorHAnsi"/>
                <w:noProof/>
                <w:sz w:val="22"/>
                <w:szCs w:val="22"/>
                <w:lang w:eastAsia="en-GB"/>
              </w:rPr>
              <mc:AlternateContent>
                <mc:Choice Requires="wps">
                  <w:drawing>
                    <wp:inline distT="0" distB="0" distL="0" distR="0" wp14:anchorId="092F02D2" wp14:editId="2BA20834">
                      <wp:extent cx="414020" cy="368300"/>
                      <wp:effectExtent l="3810" t="15240" r="46990" b="46990"/>
                      <wp:docPr id="8" name="Down Arrow 89" title="Arrow pointing right"/>
                      <wp:cNvGraphicFramePr/>
                      <a:graphic xmlns:a="http://schemas.openxmlformats.org/drawingml/2006/main">
                        <a:graphicData uri="http://schemas.microsoft.com/office/word/2010/wordprocessingShape">
                          <wps:wsp>
                            <wps:cNvSpPr/>
                            <wps:spPr>
                              <a:xfrm rot="16200000">
                                <a:off x="0" y="0"/>
                                <a:ext cx="414020" cy="368300"/>
                              </a:xfrm>
                              <a:prstGeom prst="downArrow">
                                <a:avLst/>
                              </a:prstGeom>
                              <a:solidFill>
                                <a:srgbClr val="8064A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92A35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9" o:spid="_x0000_s1026" type="#_x0000_t67" alt="Title: Arrow pointing right" style="width:32.6pt;height:29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" adj="10800" fillcolor="#8064a2" strokecolor="#385d8a" strokeweight="2pt">
                      <w10:anchorlock/>
                    </v:shape>
                  </w:pict>
                </mc:Fallback>
              </mc:AlternateContent>
            </w:r>
          </w:p>
        </w:tc>
        <w:tc>
          <w:tcPr>
            <w:tcW w:w="1662" w:type="dxa"/>
            <w:gridSpan w:val="3"/>
            <w:tcBorders>
              <w:top w:val="single" w:sz="24" w:space="0" w:color="7030A0"/>
              <w:left w:val="single" w:sz="24" w:space="0" w:color="7030A0"/>
              <w:bottom w:val="single" w:sz="24" w:space="0" w:color="7030A0"/>
              <w:right w:val="single" w:sz="24" w:space="0" w:color="7030A0"/>
            </w:tcBorders>
          </w:tcPr>
          <w:p w:rsidR="00C21E2B" w:rsidRPr="005D7F71" w:rsidRDefault="00C21E2B" w:rsidP="00C21E2B">
            <w:pPr>
              <w:spacing w:before="180"/>
              <w:jc w:val="center"/>
              <w:rPr>
                <w:rFonts w:ascii="Arial" w:hAnsi="Arial" w:cs="Arial"/>
                <w:sz w:val="20"/>
              </w:rPr>
            </w:pPr>
            <w:r>
              <w:rPr>
                <w:rFonts w:ascii="Arial" w:hAnsi="Arial" w:cs="Arial"/>
                <w:sz w:val="20"/>
              </w:rPr>
              <w:t>Net (surplus) or deficit on providing service s</w:t>
            </w:r>
            <w:r w:rsidRPr="003B1D1C">
              <w:rPr>
                <w:rFonts w:ascii="Arial" w:hAnsi="Arial" w:cs="Arial"/>
                <w:sz w:val="20"/>
              </w:rPr>
              <w:t>£</w:t>
            </w:r>
            <w:r>
              <w:rPr>
                <w:rFonts w:ascii="Arial" w:hAnsi="Arial" w:cs="Arial"/>
                <w:sz w:val="20"/>
              </w:rPr>
              <w:t>2</w:t>
            </w:r>
            <w:r w:rsidRPr="003B1D1C">
              <w:rPr>
                <w:rFonts w:ascii="Arial" w:hAnsi="Arial" w:cs="Arial"/>
                <w:sz w:val="20"/>
              </w:rPr>
              <w:t>m</w:t>
            </w:r>
          </w:p>
          <w:p w:rsidR="00C21E2B" w:rsidRDefault="00C21E2B" w:rsidP="00E83A90">
            <w:pPr>
              <w:rPr>
                <w:rFonts w:asciiTheme="minorHAnsi" w:hAnsiTheme="minorHAnsi" w:cstheme="minorHAnsi"/>
                <w:b/>
                <w:sz w:val="22"/>
                <w:szCs w:val="22"/>
              </w:rPr>
            </w:pPr>
          </w:p>
        </w:tc>
      </w:tr>
      <w:tr w:rsidR="00E03767" w:rsidTr="006C0857">
        <w:trPr>
          <w:trHeight w:val="612"/>
        </w:trPr>
        <w:tc>
          <w:tcPr>
            <w:tcW w:w="1418" w:type="dxa"/>
          </w:tcPr>
          <w:p w:rsidR="00E03767" w:rsidRDefault="00E03767" w:rsidP="00E83A90">
            <w:pPr>
              <w:rPr>
                <w:rFonts w:asciiTheme="minorHAnsi" w:hAnsiTheme="minorHAnsi" w:cstheme="minorHAnsi"/>
                <w:b/>
                <w:sz w:val="22"/>
                <w:szCs w:val="22"/>
              </w:rPr>
            </w:pPr>
          </w:p>
        </w:tc>
        <w:tc>
          <w:tcPr>
            <w:tcW w:w="328" w:type="dxa"/>
          </w:tcPr>
          <w:p w:rsidR="00E03767" w:rsidRDefault="00E03767" w:rsidP="00E83A90">
            <w:pPr>
              <w:rPr>
                <w:rFonts w:asciiTheme="minorHAnsi" w:hAnsiTheme="minorHAnsi" w:cstheme="minorHAnsi"/>
                <w:b/>
                <w:sz w:val="22"/>
                <w:szCs w:val="22"/>
              </w:rPr>
            </w:pPr>
          </w:p>
        </w:tc>
        <w:tc>
          <w:tcPr>
            <w:tcW w:w="1515" w:type="dxa"/>
            <w:gridSpan w:val="3"/>
          </w:tcPr>
          <w:p w:rsidR="00E03767" w:rsidRDefault="00E03767" w:rsidP="00E83A90">
            <w:pPr>
              <w:rPr>
                <w:rFonts w:asciiTheme="minorHAnsi" w:hAnsiTheme="minorHAnsi" w:cstheme="minorHAnsi"/>
                <w:b/>
                <w:sz w:val="22"/>
                <w:szCs w:val="22"/>
              </w:rPr>
            </w:pPr>
            <w:r w:rsidRPr="006C41B6">
              <w:rPr>
                <w:rFonts w:asciiTheme="minorHAnsi" w:hAnsiTheme="minorHAnsi" w:cstheme="minorHAnsi"/>
                <w:noProof/>
                <w:sz w:val="22"/>
                <w:szCs w:val="22"/>
                <w:lang w:eastAsia="en-GB"/>
              </w:rPr>
              <mc:AlternateContent>
                <mc:Choice Requires="wps">
                  <w:drawing>
                    <wp:inline distT="0" distB="0" distL="0" distR="0" wp14:anchorId="0FCB4361" wp14:editId="03E4A1F4">
                      <wp:extent cx="352425" cy="327804"/>
                      <wp:effectExtent l="19050" t="0" r="28575" b="34290"/>
                      <wp:docPr id="9" name="Down Arrow 84" title="Arrow pointing down"/>
                      <wp:cNvGraphicFramePr/>
                      <a:graphic xmlns:a="http://schemas.openxmlformats.org/drawingml/2006/main">
                        <a:graphicData uri="http://schemas.microsoft.com/office/word/2010/wordprocessingShape">
                          <wps:wsp>
                            <wps:cNvSpPr/>
                            <wps:spPr>
                              <a:xfrm>
                                <a:off x="0" y="0"/>
                                <a:ext cx="352425" cy="327804"/>
                              </a:xfrm>
                              <a:prstGeom prst="downArrow">
                                <a:avLst/>
                              </a:prstGeom>
                              <a:solidFill>
                                <a:srgbClr val="8064A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5462E0" id="Down Arrow 84" o:spid="_x0000_s1026" type="#_x0000_t67" alt="Title: Arrow pointing down" style="width:27.7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" adj="10800" fillcolor="#8064a2" strokecolor="#385d8a" strokeweight="2pt">
                      <w10:anchorlock/>
                    </v:shape>
                  </w:pict>
                </mc:Fallback>
              </mc:AlternateContent>
            </w:r>
          </w:p>
        </w:tc>
        <w:tc>
          <w:tcPr>
            <w:tcW w:w="308" w:type="dxa"/>
          </w:tcPr>
          <w:p w:rsidR="00E03767" w:rsidRDefault="00E03767" w:rsidP="00E83A90">
            <w:pPr>
              <w:rPr>
                <w:rFonts w:asciiTheme="minorHAnsi" w:hAnsiTheme="minorHAnsi" w:cstheme="minorHAnsi"/>
                <w:b/>
                <w:sz w:val="22"/>
                <w:szCs w:val="22"/>
              </w:rPr>
            </w:pPr>
          </w:p>
        </w:tc>
        <w:tc>
          <w:tcPr>
            <w:tcW w:w="1393" w:type="dxa"/>
          </w:tcPr>
          <w:p w:rsidR="00E03767" w:rsidRDefault="00E03767" w:rsidP="00E83A90">
            <w:pPr>
              <w:rPr>
                <w:rFonts w:asciiTheme="minorHAnsi" w:hAnsiTheme="minorHAnsi" w:cstheme="minorHAnsi"/>
                <w:b/>
                <w:sz w:val="22"/>
                <w:szCs w:val="22"/>
              </w:rPr>
            </w:pPr>
          </w:p>
        </w:tc>
        <w:tc>
          <w:tcPr>
            <w:tcW w:w="318" w:type="dxa"/>
          </w:tcPr>
          <w:p w:rsidR="00E03767" w:rsidRDefault="00E03767" w:rsidP="00E83A90">
            <w:pPr>
              <w:rPr>
                <w:rFonts w:asciiTheme="minorHAnsi" w:hAnsiTheme="minorHAnsi" w:cstheme="minorHAnsi"/>
                <w:b/>
                <w:sz w:val="22"/>
                <w:szCs w:val="22"/>
              </w:rPr>
            </w:pPr>
          </w:p>
        </w:tc>
        <w:tc>
          <w:tcPr>
            <w:tcW w:w="1808" w:type="dxa"/>
            <w:gridSpan w:val="3"/>
          </w:tcPr>
          <w:p w:rsidR="00E03767" w:rsidRDefault="000A0320" w:rsidP="00E83A90">
            <w:pPr>
              <w:rPr>
                <w:rFonts w:asciiTheme="minorHAnsi" w:hAnsiTheme="minorHAnsi" w:cstheme="minorHAnsi"/>
                <w:b/>
                <w:sz w:val="22"/>
                <w:szCs w:val="22"/>
              </w:rPr>
            </w:pPr>
            <w:r w:rsidRPr="006C41B6">
              <w:rPr>
                <w:rFonts w:asciiTheme="minorHAnsi" w:hAnsiTheme="minorHAnsi" w:cstheme="minorHAnsi"/>
                <w:noProof/>
                <w:sz w:val="22"/>
                <w:szCs w:val="22"/>
                <w:lang w:eastAsia="en-GB"/>
              </w:rPr>
              <mc:AlternateContent>
                <mc:Choice Requires="wps">
                  <w:drawing>
                    <wp:inline distT="0" distB="0" distL="0" distR="0" wp14:anchorId="6ABAC356" wp14:editId="19E49EA6">
                      <wp:extent cx="352425" cy="327804"/>
                      <wp:effectExtent l="19050" t="0" r="28575" b="34290"/>
                      <wp:docPr id="12" name="Down Arrow 84" title="Arrow pointing down"/>
                      <wp:cNvGraphicFramePr/>
                      <a:graphic xmlns:a="http://schemas.openxmlformats.org/drawingml/2006/main">
                        <a:graphicData uri="http://schemas.microsoft.com/office/word/2010/wordprocessingShape">
                          <wps:wsp>
                            <wps:cNvSpPr/>
                            <wps:spPr>
                              <a:xfrm>
                                <a:off x="0" y="0"/>
                                <a:ext cx="352425" cy="327804"/>
                              </a:xfrm>
                              <a:prstGeom prst="downArrow">
                                <a:avLst/>
                              </a:prstGeom>
                              <a:solidFill>
                                <a:srgbClr val="8064A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A1617F" id="Down Arrow 84" o:spid="_x0000_s1026" type="#_x0000_t67" alt="Title: Arrow pointing down" style="width:27.7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" adj="10800" fillcolor="#8064a2" strokecolor="#385d8a" strokeweight="2pt">
                      <w10:anchorlock/>
                    </v:shape>
                  </w:pict>
                </mc:Fallback>
              </mc:AlternateContent>
            </w:r>
          </w:p>
        </w:tc>
        <w:tc>
          <w:tcPr>
            <w:tcW w:w="253" w:type="dxa"/>
          </w:tcPr>
          <w:p w:rsidR="00E03767" w:rsidRDefault="00E03767" w:rsidP="00E83A90">
            <w:pPr>
              <w:rPr>
                <w:rFonts w:asciiTheme="minorHAnsi" w:hAnsiTheme="minorHAnsi" w:cstheme="minorHAnsi"/>
                <w:b/>
                <w:sz w:val="22"/>
                <w:szCs w:val="22"/>
              </w:rPr>
            </w:pPr>
          </w:p>
        </w:tc>
        <w:tc>
          <w:tcPr>
            <w:tcW w:w="1379" w:type="dxa"/>
          </w:tcPr>
          <w:p w:rsidR="00E03767" w:rsidRDefault="00E03767" w:rsidP="00E83A90">
            <w:pPr>
              <w:rPr>
                <w:rFonts w:asciiTheme="minorHAnsi" w:hAnsiTheme="minorHAnsi" w:cstheme="minorHAnsi"/>
                <w:b/>
                <w:sz w:val="22"/>
                <w:szCs w:val="22"/>
              </w:rPr>
            </w:pPr>
          </w:p>
        </w:tc>
      </w:tr>
      <w:tr w:rsidR="00E03767" w:rsidTr="000A0320">
        <w:trPr>
          <w:trHeight w:val="677"/>
        </w:trPr>
        <w:tc>
          <w:tcPr>
            <w:tcW w:w="3231" w:type="dxa"/>
            <w:gridSpan w:val="4"/>
            <w:tcBorders>
              <w:top w:val="single" w:sz="24" w:space="0" w:color="7030A0"/>
              <w:left w:val="single" w:sz="24" w:space="0" w:color="7030A0"/>
              <w:bottom w:val="single" w:sz="24" w:space="0" w:color="7030A0"/>
              <w:right w:val="single" w:sz="24" w:space="0" w:color="7030A0"/>
            </w:tcBorders>
          </w:tcPr>
          <w:p w:rsidR="00E03767" w:rsidRDefault="00E03767" w:rsidP="006C0857">
            <w:pPr>
              <w:spacing w:before="120"/>
              <w:jc w:val="center"/>
              <w:rPr>
                <w:rFonts w:asciiTheme="minorHAnsi" w:hAnsiTheme="minorHAnsi" w:cstheme="minorHAnsi"/>
                <w:b/>
                <w:sz w:val="22"/>
                <w:szCs w:val="22"/>
              </w:rPr>
            </w:pPr>
            <w:r>
              <w:rPr>
                <w:rFonts w:ascii="Arial" w:hAnsi="Arial" w:cs="Arial"/>
                <w:sz w:val="20"/>
              </w:rPr>
              <w:t>Paid to o</w:t>
            </w:r>
            <w:r w:rsidRPr="005D7F71">
              <w:rPr>
                <w:rFonts w:ascii="Arial" w:hAnsi="Arial" w:cs="Arial"/>
                <w:sz w:val="20"/>
              </w:rPr>
              <w:t>thers</w:t>
            </w:r>
            <w:r>
              <w:rPr>
                <w:rFonts w:ascii="Arial" w:hAnsi="Arial" w:cs="Arial"/>
                <w:sz w:val="20"/>
              </w:rPr>
              <w:br/>
            </w:r>
            <w:r w:rsidRPr="005D7F71">
              <w:rPr>
                <w:rFonts w:ascii="Arial" w:hAnsi="Arial" w:cs="Arial"/>
                <w:sz w:val="20"/>
              </w:rPr>
              <w:t>£</w:t>
            </w:r>
            <w:r>
              <w:rPr>
                <w:rFonts w:ascii="Arial" w:hAnsi="Arial" w:cs="Arial"/>
                <w:sz w:val="20"/>
              </w:rPr>
              <w:t>30m</w:t>
            </w:r>
          </w:p>
        </w:tc>
        <w:tc>
          <w:tcPr>
            <w:tcW w:w="338" w:type="dxa"/>
            <w:gridSpan w:val="2"/>
            <w:tcBorders>
              <w:left w:val="single" w:sz="24" w:space="0" w:color="7030A0"/>
              <w:right w:val="single" w:sz="24" w:space="0" w:color="7030A0"/>
            </w:tcBorders>
          </w:tcPr>
          <w:p w:rsidR="00E03767" w:rsidRDefault="00E03767" w:rsidP="00E83A90">
            <w:pPr>
              <w:rPr>
                <w:rFonts w:asciiTheme="minorHAnsi" w:hAnsiTheme="minorHAnsi" w:cstheme="minorHAnsi"/>
                <w:b/>
                <w:sz w:val="22"/>
                <w:szCs w:val="22"/>
              </w:rPr>
            </w:pPr>
          </w:p>
        </w:tc>
        <w:tc>
          <w:tcPr>
            <w:tcW w:w="5151" w:type="dxa"/>
            <w:gridSpan w:val="7"/>
            <w:tcBorders>
              <w:top w:val="single" w:sz="24" w:space="0" w:color="7030A0"/>
              <w:left w:val="single" w:sz="24" w:space="0" w:color="7030A0"/>
              <w:bottom w:val="single" w:sz="24" w:space="0" w:color="7030A0"/>
              <w:right w:val="single" w:sz="24" w:space="0" w:color="7030A0"/>
            </w:tcBorders>
          </w:tcPr>
          <w:p w:rsidR="00E03767" w:rsidRPr="005D7F71" w:rsidRDefault="00E03767" w:rsidP="006C0857">
            <w:pPr>
              <w:spacing w:before="120"/>
              <w:jc w:val="center"/>
              <w:rPr>
                <w:rFonts w:ascii="Arial" w:hAnsi="Arial" w:cs="Arial"/>
                <w:sz w:val="20"/>
              </w:rPr>
            </w:pPr>
            <w:r>
              <w:rPr>
                <w:rFonts w:ascii="Arial" w:hAnsi="Arial" w:cs="Arial"/>
                <w:sz w:val="20"/>
              </w:rPr>
              <w:t>Providing local services</w:t>
            </w:r>
            <w:r w:rsidR="006C0857">
              <w:rPr>
                <w:rFonts w:ascii="Arial" w:hAnsi="Arial" w:cs="Arial"/>
                <w:sz w:val="20"/>
              </w:rPr>
              <w:br/>
            </w:r>
            <w:r w:rsidRPr="003B1D1C">
              <w:rPr>
                <w:rFonts w:ascii="Arial" w:hAnsi="Arial" w:cs="Arial"/>
                <w:sz w:val="20"/>
              </w:rPr>
              <w:t>£</w:t>
            </w:r>
            <w:r>
              <w:rPr>
                <w:rFonts w:ascii="Arial" w:hAnsi="Arial" w:cs="Arial"/>
                <w:sz w:val="20"/>
              </w:rPr>
              <w:t>46</w:t>
            </w:r>
            <w:r w:rsidRPr="003B1D1C">
              <w:rPr>
                <w:rFonts w:ascii="Arial" w:hAnsi="Arial" w:cs="Arial"/>
                <w:sz w:val="20"/>
              </w:rPr>
              <w:t>m</w:t>
            </w:r>
          </w:p>
          <w:p w:rsidR="00E03767" w:rsidRDefault="00E03767" w:rsidP="00E83A90">
            <w:pPr>
              <w:rPr>
                <w:rFonts w:asciiTheme="minorHAnsi" w:hAnsiTheme="minorHAnsi" w:cstheme="minorHAnsi"/>
                <w:b/>
                <w:sz w:val="22"/>
                <w:szCs w:val="22"/>
              </w:rPr>
            </w:pPr>
          </w:p>
        </w:tc>
      </w:tr>
      <w:tr w:rsidR="00D32ADF" w:rsidTr="006C0857">
        <w:trPr>
          <w:trHeight w:val="649"/>
        </w:trPr>
        <w:tc>
          <w:tcPr>
            <w:tcW w:w="1418" w:type="dxa"/>
            <w:tcBorders>
              <w:bottom w:val="single" w:sz="24" w:space="0" w:color="7030A0"/>
            </w:tcBorders>
          </w:tcPr>
          <w:p w:rsidR="00D32ADF" w:rsidRDefault="00D32ADF" w:rsidP="006A5B17">
            <w:pPr>
              <w:jc w:val="center"/>
              <w:rPr>
                <w:rFonts w:asciiTheme="minorHAnsi" w:hAnsiTheme="minorHAnsi" w:cstheme="minorHAnsi"/>
                <w:b/>
                <w:sz w:val="22"/>
                <w:szCs w:val="22"/>
              </w:rPr>
            </w:pPr>
            <w:r w:rsidRPr="006C41B6">
              <w:rPr>
                <w:rFonts w:asciiTheme="minorHAnsi" w:hAnsiTheme="minorHAnsi" w:cstheme="minorHAnsi"/>
                <w:noProof/>
                <w:sz w:val="22"/>
                <w:szCs w:val="22"/>
                <w:lang w:eastAsia="en-GB"/>
              </w:rPr>
              <mc:AlternateContent>
                <mc:Choice Requires="wps">
                  <w:drawing>
                    <wp:inline distT="0" distB="0" distL="0" distR="0" wp14:anchorId="1B9C1120" wp14:editId="2DF5B4B7">
                      <wp:extent cx="414020" cy="327804"/>
                      <wp:effectExtent l="19050" t="0" r="24130" b="34290"/>
                      <wp:docPr id="2" name="Down Arrow 84" title="Arrow pointing down"/>
                      <wp:cNvGraphicFramePr/>
                      <a:graphic xmlns:a="http://schemas.openxmlformats.org/drawingml/2006/main">
                        <a:graphicData uri="http://schemas.microsoft.com/office/word/2010/wordprocessingShape">
                          <wps:wsp>
                            <wps:cNvSpPr/>
                            <wps:spPr>
                              <a:xfrm>
                                <a:off x="0" y="0"/>
                                <a:ext cx="414020" cy="327804"/>
                              </a:xfrm>
                              <a:prstGeom prst="downArrow">
                                <a:avLst/>
                              </a:prstGeom>
                              <a:solidFill>
                                <a:srgbClr val="8064A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4787DE" id="Down Arrow 84" o:spid="_x0000_s1026" type="#_x0000_t67" alt="Title: Arrow pointing down" style="width:32.6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" adj="10800" fillcolor="#8064a2" strokecolor="#385d8a" strokeweight="2pt">
                      <w10:anchorlock/>
                    </v:shape>
                  </w:pict>
                </mc:Fallback>
              </mc:AlternateContent>
            </w:r>
          </w:p>
        </w:tc>
        <w:tc>
          <w:tcPr>
            <w:tcW w:w="328" w:type="dxa"/>
          </w:tcPr>
          <w:p w:rsidR="00D32ADF" w:rsidRDefault="00D32ADF" w:rsidP="00E83A90">
            <w:pPr>
              <w:rPr>
                <w:rFonts w:asciiTheme="minorHAnsi" w:hAnsiTheme="minorHAnsi" w:cstheme="minorHAnsi"/>
                <w:b/>
                <w:sz w:val="22"/>
                <w:szCs w:val="22"/>
              </w:rPr>
            </w:pPr>
          </w:p>
        </w:tc>
        <w:tc>
          <w:tcPr>
            <w:tcW w:w="1515" w:type="dxa"/>
            <w:gridSpan w:val="3"/>
            <w:tcBorders>
              <w:bottom w:val="single" w:sz="24" w:space="0" w:color="7030A0"/>
            </w:tcBorders>
          </w:tcPr>
          <w:p w:rsidR="00D32ADF" w:rsidRDefault="00D32ADF" w:rsidP="006A5B17">
            <w:pPr>
              <w:jc w:val="center"/>
              <w:rPr>
                <w:rFonts w:asciiTheme="minorHAnsi" w:hAnsiTheme="minorHAnsi" w:cstheme="minorHAnsi"/>
                <w:b/>
                <w:sz w:val="22"/>
                <w:szCs w:val="22"/>
              </w:rPr>
            </w:pPr>
            <w:r w:rsidRPr="006C41B6">
              <w:rPr>
                <w:rFonts w:asciiTheme="minorHAnsi" w:hAnsiTheme="minorHAnsi" w:cstheme="minorHAnsi"/>
                <w:noProof/>
                <w:sz w:val="22"/>
                <w:szCs w:val="22"/>
                <w:lang w:eastAsia="en-GB"/>
              </w:rPr>
              <mc:AlternateContent>
                <mc:Choice Requires="wps">
                  <w:drawing>
                    <wp:inline distT="0" distB="0" distL="0" distR="0" wp14:anchorId="38ED347B" wp14:editId="4C51828A">
                      <wp:extent cx="414020" cy="327804"/>
                      <wp:effectExtent l="19050" t="0" r="24130" b="34290"/>
                      <wp:docPr id="3" name="Down Arrow 84" title="Arrow pointing down"/>
                      <wp:cNvGraphicFramePr/>
                      <a:graphic xmlns:a="http://schemas.openxmlformats.org/drawingml/2006/main">
                        <a:graphicData uri="http://schemas.microsoft.com/office/word/2010/wordprocessingShape">
                          <wps:wsp>
                            <wps:cNvSpPr/>
                            <wps:spPr>
                              <a:xfrm>
                                <a:off x="0" y="0"/>
                                <a:ext cx="414020" cy="327804"/>
                              </a:xfrm>
                              <a:prstGeom prst="downArrow">
                                <a:avLst/>
                              </a:prstGeom>
                              <a:solidFill>
                                <a:srgbClr val="8064A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7B3796" id="Down Arrow 84" o:spid="_x0000_s1026" type="#_x0000_t67" alt="Title: Arrow pointing down" style="width:32.6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" adj="10800" fillcolor="#8064a2" strokecolor="#385d8a" strokeweight="2pt">
                      <w10:anchorlock/>
                    </v:shape>
                  </w:pict>
                </mc:Fallback>
              </mc:AlternateContent>
            </w:r>
          </w:p>
        </w:tc>
        <w:tc>
          <w:tcPr>
            <w:tcW w:w="308" w:type="dxa"/>
          </w:tcPr>
          <w:p w:rsidR="00D32ADF" w:rsidRDefault="00D32ADF" w:rsidP="00E83A90">
            <w:pPr>
              <w:rPr>
                <w:rFonts w:asciiTheme="minorHAnsi" w:hAnsiTheme="minorHAnsi" w:cstheme="minorHAnsi"/>
                <w:b/>
                <w:sz w:val="22"/>
                <w:szCs w:val="22"/>
              </w:rPr>
            </w:pPr>
          </w:p>
        </w:tc>
        <w:tc>
          <w:tcPr>
            <w:tcW w:w="1393" w:type="dxa"/>
            <w:tcBorders>
              <w:bottom w:val="single" w:sz="24" w:space="0" w:color="7030A0"/>
            </w:tcBorders>
          </w:tcPr>
          <w:p w:rsidR="00D32ADF" w:rsidRDefault="00D32ADF" w:rsidP="006A5B17">
            <w:pPr>
              <w:jc w:val="center"/>
              <w:rPr>
                <w:rFonts w:asciiTheme="minorHAnsi" w:hAnsiTheme="minorHAnsi" w:cstheme="minorHAnsi"/>
                <w:b/>
                <w:sz w:val="22"/>
                <w:szCs w:val="22"/>
              </w:rPr>
            </w:pPr>
            <w:r w:rsidRPr="006C41B6">
              <w:rPr>
                <w:rFonts w:asciiTheme="minorHAnsi" w:hAnsiTheme="minorHAnsi" w:cstheme="minorHAnsi"/>
                <w:noProof/>
                <w:sz w:val="22"/>
                <w:szCs w:val="22"/>
                <w:lang w:eastAsia="en-GB"/>
              </w:rPr>
              <mc:AlternateContent>
                <mc:Choice Requires="wps">
                  <w:drawing>
                    <wp:inline distT="0" distB="0" distL="0" distR="0" wp14:anchorId="0ABBD898" wp14:editId="50E8D776">
                      <wp:extent cx="414020" cy="327804"/>
                      <wp:effectExtent l="19050" t="0" r="24130" b="34290"/>
                      <wp:docPr id="4" name="Down Arrow 84" title="Arrow pointing down"/>
                      <wp:cNvGraphicFramePr/>
                      <a:graphic xmlns:a="http://schemas.openxmlformats.org/drawingml/2006/main">
                        <a:graphicData uri="http://schemas.microsoft.com/office/word/2010/wordprocessingShape">
                          <wps:wsp>
                            <wps:cNvSpPr/>
                            <wps:spPr>
                              <a:xfrm>
                                <a:off x="0" y="0"/>
                                <a:ext cx="414020" cy="327804"/>
                              </a:xfrm>
                              <a:prstGeom prst="downArrow">
                                <a:avLst/>
                              </a:prstGeom>
                              <a:solidFill>
                                <a:srgbClr val="8064A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AE936A" id="Down Arrow 84" o:spid="_x0000_s1026" type="#_x0000_t67" alt="Title: Arrow pointing down" style="width:32.6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" adj="10800" fillcolor="#8064a2" strokecolor="#385d8a" strokeweight="2pt">
                      <w10:anchorlock/>
                    </v:shape>
                  </w:pict>
                </mc:Fallback>
              </mc:AlternateContent>
            </w:r>
          </w:p>
        </w:tc>
        <w:tc>
          <w:tcPr>
            <w:tcW w:w="318" w:type="dxa"/>
          </w:tcPr>
          <w:p w:rsidR="00D32ADF" w:rsidRDefault="00D32ADF" w:rsidP="00E83A90">
            <w:pPr>
              <w:rPr>
                <w:rFonts w:asciiTheme="minorHAnsi" w:hAnsiTheme="minorHAnsi" w:cstheme="minorHAnsi"/>
                <w:b/>
                <w:sz w:val="22"/>
                <w:szCs w:val="22"/>
              </w:rPr>
            </w:pPr>
          </w:p>
        </w:tc>
        <w:tc>
          <w:tcPr>
            <w:tcW w:w="1808" w:type="dxa"/>
            <w:gridSpan w:val="3"/>
            <w:tcBorders>
              <w:bottom w:val="single" w:sz="24" w:space="0" w:color="7030A0"/>
            </w:tcBorders>
          </w:tcPr>
          <w:p w:rsidR="00D32ADF" w:rsidRDefault="00D32ADF" w:rsidP="006A5B17">
            <w:pPr>
              <w:jc w:val="center"/>
              <w:rPr>
                <w:rFonts w:asciiTheme="minorHAnsi" w:hAnsiTheme="minorHAnsi" w:cstheme="minorHAnsi"/>
                <w:b/>
                <w:sz w:val="22"/>
                <w:szCs w:val="22"/>
              </w:rPr>
            </w:pPr>
            <w:r w:rsidRPr="006C41B6">
              <w:rPr>
                <w:rFonts w:asciiTheme="minorHAnsi" w:hAnsiTheme="minorHAnsi" w:cstheme="minorHAnsi"/>
                <w:noProof/>
                <w:sz w:val="22"/>
                <w:szCs w:val="22"/>
                <w:lang w:eastAsia="en-GB"/>
              </w:rPr>
              <mc:AlternateContent>
                <mc:Choice Requires="wps">
                  <w:drawing>
                    <wp:inline distT="0" distB="0" distL="0" distR="0" wp14:anchorId="53D8A9FA" wp14:editId="1B641312">
                      <wp:extent cx="414020" cy="327804"/>
                      <wp:effectExtent l="19050" t="0" r="24130" b="34290"/>
                      <wp:docPr id="5" name="Down Arrow 84" title="Arrow pointing down"/>
                      <wp:cNvGraphicFramePr/>
                      <a:graphic xmlns:a="http://schemas.openxmlformats.org/drawingml/2006/main">
                        <a:graphicData uri="http://schemas.microsoft.com/office/word/2010/wordprocessingShape">
                          <wps:wsp>
                            <wps:cNvSpPr/>
                            <wps:spPr>
                              <a:xfrm>
                                <a:off x="0" y="0"/>
                                <a:ext cx="414020" cy="327804"/>
                              </a:xfrm>
                              <a:prstGeom prst="downArrow">
                                <a:avLst/>
                              </a:prstGeom>
                              <a:solidFill>
                                <a:srgbClr val="8064A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08A6EC" id="Down Arrow 84" o:spid="_x0000_s1026" type="#_x0000_t67" alt="Title: Arrow pointing down" style="width:32.6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" adj="10800" fillcolor="#8064a2" strokecolor="#385d8a" strokeweight="2pt">
                      <w10:anchorlock/>
                    </v:shape>
                  </w:pict>
                </mc:Fallback>
              </mc:AlternateContent>
            </w:r>
          </w:p>
        </w:tc>
        <w:tc>
          <w:tcPr>
            <w:tcW w:w="253" w:type="dxa"/>
          </w:tcPr>
          <w:p w:rsidR="00D32ADF" w:rsidRDefault="00D32ADF" w:rsidP="00E83A90">
            <w:pPr>
              <w:rPr>
                <w:rFonts w:asciiTheme="minorHAnsi" w:hAnsiTheme="minorHAnsi" w:cstheme="minorHAnsi"/>
                <w:b/>
                <w:sz w:val="22"/>
                <w:szCs w:val="22"/>
              </w:rPr>
            </w:pPr>
          </w:p>
        </w:tc>
        <w:tc>
          <w:tcPr>
            <w:tcW w:w="1379" w:type="dxa"/>
            <w:tcBorders>
              <w:bottom w:val="single" w:sz="24" w:space="0" w:color="7030A0"/>
            </w:tcBorders>
          </w:tcPr>
          <w:p w:rsidR="00D32ADF" w:rsidRDefault="000A0320" w:rsidP="000A0320">
            <w:pPr>
              <w:jc w:val="center"/>
              <w:rPr>
                <w:rFonts w:asciiTheme="minorHAnsi" w:hAnsiTheme="minorHAnsi" w:cstheme="minorHAnsi"/>
                <w:b/>
                <w:sz w:val="22"/>
                <w:szCs w:val="22"/>
              </w:rPr>
            </w:pPr>
            <w:r w:rsidRPr="006C41B6">
              <w:rPr>
                <w:rFonts w:asciiTheme="minorHAnsi" w:hAnsiTheme="minorHAnsi" w:cstheme="minorHAnsi"/>
                <w:noProof/>
                <w:sz w:val="22"/>
                <w:szCs w:val="22"/>
                <w:lang w:eastAsia="en-GB"/>
              </w:rPr>
              <mc:AlternateContent>
                <mc:Choice Requires="wps">
                  <w:drawing>
                    <wp:inline distT="0" distB="0" distL="0" distR="0" wp14:anchorId="45ABB4C0" wp14:editId="6742059C">
                      <wp:extent cx="352425" cy="327804"/>
                      <wp:effectExtent l="19050" t="0" r="28575" b="34290"/>
                      <wp:docPr id="13" name="Down Arrow 84" title="Arrow pointing down"/>
                      <wp:cNvGraphicFramePr/>
                      <a:graphic xmlns:a="http://schemas.openxmlformats.org/drawingml/2006/main">
                        <a:graphicData uri="http://schemas.microsoft.com/office/word/2010/wordprocessingShape">
                          <wps:wsp>
                            <wps:cNvSpPr/>
                            <wps:spPr>
                              <a:xfrm>
                                <a:off x="0" y="0"/>
                                <a:ext cx="352425" cy="327804"/>
                              </a:xfrm>
                              <a:prstGeom prst="downArrow">
                                <a:avLst/>
                              </a:prstGeom>
                              <a:solidFill>
                                <a:srgbClr val="8064A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B8C76A" id="Down Arrow 84" o:spid="_x0000_s1026" type="#_x0000_t67" alt="Title: Arrow pointing down" style="width:27.7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" adj="10800" fillcolor="#8064a2" strokecolor="#385d8a" strokeweight="2pt">
                      <w10:anchorlock/>
                    </v:shape>
                  </w:pict>
                </mc:Fallback>
              </mc:AlternateContent>
            </w:r>
          </w:p>
        </w:tc>
      </w:tr>
      <w:tr w:rsidR="00D32ADF" w:rsidTr="006C0857">
        <w:tc>
          <w:tcPr>
            <w:tcW w:w="1418" w:type="dxa"/>
            <w:tcBorders>
              <w:top w:val="single" w:sz="24" w:space="0" w:color="7030A0"/>
              <w:left w:val="single" w:sz="24" w:space="0" w:color="7030A0"/>
              <w:bottom w:val="single" w:sz="24" w:space="0" w:color="7030A0"/>
              <w:right w:val="single" w:sz="24" w:space="0" w:color="7030A0"/>
            </w:tcBorders>
          </w:tcPr>
          <w:p w:rsidR="00D32ADF" w:rsidRPr="005D7F71" w:rsidRDefault="00D32ADF" w:rsidP="000A0320">
            <w:pPr>
              <w:spacing w:before="120"/>
              <w:jc w:val="center"/>
              <w:rPr>
                <w:rFonts w:ascii="Arial" w:hAnsi="Arial" w:cs="Arial"/>
                <w:sz w:val="20"/>
              </w:rPr>
            </w:pPr>
            <w:r>
              <w:rPr>
                <w:rFonts w:ascii="Arial" w:hAnsi="Arial" w:cs="Arial"/>
                <w:sz w:val="20"/>
              </w:rPr>
              <w:t>Parish Council precepts</w:t>
            </w:r>
          </w:p>
          <w:p w:rsidR="00D32ADF" w:rsidRPr="005D7F71" w:rsidRDefault="00D32ADF" w:rsidP="00D32ADF">
            <w:pPr>
              <w:jc w:val="center"/>
              <w:rPr>
                <w:rFonts w:ascii="Arial" w:hAnsi="Arial" w:cs="Arial"/>
                <w:sz w:val="20"/>
              </w:rPr>
            </w:pPr>
            <w:r w:rsidRPr="005D7F71">
              <w:rPr>
                <w:rFonts w:ascii="Arial" w:hAnsi="Arial" w:cs="Arial"/>
                <w:sz w:val="20"/>
              </w:rPr>
              <w:t>£</w:t>
            </w:r>
            <w:r>
              <w:rPr>
                <w:rFonts w:ascii="Arial" w:hAnsi="Arial" w:cs="Arial"/>
                <w:sz w:val="20"/>
              </w:rPr>
              <w:t>3m</w:t>
            </w:r>
          </w:p>
          <w:p w:rsidR="00D32ADF" w:rsidRDefault="00D32ADF" w:rsidP="00E83A90">
            <w:pPr>
              <w:rPr>
                <w:rFonts w:asciiTheme="minorHAnsi" w:hAnsiTheme="minorHAnsi" w:cstheme="minorHAnsi"/>
                <w:b/>
                <w:sz w:val="22"/>
                <w:szCs w:val="22"/>
              </w:rPr>
            </w:pPr>
          </w:p>
        </w:tc>
        <w:tc>
          <w:tcPr>
            <w:tcW w:w="328" w:type="dxa"/>
            <w:tcBorders>
              <w:left w:val="single" w:sz="24" w:space="0" w:color="7030A0"/>
              <w:right w:val="single" w:sz="24" w:space="0" w:color="7030A0"/>
            </w:tcBorders>
          </w:tcPr>
          <w:p w:rsidR="00D32ADF" w:rsidRDefault="00D32ADF" w:rsidP="00E83A90">
            <w:pPr>
              <w:rPr>
                <w:rFonts w:asciiTheme="minorHAnsi" w:hAnsiTheme="minorHAnsi" w:cstheme="minorHAnsi"/>
                <w:b/>
                <w:sz w:val="22"/>
                <w:szCs w:val="22"/>
              </w:rPr>
            </w:pPr>
          </w:p>
        </w:tc>
        <w:tc>
          <w:tcPr>
            <w:tcW w:w="1515" w:type="dxa"/>
            <w:gridSpan w:val="3"/>
            <w:tcBorders>
              <w:top w:val="single" w:sz="24" w:space="0" w:color="7030A0"/>
              <w:left w:val="single" w:sz="24" w:space="0" w:color="7030A0"/>
              <w:bottom w:val="single" w:sz="24" w:space="0" w:color="7030A0"/>
              <w:right w:val="single" w:sz="24" w:space="0" w:color="7030A0"/>
            </w:tcBorders>
          </w:tcPr>
          <w:p w:rsidR="00D32ADF" w:rsidRPr="005D7F71" w:rsidRDefault="00D32ADF" w:rsidP="000A0320">
            <w:pPr>
              <w:spacing w:before="120"/>
              <w:jc w:val="center"/>
              <w:rPr>
                <w:rFonts w:ascii="Arial" w:hAnsi="Arial" w:cs="Arial"/>
                <w:sz w:val="20"/>
              </w:rPr>
            </w:pPr>
            <w:r>
              <w:rPr>
                <w:rFonts w:ascii="Arial" w:hAnsi="Arial" w:cs="Arial"/>
                <w:sz w:val="20"/>
              </w:rPr>
              <w:t>Housing Benefits and Subsidies</w:t>
            </w:r>
            <w:r w:rsidRPr="005D7F71">
              <w:rPr>
                <w:rFonts w:ascii="Arial" w:hAnsi="Arial" w:cs="Arial"/>
                <w:sz w:val="20"/>
              </w:rPr>
              <w:t xml:space="preserve"> £</w:t>
            </w:r>
            <w:r>
              <w:rPr>
                <w:rFonts w:ascii="Arial" w:hAnsi="Arial" w:cs="Arial"/>
                <w:sz w:val="20"/>
              </w:rPr>
              <w:t>27m</w:t>
            </w:r>
          </w:p>
          <w:p w:rsidR="00D32ADF" w:rsidRDefault="00D32ADF" w:rsidP="00E83A90">
            <w:pPr>
              <w:rPr>
                <w:rFonts w:asciiTheme="minorHAnsi" w:hAnsiTheme="minorHAnsi" w:cstheme="minorHAnsi"/>
                <w:b/>
                <w:sz w:val="22"/>
                <w:szCs w:val="22"/>
              </w:rPr>
            </w:pPr>
          </w:p>
        </w:tc>
        <w:tc>
          <w:tcPr>
            <w:tcW w:w="308" w:type="dxa"/>
            <w:tcBorders>
              <w:left w:val="single" w:sz="24" w:space="0" w:color="7030A0"/>
              <w:right w:val="single" w:sz="24" w:space="0" w:color="7030A0"/>
            </w:tcBorders>
          </w:tcPr>
          <w:p w:rsidR="00D32ADF" w:rsidRDefault="00D32ADF" w:rsidP="00E83A90">
            <w:pPr>
              <w:rPr>
                <w:rFonts w:asciiTheme="minorHAnsi" w:hAnsiTheme="minorHAnsi" w:cstheme="minorHAnsi"/>
                <w:b/>
                <w:sz w:val="22"/>
                <w:szCs w:val="22"/>
              </w:rPr>
            </w:pPr>
          </w:p>
        </w:tc>
        <w:tc>
          <w:tcPr>
            <w:tcW w:w="1393" w:type="dxa"/>
            <w:tcBorders>
              <w:top w:val="single" w:sz="24" w:space="0" w:color="7030A0"/>
              <w:left w:val="single" w:sz="24" w:space="0" w:color="7030A0"/>
              <w:bottom w:val="single" w:sz="24" w:space="0" w:color="7030A0"/>
              <w:right w:val="single" w:sz="24" w:space="0" w:color="7030A0"/>
            </w:tcBorders>
          </w:tcPr>
          <w:p w:rsidR="00D32ADF" w:rsidRPr="005D7F71" w:rsidRDefault="00D32ADF" w:rsidP="000A0320">
            <w:pPr>
              <w:spacing w:before="120"/>
              <w:jc w:val="center"/>
              <w:rPr>
                <w:rFonts w:ascii="Arial" w:hAnsi="Arial" w:cs="Arial"/>
                <w:sz w:val="20"/>
              </w:rPr>
            </w:pPr>
            <w:r>
              <w:rPr>
                <w:rFonts w:ascii="Arial" w:hAnsi="Arial" w:cs="Arial"/>
                <w:sz w:val="20"/>
              </w:rPr>
              <w:t>Staffing costs</w:t>
            </w:r>
          </w:p>
          <w:p w:rsidR="00D32ADF" w:rsidRPr="005D7F71" w:rsidRDefault="00D32ADF" w:rsidP="00D32ADF">
            <w:pPr>
              <w:jc w:val="center"/>
              <w:rPr>
                <w:rFonts w:ascii="Arial" w:hAnsi="Arial" w:cs="Arial"/>
                <w:sz w:val="20"/>
              </w:rPr>
            </w:pPr>
            <w:r w:rsidRPr="005D7F71">
              <w:rPr>
                <w:rFonts w:ascii="Arial" w:hAnsi="Arial" w:cs="Arial"/>
                <w:sz w:val="20"/>
              </w:rPr>
              <w:t>£</w:t>
            </w:r>
            <w:r>
              <w:rPr>
                <w:rFonts w:ascii="Arial" w:hAnsi="Arial" w:cs="Arial"/>
                <w:sz w:val="20"/>
              </w:rPr>
              <w:t>23m</w:t>
            </w:r>
          </w:p>
          <w:p w:rsidR="00D32ADF" w:rsidRDefault="00D32ADF" w:rsidP="00E83A90">
            <w:pPr>
              <w:rPr>
                <w:rFonts w:asciiTheme="minorHAnsi" w:hAnsiTheme="minorHAnsi" w:cstheme="minorHAnsi"/>
                <w:b/>
                <w:sz w:val="22"/>
                <w:szCs w:val="22"/>
              </w:rPr>
            </w:pPr>
          </w:p>
        </w:tc>
        <w:tc>
          <w:tcPr>
            <w:tcW w:w="318" w:type="dxa"/>
            <w:tcBorders>
              <w:left w:val="single" w:sz="24" w:space="0" w:color="7030A0"/>
              <w:right w:val="single" w:sz="24" w:space="0" w:color="7030A0"/>
            </w:tcBorders>
          </w:tcPr>
          <w:p w:rsidR="00D32ADF" w:rsidRDefault="00D32ADF" w:rsidP="00E83A90">
            <w:pPr>
              <w:rPr>
                <w:rFonts w:asciiTheme="minorHAnsi" w:hAnsiTheme="minorHAnsi" w:cstheme="minorHAnsi"/>
                <w:b/>
                <w:sz w:val="22"/>
                <w:szCs w:val="22"/>
              </w:rPr>
            </w:pPr>
          </w:p>
        </w:tc>
        <w:tc>
          <w:tcPr>
            <w:tcW w:w="1808" w:type="dxa"/>
            <w:gridSpan w:val="3"/>
            <w:tcBorders>
              <w:top w:val="single" w:sz="24" w:space="0" w:color="7030A0"/>
              <w:left w:val="single" w:sz="24" w:space="0" w:color="7030A0"/>
              <w:bottom w:val="single" w:sz="24" w:space="0" w:color="7030A0"/>
              <w:right w:val="single" w:sz="24" w:space="0" w:color="7030A0"/>
            </w:tcBorders>
          </w:tcPr>
          <w:p w:rsidR="00D32ADF" w:rsidRPr="005D7F71" w:rsidRDefault="00D32ADF" w:rsidP="000A0320">
            <w:pPr>
              <w:spacing w:before="120"/>
              <w:jc w:val="center"/>
              <w:rPr>
                <w:rFonts w:ascii="Arial" w:hAnsi="Arial" w:cs="Arial"/>
                <w:sz w:val="20"/>
              </w:rPr>
            </w:pPr>
            <w:r>
              <w:rPr>
                <w:rFonts w:ascii="Arial" w:hAnsi="Arial" w:cs="Arial"/>
                <w:sz w:val="20"/>
              </w:rPr>
              <w:t>Running costs</w:t>
            </w:r>
            <w:r w:rsidR="00E03767">
              <w:rPr>
                <w:rFonts w:ascii="Arial" w:hAnsi="Arial" w:cs="Arial"/>
                <w:sz w:val="20"/>
              </w:rPr>
              <w:t xml:space="preserve"> </w:t>
            </w:r>
            <w:r w:rsidRPr="0084542C">
              <w:rPr>
                <w:rFonts w:ascii="Arial" w:hAnsi="Arial" w:cs="Arial"/>
                <w:sz w:val="20"/>
              </w:rPr>
              <w:t>£</w:t>
            </w:r>
            <w:r>
              <w:rPr>
                <w:rFonts w:ascii="Arial" w:hAnsi="Arial" w:cs="Arial"/>
                <w:sz w:val="20"/>
              </w:rPr>
              <w:t>21</w:t>
            </w:r>
            <w:r w:rsidRPr="0084542C">
              <w:rPr>
                <w:rFonts w:ascii="Arial" w:hAnsi="Arial" w:cs="Arial"/>
                <w:sz w:val="20"/>
              </w:rPr>
              <w:t>m</w:t>
            </w:r>
          </w:p>
          <w:p w:rsidR="00D32ADF" w:rsidRDefault="00D32ADF" w:rsidP="00E83A90">
            <w:pPr>
              <w:rPr>
                <w:rFonts w:asciiTheme="minorHAnsi" w:hAnsiTheme="minorHAnsi" w:cstheme="minorHAnsi"/>
                <w:b/>
                <w:sz w:val="22"/>
                <w:szCs w:val="22"/>
              </w:rPr>
            </w:pPr>
          </w:p>
        </w:tc>
        <w:tc>
          <w:tcPr>
            <w:tcW w:w="253" w:type="dxa"/>
            <w:tcBorders>
              <w:left w:val="single" w:sz="24" w:space="0" w:color="7030A0"/>
              <w:right w:val="single" w:sz="24" w:space="0" w:color="7030A0"/>
            </w:tcBorders>
          </w:tcPr>
          <w:p w:rsidR="00D32ADF" w:rsidRDefault="00D32ADF" w:rsidP="00E83A90">
            <w:pPr>
              <w:rPr>
                <w:rFonts w:asciiTheme="minorHAnsi" w:hAnsiTheme="minorHAnsi" w:cstheme="minorHAnsi"/>
                <w:b/>
                <w:sz w:val="22"/>
                <w:szCs w:val="22"/>
              </w:rPr>
            </w:pPr>
          </w:p>
        </w:tc>
        <w:tc>
          <w:tcPr>
            <w:tcW w:w="1379" w:type="dxa"/>
            <w:tcBorders>
              <w:top w:val="single" w:sz="24" w:space="0" w:color="7030A0"/>
              <w:left w:val="single" w:sz="24" w:space="0" w:color="7030A0"/>
              <w:bottom w:val="single" w:sz="24" w:space="0" w:color="7030A0"/>
              <w:right w:val="single" w:sz="24" w:space="0" w:color="7030A0"/>
            </w:tcBorders>
          </w:tcPr>
          <w:p w:rsidR="00D32ADF" w:rsidRPr="000A0320" w:rsidRDefault="00D32ADF" w:rsidP="000A0320">
            <w:pPr>
              <w:spacing w:before="120"/>
              <w:jc w:val="center"/>
              <w:rPr>
                <w:rFonts w:ascii="Arial" w:hAnsi="Arial" w:cs="Arial"/>
                <w:sz w:val="20"/>
              </w:rPr>
            </w:pPr>
            <w:r w:rsidRPr="005D7F71">
              <w:rPr>
                <w:rFonts w:ascii="Arial" w:hAnsi="Arial" w:cs="Arial"/>
                <w:sz w:val="20"/>
              </w:rPr>
              <w:t>Capital</w:t>
            </w:r>
            <w:r w:rsidR="006C0857">
              <w:rPr>
                <w:rFonts w:ascii="Arial" w:hAnsi="Arial" w:cs="Arial"/>
                <w:sz w:val="20"/>
              </w:rPr>
              <w:t xml:space="preserve"> </w:t>
            </w:r>
            <w:r>
              <w:rPr>
                <w:rFonts w:ascii="Arial" w:hAnsi="Arial" w:cs="Arial"/>
                <w:sz w:val="20"/>
              </w:rPr>
              <w:t xml:space="preserve">costs, including </w:t>
            </w:r>
            <w:r w:rsidRPr="0084542C">
              <w:rPr>
                <w:rFonts w:ascii="Arial" w:hAnsi="Arial" w:cs="Arial"/>
                <w:sz w:val="20"/>
              </w:rPr>
              <w:t>depreciation</w:t>
            </w:r>
            <w:r w:rsidRPr="003B1D1C">
              <w:rPr>
                <w:rFonts w:ascii="Arial" w:hAnsi="Arial" w:cs="Arial"/>
                <w:sz w:val="20"/>
              </w:rPr>
              <w:t>£</w:t>
            </w:r>
            <w:r>
              <w:rPr>
                <w:rFonts w:ascii="Arial" w:hAnsi="Arial" w:cs="Arial"/>
                <w:sz w:val="20"/>
              </w:rPr>
              <w:t>2</w:t>
            </w:r>
            <w:r w:rsidRPr="003B1D1C">
              <w:rPr>
                <w:rFonts w:ascii="Arial" w:hAnsi="Arial" w:cs="Arial"/>
                <w:sz w:val="20"/>
              </w:rPr>
              <w:t>m</w:t>
            </w:r>
          </w:p>
        </w:tc>
      </w:tr>
    </w:tbl>
    <w:p w:rsidR="00335D7B" w:rsidRDefault="00335D7B" w:rsidP="00E83A90">
      <w:pPr>
        <w:rPr>
          <w:rFonts w:asciiTheme="minorHAnsi" w:hAnsiTheme="minorHAnsi" w:cstheme="minorHAnsi"/>
          <w:b/>
          <w:sz w:val="22"/>
          <w:szCs w:val="22"/>
        </w:rPr>
      </w:pPr>
    </w:p>
    <w:p w:rsidR="00335D7B" w:rsidRDefault="00335D7B">
      <w:pPr>
        <w:widowControl/>
        <w:suppressAutoHyphens w:val="0"/>
        <w:rPr>
          <w:rFonts w:asciiTheme="minorHAnsi" w:hAnsiTheme="minorHAnsi" w:cstheme="minorHAnsi"/>
          <w:b/>
          <w:sz w:val="22"/>
          <w:szCs w:val="22"/>
        </w:rPr>
      </w:pPr>
      <w:r>
        <w:rPr>
          <w:rFonts w:asciiTheme="minorHAnsi" w:hAnsiTheme="minorHAnsi" w:cstheme="minorHAnsi"/>
          <w:b/>
          <w:sz w:val="22"/>
          <w:szCs w:val="22"/>
        </w:rPr>
        <w:br w:type="page"/>
      </w:r>
    </w:p>
    <w:p w:rsidR="00E83A90" w:rsidRPr="006C41B6" w:rsidRDefault="00E83A90" w:rsidP="00E83A90">
      <w:pPr>
        <w:rPr>
          <w:rFonts w:asciiTheme="minorHAnsi" w:hAnsiTheme="minorHAnsi" w:cstheme="minorHAnsi"/>
          <w:b/>
          <w:sz w:val="22"/>
          <w:szCs w:val="22"/>
        </w:rPr>
      </w:pPr>
      <w:bookmarkStart w:id="0" w:name="_GoBack"/>
      <w:bookmarkEnd w:id="0"/>
      <w:r w:rsidRPr="006C41B6">
        <w:rPr>
          <w:rFonts w:asciiTheme="minorHAnsi" w:hAnsiTheme="minorHAnsi" w:cstheme="minorHAnsi"/>
          <w:b/>
          <w:sz w:val="22"/>
          <w:szCs w:val="22"/>
        </w:rPr>
        <w:lastRenderedPageBreak/>
        <w:t>Factors influencing future cash flows</w:t>
      </w:r>
      <w:r w:rsidRPr="006C41B6">
        <w:rPr>
          <w:rFonts w:asciiTheme="minorHAnsi" w:hAnsiTheme="minorHAnsi" w:cstheme="minorHAnsi"/>
          <w:b/>
          <w:sz w:val="22"/>
          <w:szCs w:val="22"/>
        </w:rPr>
        <w:br/>
      </w:r>
    </w:p>
    <w:p w:rsidR="00E83A90" w:rsidRPr="006C41B6" w:rsidRDefault="00E83A90" w:rsidP="00E83A90">
      <w:pPr>
        <w:pStyle w:val="ListParagraph"/>
        <w:numPr>
          <w:ilvl w:val="0"/>
          <w:numId w:val="54"/>
        </w:numPr>
        <w:rPr>
          <w:rFonts w:asciiTheme="minorHAnsi" w:hAnsiTheme="minorHAnsi" w:cstheme="minorHAnsi"/>
          <w:szCs w:val="22"/>
        </w:rPr>
      </w:pPr>
      <w:r w:rsidRPr="006C41B6">
        <w:rPr>
          <w:rFonts w:asciiTheme="minorHAnsi" w:hAnsiTheme="minorHAnsi" w:cstheme="minorHAnsi"/>
          <w:szCs w:val="22"/>
        </w:rPr>
        <w:t>Council Tax – Legislative restrictions on annual Council Tax increases and the requirement for local referendums.</w:t>
      </w:r>
      <w:r w:rsidRPr="006C41B6">
        <w:rPr>
          <w:rFonts w:asciiTheme="minorHAnsi" w:hAnsiTheme="minorHAnsi" w:cstheme="minorHAnsi"/>
          <w:szCs w:val="22"/>
        </w:rPr>
        <w:br/>
      </w:r>
    </w:p>
    <w:p w:rsidR="00E83A90" w:rsidRPr="006C41B6" w:rsidRDefault="00E83A90" w:rsidP="00E83A90">
      <w:pPr>
        <w:pStyle w:val="ListParagraph"/>
        <w:numPr>
          <w:ilvl w:val="0"/>
          <w:numId w:val="54"/>
        </w:numPr>
        <w:rPr>
          <w:rFonts w:asciiTheme="minorHAnsi" w:hAnsiTheme="minorHAnsi" w:cstheme="minorHAnsi"/>
          <w:szCs w:val="22"/>
        </w:rPr>
      </w:pPr>
      <w:r w:rsidRPr="006C41B6">
        <w:rPr>
          <w:rFonts w:asciiTheme="minorHAnsi" w:hAnsiTheme="minorHAnsi" w:cstheme="minorHAnsi"/>
          <w:szCs w:val="22"/>
        </w:rPr>
        <w:t xml:space="preserve">Business Rates – Impact of </w:t>
      </w:r>
      <w:r>
        <w:rPr>
          <w:rFonts w:asciiTheme="minorHAnsi" w:hAnsiTheme="minorHAnsi" w:cstheme="minorHAnsi"/>
          <w:szCs w:val="22"/>
        </w:rPr>
        <w:t>the expec</w:t>
      </w:r>
      <w:r w:rsidRPr="006C41B6">
        <w:rPr>
          <w:rFonts w:asciiTheme="minorHAnsi" w:hAnsiTheme="minorHAnsi" w:cstheme="minorHAnsi"/>
          <w:szCs w:val="22"/>
        </w:rPr>
        <w:t xml:space="preserve">ted localisation of the Business Rates </w:t>
      </w:r>
      <w:r>
        <w:rPr>
          <w:rFonts w:asciiTheme="minorHAnsi" w:hAnsiTheme="minorHAnsi" w:cstheme="minorHAnsi"/>
          <w:szCs w:val="22"/>
        </w:rPr>
        <w:t>Retention Scheme cre</w:t>
      </w:r>
      <w:r w:rsidRPr="006C41B6">
        <w:rPr>
          <w:rFonts w:asciiTheme="minorHAnsi" w:hAnsiTheme="minorHAnsi" w:cstheme="minorHAnsi"/>
          <w:szCs w:val="22"/>
        </w:rPr>
        <w:t>ates uncertain</w:t>
      </w:r>
      <w:r>
        <w:rPr>
          <w:rFonts w:asciiTheme="minorHAnsi" w:hAnsiTheme="minorHAnsi" w:cstheme="minorHAnsi"/>
          <w:szCs w:val="22"/>
        </w:rPr>
        <w:t>t</w:t>
      </w:r>
      <w:r w:rsidRPr="006C41B6">
        <w:rPr>
          <w:rFonts w:asciiTheme="minorHAnsi" w:hAnsiTheme="minorHAnsi" w:cstheme="minorHAnsi"/>
          <w:szCs w:val="22"/>
        </w:rPr>
        <w:t xml:space="preserve">y </w:t>
      </w:r>
      <w:r>
        <w:rPr>
          <w:rFonts w:asciiTheme="minorHAnsi" w:hAnsiTheme="minorHAnsi" w:cstheme="minorHAnsi"/>
          <w:szCs w:val="22"/>
        </w:rPr>
        <w:t>not only as to when any new scheme will be implemented but also t</w:t>
      </w:r>
      <w:r w:rsidRPr="006C41B6">
        <w:rPr>
          <w:rFonts w:asciiTheme="minorHAnsi" w:hAnsiTheme="minorHAnsi" w:cstheme="minorHAnsi"/>
          <w:szCs w:val="22"/>
        </w:rPr>
        <w:t xml:space="preserve">he resetting of the base level for the new scheme, and how often future resets will take place </w:t>
      </w:r>
      <w:r>
        <w:rPr>
          <w:rFonts w:asciiTheme="minorHAnsi" w:hAnsiTheme="minorHAnsi" w:cstheme="minorHAnsi"/>
          <w:szCs w:val="22"/>
        </w:rPr>
        <w:t xml:space="preserve">along with any </w:t>
      </w:r>
      <w:r w:rsidRPr="006C41B6">
        <w:rPr>
          <w:rFonts w:asciiTheme="minorHAnsi" w:hAnsiTheme="minorHAnsi" w:cstheme="minorHAnsi"/>
          <w:szCs w:val="22"/>
        </w:rPr>
        <w:t xml:space="preserve">additional services local authorities will </w:t>
      </w:r>
      <w:r>
        <w:rPr>
          <w:rFonts w:asciiTheme="minorHAnsi" w:hAnsiTheme="minorHAnsi" w:cstheme="minorHAnsi"/>
          <w:szCs w:val="22"/>
        </w:rPr>
        <w:t xml:space="preserve">be expected to </w:t>
      </w:r>
      <w:r w:rsidRPr="006C41B6">
        <w:rPr>
          <w:rFonts w:asciiTheme="minorHAnsi" w:hAnsiTheme="minorHAnsi" w:cstheme="minorHAnsi"/>
          <w:szCs w:val="22"/>
        </w:rPr>
        <w:t xml:space="preserve">take on as part of this change. </w:t>
      </w:r>
      <w:r>
        <w:rPr>
          <w:rFonts w:asciiTheme="minorHAnsi" w:hAnsiTheme="minorHAnsi" w:cstheme="minorHAnsi"/>
          <w:szCs w:val="22"/>
        </w:rPr>
        <w:t>Also t</w:t>
      </w:r>
      <w:r w:rsidRPr="006C41B6">
        <w:rPr>
          <w:rFonts w:asciiTheme="minorHAnsi" w:hAnsiTheme="minorHAnsi" w:cstheme="minorHAnsi"/>
          <w:szCs w:val="22"/>
        </w:rPr>
        <w:t>he potential impact of appeal refunds for this new regime and</w:t>
      </w:r>
      <w:r>
        <w:rPr>
          <w:rFonts w:asciiTheme="minorHAnsi" w:hAnsiTheme="minorHAnsi" w:cstheme="minorHAnsi"/>
          <w:szCs w:val="22"/>
        </w:rPr>
        <w:t xml:space="preserve"> those </w:t>
      </w:r>
      <w:r w:rsidRPr="006C41B6">
        <w:rPr>
          <w:rFonts w:asciiTheme="minorHAnsi" w:hAnsiTheme="minorHAnsi" w:cstheme="minorHAnsi"/>
          <w:szCs w:val="22"/>
        </w:rPr>
        <w:t xml:space="preserve">arising from the April 2017 valuation list. </w:t>
      </w:r>
      <w:r>
        <w:rPr>
          <w:rFonts w:asciiTheme="minorHAnsi" w:hAnsiTheme="minorHAnsi" w:cstheme="minorHAnsi"/>
          <w:szCs w:val="22"/>
        </w:rPr>
        <w:t>In 2019-20 the Council was part of the 75% localisation of business rates pilot along with all other West Sussex authorities; county, district and boroughs. This new pooling arrangement was only for 1 year and will enable the pool to retain an extra £21m, which as a one off is anticipated to be used to fund IT infrastructure improvements county</w:t>
      </w:r>
      <w:r w:rsidR="00E420C6">
        <w:rPr>
          <w:rFonts w:asciiTheme="minorHAnsi" w:hAnsiTheme="minorHAnsi" w:cstheme="minorHAnsi"/>
          <w:szCs w:val="22"/>
        </w:rPr>
        <w:t>-</w:t>
      </w:r>
      <w:r>
        <w:rPr>
          <w:rFonts w:asciiTheme="minorHAnsi" w:hAnsiTheme="minorHAnsi" w:cstheme="minorHAnsi"/>
          <w:szCs w:val="22"/>
        </w:rPr>
        <w:t>wide. There is no impact on the Council’s own budgets, only those of the West Sussex pool.</w:t>
      </w:r>
      <w:r w:rsidRPr="006C41B6">
        <w:rPr>
          <w:rFonts w:asciiTheme="minorHAnsi" w:hAnsiTheme="minorHAnsi" w:cstheme="minorHAnsi"/>
          <w:szCs w:val="22"/>
        </w:rPr>
        <w:br/>
      </w:r>
    </w:p>
    <w:p w:rsidR="00E83A90" w:rsidRPr="00CD0974" w:rsidRDefault="00E83A90" w:rsidP="00E83A90">
      <w:pPr>
        <w:pStyle w:val="ListParagraph"/>
        <w:numPr>
          <w:ilvl w:val="0"/>
          <w:numId w:val="54"/>
        </w:numPr>
        <w:rPr>
          <w:rFonts w:asciiTheme="minorHAnsi" w:hAnsiTheme="minorHAnsi" w:cstheme="minorHAnsi"/>
          <w:szCs w:val="22"/>
        </w:rPr>
      </w:pPr>
      <w:r w:rsidRPr="006C41B6">
        <w:rPr>
          <w:rFonts w:asciiTheme="minorHAnsi" w:hAnsiTheme="minorHAnsi" w:cstheme="minorHAnsi"/>
          <w:szCs w:val="22"/>
        </w:rPr>
        <w:t>Specific Government Grants – Reserve Support Grant ceased</w:t>
      </w:r>
      <w:r>
        <w:rPr>
          <w:rFonts w:asciiTheme="minorHAnsi" w:hAnsiTheme="minorHAnsi" w:cstheme="minorHAnsi"/>
          <w:szCs w:val="22"/>
        </w:rPr>
        <w:t xml:space="preserve"> in 2017-18.</w:t>
      </w:r>
      <w:r w:rsidRPr="006C41B6">
        <w:rPr>
          <w:rFonts w:asciiTheme="minorHAnsi" w:hAnsiTheme="minorHAnsi" w:cstheme="minorHAnsi"/>
          <w:szCs w:val="22"/>
        </w:rPr>
        <w:t xml:space="preserve"> New Homes Bonus</w:t>
      </w:r>
      <w:r>
        <w:rPr>
          <w:rFonts w:asciiTheme="minorHAnsi" w:hAnsiTheme="minorHAnsi" w:cstheme="minorHAnsi"/>
          <w:szCs w:val="22"/>
        </w:rPr>
        <w:t xml:space="preserve"> (NHB)</w:t>
      </w:r>
      <w:r w:rsidRPr="006C41B6">
        <w:rPr>
          <w:rFonts w:asciiTheme="minorHAnsi" w:hAnsiTheme="minorHAnsi" w:cstheme="minorHAnsi"/>
          <w:szCs w:val="22"/>
        </w:rPr>
        <w:t xml:space="preserve"> grant is paid to the Council to encourage the building of new homes. The Council does not use this source of funding to balance the revenue budget but to fund capital investment or one off projects</w:t>
      </w:r>
      <w:r w:rsidR="00C77008">
        <w:rPr>
          <w:rFonts w:asciiTheme="minorHAnsi" w:hAnsiTheme="minorHAnsi" w:cstheme="minorHAnsi"/>
          <w:szCs w:val="22"/>
        </w:rPr>
        <w:t xml:space="preserve"> including grants to parish councils.</w:t>
      </w:r>
      <w:r w:rsidRPr="006C41B6">
        <w:rPr>
          <w:rFonts w:asciiTheme="minorHAnsi" w:hAnsiTheme="minorHAnsi" w:cstheme="minorHAnsi"/>
          <w:szCs w:val="22"/>
        </w:rPr>
        <w:t xml:space="preserve"> The NHB scheme </w:t>
      </w:r>
      <w:r>
        <w:rPr>
          <w:rFonts w:asciiTheme="minorHAnsi" w:hAnsiTheme="minorHAnsi" w:cstheme="minorHAnsi"/>
          <w:szCs w:val="22"/>
        </w:rPr>
        <w:t xml:space="preserve">has been subject to change in recent years, especially as the 2020-21 grant was for 1 year only, rather than grant payments for 4 years.  Looking forward there continues to be a fair degree of uncertainty in terms of future local government funding due to expected changes with the Fair Funding Review,  yet this and the localisation of business rates has been delayed by both Brexit and now the public health </w:t>
      </w:r>
      <w:r w:rsidRPr="00CD0974">
        <w:rPr>
          <w:rFonts w:asciiTheme="minorHAnsi" w:hAnsiTheme="minorHAnsi" w:cstheme="minorHAnsi"/>
          <w:szCs w:val="22"/>
        </w:rPr>
        <w:t>crisis. Changes are now anticipated in Government funding from 2022-23</w:t>
      </w:r>
      <w:r w:rsidR="00BD2C2B">
        <w:rPr>
          <w:rFonts w:asciiTheme="minorHAnsi" w:hAnsiTheme="minorHAnsi" w:cstheme="minorHAnsi"/>
          <w:szCs w:val="22"/>
        </w:rPr>
        <w:t>.</w:t>
      </w:r>
      <w:r w:rsidRPr="00CD0974">
        <w:rPr>
          <w:rFonts w:asciiTheme="minorHAnsi" w:hAnsiTheme="minorHAnsi" w:cstheme="minorHAnsi"/>
          <w:szCs w:val="22"/>
        </w:rPr>
        <w:br/>
      </w:r>
    </w:p>
    <w:p w:rsidR="00E83A90" w:rsidRPr="00CD0974" w:rsidRDefault="00E83A90" w:rsidP="00E83A90">
      <w:pPr>
        <w:pStyle w:val="ListParagraph"/>
        <w:numPr>
          <w:ilvl w:val="0"/>
          <w:numId w:val="54"/>
        </w:numPr>
        <w:rPr>
          <w:rFonts w:asciiTheme="minorHAnsi" w:hAnsiTheme="minorHAnsi" w:cstheme="minorHAnsi"/>
          <w:szCs w:val="22"/>
        </w:rPr>
      </w:pPr>
      <w:r w:rsidRPr="00CD0974">
        <w:rPr>
          <w:rFonts w:asciiTheme="minorHAnsi" w:hAnsiTheme="minorHAnsi" w:cstheme="minorHAnsi"/>
          <w:szCs w:val="22"/>
        </w:rPr>
        <w:t xml:space="preserve">Fees and charges made to service users – This is influenced by policy and service demand. The council raises over </w:t>
      </w:r>
      <w:r w:rsidRPr="00596E60">
        <w:rPr>
          <w:rFonts w:asciiTheme="minorHAnsi" w:hAnsiTheme="minorHAnsi" w:cstheme="minorHAnsi"/>
          <w:szCs w:val="22"/>
        </w:rPr>
        <w:t>£18.5m</w:t>
      </w:r>
      <w:r w:rsidRPr="00CD0974">
        <w:rPr>
          <w:rFonts w:asciiTheme="minorHAnsi" w:hAnsiTheme="minorHAnsi" w:cstheme="minorHAnsi"/>
          <w:szCs w:val="22"/>
        </w:rPr>
        <w:t xml:space="preserve"> income from discretionary spend service areas or those that are linked to consumer confidence and the state of the economy. Income targets for certain major income streams were further reduced in the 2020-21 budget due to changes in service demand. The public health</w:t>
      </w:r>
      <w:r>
        <w:rPr>
          <w:rFonts w:asciiTheme="minorHAnsi" w:hAnsiTheme="minorHAnsi" w:cstheme="minorHAnsi"/>
          <w:szCs w:val="22"/>
        </w:rPr>
        <w:t xml:space="preserve"> crisis is expected to have a substantial impact on the </w:t>
      </w:r>
      <w:r w:rsidRPr="00CD0974">
        <w:rPr>
          <w:rFonts w:asciiTheme="minorHAnsi" w:hAnsiTheme="minorHAnsi" w:cstheme="minorHAnsi"/>
          <w:szCs w:val="22"/>
        </w:rPr>
        <w:t xml:space="preserve">Council’s discretionary income streams </w:t>
      </w:r>
      <w:r>
        <w:rPr>
          <w:rFonts w:asciiTheme="minorHAnsi" w:hAnsiTheme="minorHAnsi" w:cstheme="minorHAnsi"/>
          <w:szCs w:val="22"/>
        </w:rPr>
        <w:t xml:space="preserve">as experienced during the final weeks </w:t>
      </w:r>
      <w:r w:rsidRPr="00CD0974">
        <w:rPr>
          <w:rFonts w:asciiTheme="minorHAnsi" w:hAnsiTheme="minorHAnsi" w:cstheme="minorHAnsi"/>
          <w:szCs w:val="22"/>
        </w:rPr>
        <w:t>of the financial year</w:t>
      </w:r>
      <w:r>
        <w:rPr>
          <w:rFonts w:asciiTheme="minorHAnsi" w:hAnsiTheme="minorHAnsi" w:cstheme="minorHAnsi"/>
          <w:szCs w:val="22"/>
        </w:rPr>
        <w:t xml:space="preserve"> due to the Government’s lockdown</w:t>
      </w:r>
      <w:r w:rsidRPr="00CD0974">
        <w:rPr>
          <w:rFonts w:asciiTheme="minorHAnsi" w:hAnsiTheme="minorHAnsi" w:cstheme="minorHAnsi"/>
          <w:szCs w:val="22"/>
        </w:rPr>
        <w:t xml:space="preserve">, but also </w:t>
      </w:r>
      <w:r>
        <w:rPr>
          <w:rFonts w:asciiTheme="minorHAnsi" w:hAnsiTheme="minorHAnsi" w:cstheme="minorHAnsi"/>
          <w:szCs w:val="22"/>
        </w:rPr>
        <w:t xml:space="preserve">in the </w:t>
      </w:r>
      <w:r w:rsidRPr="00CD0974">
        <w:rPr>
          <w:rFonts w:asciiTheme="minorHAnsi" w:hAnsiTheme="minorHAnsi" w:cstheme="minorHAnsi"/>
          <w:szCs w:val="22"/>
        </w:rPr>
        <w:t>longer term due to</w:t>
      </w:r>
      <w:r>
        <w:rPr>
          <w:rFonts w:asciiTheme="minorHAnsi" w:hAnsiTheme="minorHAnsi" w:cstheme="minorHAnsi"/>
          <w:szCs w:val="22"/>
        </w:rPr>
        <w:t xml:space="preserve"> </w:t>
      </w:r>
      <w:r w:rsidRPr="00CD0974">
        <w:rPr>
          <w:rFonts w:asciiTheme="minorHAnsi" w:hAnsiTheme="minorHAnsi" w:cstheme="minorHAnsi"/>
          <w:szCs w:val="22"/>
        </w:rPr>
        <w:t xml:space="preserve">behavioural change impacting </w:t>
      </w:r>
      <w:r>
        <w:rPr>
          <w:rFonts w:asciiTheme="minorHAnsi" w:hAnsiTheme="minorHAnsi" w:cstheme="minorHAnsi"/>
          <w:szCs w:val="22"/>
        </w:rPr>
        <w:t xml:space="preserve">future </w:t>
      </w:r>
      <w:r w:rsidRPr="00CD0974">
        <w:rPr>
          <w:rFonts w:asciiTheme="minorHAnsi" w:hAnsiTheme="minorHAnsi" w:cstheme="minorHAnsi"/>
          <w:szCs w:val="22"/>
        </w:rPr>
        <w:t xml:space="preserve">service </w:t>
      </w:r>
      <w:r>
        <w:rPr>
          <w:rFonts w:asciiTheme="minorHAnsi" w:hAnsiTheme="minorHAnsi" w:cstheme="minorHAnsi"/>
          <w:szCs w:val="22"/>
        </w:rPr>
        <w:t xml:space="preserve">provision and </w:t>
      </w:r>
      <w:r w:rsidRPr="00CD0974">
        <w:rPr>
          <w:rFonts w:asciiTheme="minorHAnsi" w:hAnsiTheme="minorHAnsi" w:cstheme="minorHAnsi"/>
          <w:szCs w:val="22"/>
        </w:rPr>
        <w:t>demand</w:t>
      </w:r>
      <w:r w:rsidR="0000519F">
        <w:rPr>
          <w:rFonts w:asciiTheme="minorHAnsi" w:hAnsiTheme="minorHAnsi" w:cstheme="minorHAnsi"/>
          <w:szCs w:val="22"/>
        </w:rPr>
        <w:t xml:space="preserve"> and an anticipated recession in the UK and globally</w:t>
      </w:r>
      <w:r>
        <w:rPr>
          <w:rFonts w:asciiTheme="minorHAnsi" w:hAnsiTheme="minorHAnsi" w:cstheme="minorHAnsi"/>
          <w:szCs w:val="22"/>
        </w:rPr>
        <w:t>.</w:t>
      </w:r>
      <w:r w:rsidRPr="00CD0974">
        <w:rPr>
          <w:rFonts w:asciiTheme="minorHAnsi" w:hAnsiTheme="minorHAnsi" w:cstheme="minorHAnsi"/>
          <w:szCs w:val="22"/>
        </w:rPr>
        <w:t xml:space="preserve"> </w:t>
      </w:r>
    </w:p>
    <w:p w:rsidR="00E83A90" w:rsidRDefault="00E83A90" w:rsidP="00E83A90">
      <w:pPr>
        <w:pStyle w:val="ListParagraph"/>
        <w:rPr>
          <w:rFonts w:asciiTheme="minorHAnsi" w:hAnsiTheme="minorHAnsi" w:cstheme="minorHAnsi"/>
          <w:szCs w:val="22"/>
        </w:rPr>
      </w:pPr>
      <w:r w:rsidRPr="006C41B6">
        <w:rPr>
          <w:rFonts w:asciiTheme="minorHAnsi" w:hAnsiTheme="minorHAnsi" w:cstheme="minorHAnsi"/>
          <w:szCs w:val="22"/>
        </w:rPr>
        <w:br/>
        <w:t>Service Expenditure – As a service organisation, this is principally employee related. Public sector pay restraint may increase pressure where private sector pay outstrips the public sector impacting on recruitment and retention of skilled staff.</w:t>
      </w:r>
      <w:r>
        <w:rPr>
          <w:rFonts w:asciiTheme="minorHAnsi" w:hAnsiTheme="minorHAnsi" w:cstheme="minorHAnsi"/>
          <w:szCs w:val="22"/>
        </w:rPr>
        <w:t xml:space="preserve">  Following the pay review project a new pay structure came into effect in April 2019 where an additional £300k had been built into the Council’s budget.  T</w:t>
      </w:r>
      <w:r w:rsidRPr="006C41B6">
        <w:rPr>
          <w:rFonts w:asciiTheme="minorHAnsi" w:hAnsiTheme="minorHAnsi" w:cstheme="minorHAnsi"/>
          <w:szCs w:val="22"/>
        </w:rPr>
        <w:t xml:space="preserve">he Council’s </w:t>
      </w:r>
      <w:proofErr w:type="gramStart"/>
      <w:r w:rsidRPr="006C41B6">
        <w:rPr>
          <w:rFonts w:asciiTheme="minorHAnsi" w:hAnsiTheme="minorHAnsi" w:cstheme="minorHAnsi"/>
          <w:szCs w:val="22"/>
        </w:rPr>
        <w:t>five year</w:t>
      </w:r>
      <w:proofErr w:type="gramEnd"/>
      <w:r w:rsidRPr="006C41B6">
        <w:rPr>
          <w:rFonts w:asciiTheme="minorHAnsi" w:hAnsiTheme="minorHAnsi" w:cstheme="minorHAnsi"/>
          <w:szCs w:val="22"/>
        </w:rPr>
        <w:t xml:space="preserve"> financial strategy reflects the assumption that pay increases in future years will be 2%.</w:t>
      </w:r>
      <w:r>
        <w:rPr>
          <w:rFonts w:asciiTheme="minorHAnsi" w:hAnsiTheme="minorHAnsi" w:cstheme="minorHAnsi"/>
          <w:szCs w:val="22"/>
        </w:rPr>
        <w:t xml:space="preserve"> Future service provision and the Council’s financial position will need to be considered in the longer term due to the expected impact of the COVID 19 public health crisis. </w:t>
      </w:r>
    </w:p>
    <w:p w:rsidR="00E83A90" w:rsidRPr="006C41B6" w:rsidRDefault="00E83A90" w:rsidP="00E83A90">
      <w:pPr>
        <w:pStyle w:val="ListParagraph"/>
        <w:rPr>
          <w:rFonts w:asciiTheme="minorHAnsi" w:hAnsiTheme="minorHAnsi" w:cstheme="minorHAnsi"/>
          <w:szCs w:val="22"/>
        </w:rPr>
      </w:pPr>
    </w:p>
    <w:p w:rsidR="00E83A90" w:rsidRPr="006C41B6" w:rsidRDefault="00E83A90" w:rsidP="00E83A90">
      <w:pPr>
        <w:pStyle w:val="ListParagraph"/>
        <w:numPr>
          <w:ilvl w:val="0"/>
          <w:numId w:val="54"/>
        </w:numPr>
        <w:rPr>
          <w:rFonts w:asciiTheme="minorHAnsi" w:hAnsiTheme="minorHAnsi" w:cstheme="minorHAnsi"/>
          <w:szCs w:val="22"/>
        </w:rPr>
      </w:pPr>
      <w:r w:rsidRPr="006C41B6">
        <w:rPr>
          <w:rFonts w:asciiTheme="minorHAnsi" w:hAnsiTheme="minorHAnsi" w:cstheme="minorHAnsi"/>
          <w:szCs w:val="22"/>
        </w:rPr>
        <w:t xml:space="preserve">Capital Expenditure – This is determined by policy and the Council’s approved capital programme and asset replacement programme. </w:t>
      </w:r>
      <w:r w:rsidRPr="006C41B6">
        <w:rPr>
          <w:rFonts w:asciiTheme="minorHAnsi" w:hAnsiTheme="minorHAnsi" w:cstheme="minorHAnsi"/>
          <w:szCs w:val="22"/>
        </w:rPr>
        <w:br/>
      </w:r>
    </w:p>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Cash Resources</w:t>
      </w:r>
    </w:p>
    <w:p w:rsidR="00E83A90" w:rsidRPr="006C41B6" w:rsidRDefault="00E83A90" w:rsidP="00E83A90">
      <w:pPr>
        <w:rPr>
          <w:rFonts w:asciiTheme="minorHAnsi" w:hAnsiTheme="minorHAnsi" w:cstheme="minorHAnsi"/>
          <w:sz w:val="22"/>
          <w:szCs w:val="22"/>
          <w:u w:val="single"/>
        </w:rPr>
      </w:pPr>
    </w:p>
    <w:p w:rsidR="00E83A90"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On 31 March 20</w:t>
      </w:r>
      <w:r>
        <w:rPr>
          <w:rFonts w:asciiTheme="minorHAnsi" w:hAnsiTheme="minorHAnsi" w:cstheme="minorHAnsi"/>
          <w:sz w:val="22"/>
          <w:szCs w:val="22"/>
        </w:rPr>
        <w:t>20</w:t>
      </w:r>
      <w:r w:rsidRPr="006C41B6">
        <w:rPr>
          <w:rFonts w:asciiTheme="minorHAnsi" w:hAnsiTheme="minorHAnsi" w:cstheme="minorHAnsi"/>
          <w:sz w:val="22"/>
          <w:szCs w:val="22"/>
        </w:rPr>
        <w:t xml:space="preserve">, the Council held </w:t>
      </w:r>
      <w:r w:rsidRPr="00D53CA3">
        <w:rPr>
          <w:rFonts w:asciiTheme="minorHAnsi" w:hAnsiTheme="minorHAnsi" w:cstheme="minorHAnsi"/>
          <w:sz w:val="22"/>
          <w:szCs w:val="22"/>
        </w:rPr>
        <w:t>£6.4m</w:t>
      </w:r>
      <w:r w:rsidRPr="006C41B6">
        <w:rPr>
          <w:rFonts w:asciiTheme="minorHAnsi" w:hAnsiTheme="minorHAnsi" w:cstheme="minorHAnsi"/>
          <w:sz w:val="22"/>
          <w:szCs w:val="22"/>
        </w:rPr>
        <w:t xml:space="preserve"> as cash and cash equivalents as shown in </w:t>
      </w:r>
      <w:r w:rsidRPr="00B20BB1">
        <w:rPr>
          <w:rFonts w:asciiTheme="minorHAnsi" w:hAnsiTheme="minorHAnsi" w:cstheme="minorHAnsi"/>
          <w:sz w:val="22"/>
          <w:szCs w:val="22"/>
        </w:rPr>
        <w:t xml:space="preserve">note </w:t>
      </w:r>
      <w:r w:rsidRPr="00D53CA3">
        <w:rPr>
          <w:rFonts w:asciiTheme="minorHAnsi" w:hAnsiTheme="minorHAnsi" w:cstheme="minorHAnsi"/>
          <w:sz w:val="22"/>
          <w:szCs w:val="22"/>
        </w:rPr>
        <w:t>17.</w:t>
      </w:r>
      <w:r w:rsidRPr="00B20BB1">
        <w:rPr>
          <w:rFonts w:asciiTheme="minorHAnsi" w:hAnsiTheme="minorHAnsi" w:cstheme="minorHAnsi"/>
          <w:sz w:val="22"/>
          <w:szCs w:val="22"/>
        </w:rPr>
        <w:t xml:space="preserve"> The</w:t>
      </w:r>
      <w:r w:rsidRPr="006C41B6">
        <w:rPr>
          <w:rFonts w:asciiTheme="minorHAnsi" w:hAnsiTheme="minorHAnsi" w:cstheme="minorHAnsi"/>
          <w:sz w:val="22"/>
          <w:szCs w:val="22"/>
        </w:rPr>
        <w:t xml:space="preserve"> approved minimum level of general fund reserves to be held</w:t>
      </w:r>
      <w:r>
        <w:rPr>
          <w:rFonts w:asciiTheme="minorHAnsi" w:hAnsiTheme="minorHAnsi" w:cstheme="minorHAnsi"/>
          <w:sz w:val="22"/>
          <w:szCs w:val="22"/>
        </w:rPr>
        <w:t xml:space="preserve"> remained at </w:t>
      </w:r>
      <w:r w:rsidRPr="006C41B6">
        <w:rPr>
          <w:rFonts w:asciiTheme="minorHAnsi" w:hAnsiTheme="minorHAnsi" w:cstheme="minorHAnsi"/>
          <w:sz w:val="22"/>
          <w:szCs w:val="22"/>
        </w:rPr>
        <w:t>£</w:t>
      </w:r>
      <w:r>
        <w:rPr>
          <w:rFonts w:asciiTheme="minorHAnsi" w:hAnsiTheme="minorHAnsi" w:cstheme="minorHAnsi"/>
          <w:sz w:val="22"/>
          <w:szCs w:val="22"/>
        </w:rPr>
        <w:t>6.3</w:t>
      </w:r>
      <w:r w:rsidRPr="006C41B6">
        <w:rPr>
          <w:rFonts w:asciiTheme="minorHAnsi" w:hAnsiTheme="minorHAnsi" w:cstheme="minorHAnsi"/>
          <w:sz w:val="22"/>
          <w:szCs w:val="22"/>
        </w:rPr>
        <w:t>m</w:t>
      </w:r>
      <w:r>
        <w:rPr>
          <w:rFonts w:asciiTheme="minorHAnsi" w:hAnsiTheme="minorHAnsi" w:cstheme="minorHAnsi"/>
          <w:sz w:val="22"/>
          <w:szCs w:val="22"/>
        </w:rPr>
        <w:t xml:space="preserve"> </w:t>
      </w:r>
      <w:r w:rsidRPr="006C41B6">
        <w:rPr>
          <w:rFonts w:asciiTheme="minorHAnsi" w:hAnsiTheme="minorHAnsi" w:cstheme="minorHAnsi"/>
          <w:sz w:val="22"/>
          <w:szCs w:val="22"/>
        </w:rPr>
        <w:t xml:space="preserve">to cover </w:t>
      </w:r>
      <w:r w:rsidRPr="006C41B6">
        <w:rPr>
          <w:rFonts w:asciiTheme="minorHAnsi" w:hAnsiTheme="minorHAnsi" w:cstheme="minorHAnsi"/>
          <w:sz w:val="22"/>
          <w:szCs w:val="22"/>
        </w:rPr>
        <w:lastRenderedPageBreak/>
        <w:t>unexpected expenditure or delays in income from the sale of council assets.</w:t>
      </w:r>
      <w:r>
        <w:rPr>
          <w:rFonts w:asciiTheme="minorHAnsi" w:hAnsiTheme="minorHAnsi" w:cstheme="minorHAnsi"/>
          <w:sz w:val="22"/>
          <w:szCs w:val="22"/>
        </w:rPr>
        <w:t xml:space="preserve">  </w:t>
      </w:r>
      <w:r w:rsidR="00675433">
        <w:rPr>
          <w:rFonts w:asciiTheme="minorHAnsi" w:hAnsiTheme="minorHAnsi" w:cstheme="minorHAnsi"/>
          <w:sz w:val="22"/>
          <w:szCs w:val="22"/>
        </w:rPr>
        <w:t>Whilst t</w:t>
      </w:r>
      <w:r>
        <w:rPr>
          <w:rFonts w:asciiTheme="minorHAnsi" w:hAnsiTheme="minorHAnsi" w:cstheme="minorHAnsi"/>
          <w:sz w:val="22"/>
          <w:szCs w:val="22"/>
        </w:rPr>
        <w:t xml:space="preserve">he council currently </w:t>
      </w:r>
      <w:r w:rsidRPr="00544AFC">
        <w:rPr>
          <w:rFonts w:asciiTheme="minorHAnsi" w:hAnsiTheme="minorHAnsi" w:cstheme="minorHAnsi"/>
          <w:sz w:val="22"/>
          <w:szCs w:val="22"/>
        </w:rPr>
        <w:t xml:space="preserve">holds </w:t>
      </w:r>
      <w:r w:rsidRPr="00D53CA3">
        <w:rPr>
          <w:rFonts w:asciiTheme="minorHAnsi" w:hAnsiTheme="minorHAnsi" w:cstheme="minorHAnsi"/>
          <w:sz w:val="22"/>
          <w:szCs w:val="22"/>
        </w:rPr>
        <w:t xml:space="preserve">£48.0m </w:t>
      </w:r>
      <w:r w:rsidRPr="00544AFC">
        <w:rPr>
          <w:rFonts w:asciiTheme="minorHAnsi" w:hAnsiTheme="minorHAnsi" w:cstheme="minorHAnsi"/>
          <w:sz w:val="22"/>
          <w:szCs w:val="22"/>
        </w:rPr>
        <w:t>of</w:t>
      </w:r>
      <w:r>
        <w:rPr>
          <w:rFonts w:asciiTheme="minorHAnsi" w:hAnsiTheme="minorHAnsi" w:cstheme="minorHAnsi"/>
          <w:sz w:val="22"/>
          <w:szCs w:val="22"/>
        </w:rPr>
        <w:t xml:space="preserve"> usable reserves</w:t>
      </w:r>
      <w:r w:rsidR="008530F6">
        <w:rPr>
          <w:rFonts w:asciiTheme="minorHAnsi" w:hAnsiTheme="minorHAnsi" w:cstheme="minorHAnsi"/>
          <w:sz w:val="22"/>
          <w:szCs w:val="22"/>
        </w:rPr>
        <w:t xml:space="preserve"> </w:t>
      </w:r>
      <w:r w:rsidR="00D001CD" w:rsidRPr="00D001CD">
        <w:rPr>
          <w:rFonts w:asciiTheme="minorHAnsi" w:hAnsiTheme="minorHAnsi" w:cstheme="minorHAnsi"/>
          <w:sz w:val="22"/>
          <w:szCs w:val="22"/>
        </w:rPr>
        <w:t>the majority of this is committed to support the capital programme, or is earmarked for specific purposes.</w:t>
      </w:r>
      <w:r w:rsidR="00D001CD">
        <w:rPr>
          <w:rFonts w:asciiTheme="minorHAnsi" w:hAnsiTheme="minorHAnsi" w:cstheme="minorHAnsi"/>
          <w:sz w:val="22"/>
          <w:szCs w:val="22"/>
        </w:rPr>
        <w:t xml:space="preserve"> As</w:t>
      </w:r>
      <w:r w:rsidR="00675433">
        <w:rPr>
          <w:rFonts w:asciiTheme="minorHAnsi" w:hAnsiTheme="minorHAnsi" w:cstheme="minorHAnsi"/>
          <w:sz w:val="22"/>
          <w:szCs w:val="22"/>
        </w:rPr>
        <w:t xml:space="preserve"> assesse</w:t>
      </w:r>
      <w:r w:rsidR="00D001CD">
        <w:rPr>
          <w:rFonts w:asciiTheme="minorHAnsi" w:hAnsiTheme="minorHAnsi" w:cstheme="minorHAnsi"/>
          <w:sz w:val="22"/>
          <w:szCs w:val="22"/>
        </w:rPr>
        <w:t>d</w:t>
      </w:r>
      <w:r w:rsidR="00675433">
        <w:rPr>
          <w:rFonts w:asciiTheme="minorHAnsi" w:hAnsiTheme="minorHAnsi" w:cstheme="minorHAnsi"/>
          <w:sz w:val="22"/>
          <w:szCs w:val="22"/>
        </w:rPr>
        <w:t xml:space="preserve"> in February 2020, only £21m </w:t>
      </w:r>
      <w:r w:rsidR="00D001CD">
        <w:rPr>
          <w:rFonts w:asciiTheme="minorHAnsi" w:hAnsiTheme="minorHAnsi" w:cstheme="minorHAnsi"/>
          <w:sz w:val="22"/>
          <w:szCs w:val="22"/>
        </w:rPr>
        <w:t>could be available i</w:t>
      </w:r>
      <w:r>
        <w:rPr>
          <w:rFonts w:asciiTheme="minorHAnsi" w:hAnsiTheme="minorHAnsi" w:cstheme="minorHAnsi"/>
          <w:sz w:val="22"/>
          <w:szCs w:val="22"/>
        </w:rPr>
        <w:t xml:space="preserve">n the short term to </w:t>
      </w:r>
      <w:r w:rsidR="001443AF">
        <w:rPr>
          <w:rFonts w:asciiTheme="minorHAnsi" w:hAnsiTheme="minorHAnsi" w:cstheme="minorHAnsi"/>
          <w:sz w:val="22"/>
          <w:szCs w:val="22"/>
        </w:rPr>
        <w:t>all</w:t>
      </w:r>
      <w:r>
        <w:rPr>
          <w:rFonts w:asciiTheme="minorHAnsi" w:hAnsiTheme="minorHAnsi" w:cstheme="minorHAnsi"/>
          <w:sz w:val="22"/>
          <w:szCs w:val="22"/>
        </w:rPr>
        <w:t>ev</w:t>
      </w:r>
      <w:r w:rsidR="001443AF">
        <w:rPr>
          <w:rFonts w:asciiTheme="minorHAnsi" w:hAnsiTheme="minorHAnsi" w:cstheme="minorHAnsi"/>
          <w:sz w:val="22"/>
          <w:szCs w:val="22"/>
        </w:rPr>
        <w:t>i</w:t>
      </w:r>
      <w:r>
        <w:rPr>
          <w:rFonts w:asciiTheme="minorHAnsi" w:hAnsiTheme="minorHAnsi" w:cstheme="minorHAnsi"/>
          <w:sz w:val="22"/>
          <w:szCs w:val="22"/>
        </w:rPr>
        <w:t xml:space="preserve">ate the </w:t>
      </w:r>
      <w:r w:rsidR="00D001CD">
        <w:rPr>
          <w:rFonts w:asciiTheme="minorHAnsi" w:hAnsiTheme="minorHAnsi" w:cstheme="minorHAnsi"/>
          <w:sz w:val="22"/>
          <w:szCs w:val="22"/>
        </w:rPr>
        <w:t xml:space="preserve">anticipated </w:t>
      </w:r>
      <w:r>
        <w:rPr>
          <w:rFonts w:asciiTheme="minorHAnsi" w:hAnsiTheme="minorHAnsi" w:cstheme="minorHAnsi"/>
          <w:sz w:val="22"/>
          <w:szCs w:val="22"/>
        </w:rPr>
        <w:t>shortfall</w:t>
      </w:r>
      <w:r w:rsidR="00D001CD">
        <w:rPr>
          <w:rFonts w:asciiTheme="minorHAnsi" w:hAnsiTheme="minorHAnsi" w:cstheme="minorHAnsi"/>
          <w:sz w:val="22"/>
          <w:szCs w:val="22"/>
        </w:rPr>
        <w:t xml:space="preserve"> of</w:t>
      </w:r>
      <w:r>
        <w:rPr>
          <w:rFonts w:asciiTheme="minorHAnsi" w:hAnsiTheme="minorHAnsi" w:cstheme="minorHAnsi"/>
          <w:sz w:val="22"/>
          <w:szCs w:val="22"/>
        </w:rPr>
        <w:t xml:space="preserve"> income or increased expenditure in 2020-21 until a more sustainable position has been investigated and agreed.</w:t>
      </w:r>
    </w:p>
    <w:p w:rsidR="00E83A90" w:rsidRDefault="00E83A90" w:rsidP="00E83A90">
      <w:pPr>
        <w:rPr>
          <w:rFonts w:asciiTheme="minorHAnsi" w:hAnsiTheme="minorHAnsi" w:cstheme="minorHAnsi"/>
          <w:sz w:val="22"/>
          <w:szCs w:val="22"/>
        </w:rPr>
      </w:pPr>
    </w:p>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Revenue Expenditure Outlook</w:t>
      </w:r>
      <w:r w:rsidRPr="006C41B6">
        <w:rPr>
          <w:rFonts w:asciiTheme="minorHAnsi" w:hAnsiTheme="minorHAnsi" w:cstheme="minorHAnsi"/>
          <w:b/>
          <w:sz w:val="22"/>
          <w:szCs w:val="22"/>
        </w:rPr>
        <w:br/>
      </w:r>
    </w:p>
    <w:p w:rsidR="00E83A90" w:rsidRPr="006C41B6" w:rsidRDefault="00E83A90" w:rsidP="00E83A90">
      <w:pPr>
        <w:tabs>
          <w:tab w:val="left" w:pos="1985"/>
        </w:tabs>
        <w:rPr>
          <w:rFonts w:asciiTheme="minorHAnsi" w:hAnsiTheme="minorHAnsi" w:cstheme="minorHAnsi"/>
          <w:sz w:val="22"/>
          <w:szCs w:val="22"/>
        </w:rPr>
      </w:pPr>
      <w:r w:rsidRPr="006C41B6">
        <w:rPr>
          <w:rFonts w:asciiTheme="minorHAnsi" w:hAnsiTheme="minorHAnsi" w:cstheme="minorHAnsi"/>
          <w:sz w:val="22"/>
          <w:szCs w:val="22"/>
        </w:rPr>
        <w:t>The Council’s Medium Term Financial Strategy Model reflect</w:t>
      </w:r>
      <w:r>
        <w:rPr>
          <w:rFonts w:asciiTheme="minorHAnsi" w:hAnsiTheme="minorHAnsi" w:cstheme="minorHAnsi"/>
          <w:sz w:val="22"/>
          <w:szCs w:val="22"/>
        </w:rPr>
        <w:t>ed</w:t>
      </w:r>
      <w:r w:rsidRPr="006C41B6">
        <w:rPr>
          <w:rFonts w:asciiTheme="minorHAnsi" w:hAnsiTheme="minorHAnsi" w:cstheme="minorHAnsi"/>
          <w:sz w:val="22"/>
          <w:szCs w:val="22"/>
        </w:rPr>
        <w:t xml:space="preserve"> the</w:t>
      </w:r>
      <w:r>
        <w:rPr>
          <w:rFonts w:asciiTheme="minorHAnsi" w:hAnsiTheme="minorHAnsi" w:cstheme="minorHAnsi"/>
          <w:sz w:val="22"/>
          <w:szCs w:val="22"/>
        </w:rPr>
        <w:t xml:space="preserve"> Council’s best estimate</w:t>
      </w:r>
      <w:r w:rsidRPr="006C41B6">
        <w:rPr>
          <w:rFonts w:asciiTheme="minorHAnsi" w:hAnsiTheme="minorHAnsi" w:cstheme="minorHAnsi"/>
          <w:sz w:val="22"/>
          <w:szCs w:val="22"/>
        </w:rPr>
        <w:t xml:space="preserve"> of what may occur in 20</w:t>
      </w:r>
      <w:r>
        <w:rPr>
          <w:rFonts w:asciiTheme="minorHAnsi" w:hAnsiTheme="minorHAnsi" w:cstheme="minorHAnsi"/>
          <w:sz w:val="22"/>
          <w:szCs w:val="22"/>
        </w:rPr>
        <w:t>20</w:t>
      </w:r>
      <w:r w:rsidRPr="006C41B6">
        <w:rPr>
          <w:rFonts w:asciiTheme="minorHAnsi" w:hAnsiTheme="minorHAnsi" w:cstheme="minorHAnsi"/>
          <w:sz w:val="22"/>
          <w:szCs w:val="22"/>
        </w:rPr>
        <w:t>-</w:t>
      </w:r>
      <w:r>
        <w:rPr>
          <w:rFonts w:asciiTheme="minorHAnsi" w:hAnsiTheme="minorHAnsi" w:cstheme="minorHAnsi"/>
          <w:sz w:val="22"/>
          <w:szCs w:val="22"/>
        </w:rPr>
        <w:t>21</w:t>
      </w:r>
      <w:r w:rsidRPr="006C41B6">
        <w:rPr>
          <w:rFonts w:asciiTheme="minorHAnsi" w:hAnsiTheme="minorHAnsi" w:cstheme="minorHAnsi"/>
          <w:sz w:val="22"/>
          <w:szCs w:val="22"/>
        </w:rPr>
        <w:t xml:space="preserve"> and beyond</w:t>
      </w:r>
      <w:r>
        <w:rPr>
          <w:rFonts w:asciiTheme="minorHAnsi" w:hAnsiTheme="minorHAnsi" w:cstheme="minorHAnsi"/>
          <w:sz w:val="22"/>
          <w:szCs w:val="22"/>
        </w:rPr>
        <w:t xml:space="preserve"> as reported to Council in December 2019</w:t>
      </w:r>
      <w:r w:rsidRPr="006C41B6">
        <w:rPr>
          <w:rFonts w:asciiTheme="minorHAnsi" w:hAnsiTheme="minorHAnsi" w:cstheme="minorHAnsi"/>
          <w:sz w:val="22"/>
          <w:szCs w:val="22"/>
        </w:rPr>
        <w:t xml:space="preserve">. </w:t>
      </w:r>
      <w:r>
        <w:rPr>
          <w:rFonts w:asciiTheme="minorHAnsi" w:hAnsiTheme="minorHAnsi" w:cstheme="minorHAnsi"/>
          <w:sz w:val="22"/>
          <w:szCs w:val="22"/>
        </w:rPr>
        <w:t xml:space="preserve">However like all local authorities having only just set the budget and council tax for 2020-21 in early March, the unprecedented impact of the COVID 19 pandemic has warranted the stress testing of the Council’s finances to assess the impact in the short term and consider the longer term impact which will aid the Council’s plans for 2020-21 and beyond. </w:t>
      </w:r>
      <w:r w:rsidR="00AA301B">
        <w:rPr>
          <w:rFonts w:asciiTheme="minorHAnsi" w:hAnsiTheme="minorHAnsi" w:cstheme="minorHAnsi"/>
          <w:sz w:val="22"/>
          <w:szCs w:val="22"/>
        </w:rPr>
        <w:t>T</w:t>
      </w:r>
      <w:r w:rsidR="00AA301B" w:rsidRPr="00AA301B">
        <w:rPr>
          <w:rFonts w:asciiTheme="minorHAnsi" w:hAnsiTheme="minorHAnsi" w:cstheme="minorHAnsi"/>
          <w:sz w:val="22"/>
          <w:szCs w:val="22"/>
        </w:rPr>
        <w:t xml:space="preserve">he outcome </w:t>
      </w:r>
      <w:r w:rsidR="00AA301B">
        <w:rPr>
          <w:rFonts w:asciiTheme="minorHAnsi" w:hAnsiTheme="minorHAnsi" w:cstheme="minorHAnsi"/>
          <w:sz w:val="22"/>
          <w:szCs w:val="22"/>
        </w:rPr>
        <w:t>of the stress test indicated a</w:t>
      </w:r>
      <w:r w:rsidR="00AA301B" w:rsidRPr="00AA301B">
        <w:rPr>
          <w:rFonts w:asciiTheme="minorHAnsi" w:hAnsiTheme="minorHAnsi" w:cstheme="minorHAnsi"/>
          <w:sz w:val="22"/>
          <w:szCs w:val="22"/>
        </w:rPr>
        <w:t xml:space="preserve"> potential £8m loss in </w:t>
      </w:r>
      <w:r w:rsidR="00AA301B">
        <w:rPr>
          <w:rFonts w:asciiTheme="minorHAnsi" w:hAnsiTheme="minorHAnsi" w:cstheme="minorHAnsi"/>
          <w:sz w:val="22"/>
          <w:szCs w:val="22"/>
        </w:rPr>
        <w:t>20</w:t>
      </w:r>
      <w:r w:rsidR="00AA301B" w:rsidRPr="00AA301B">
        <w:rPr>
          <w:rFonts w:asciiTheme="minorHAnsi" w:hAnsiTheme="minorHAnsi" w:cstheme="minorHAnsi"/>
          <w:sz w:val="22"/>
          <w:szCs w:val="22"/>
        </w:rPr>
        <w:t xml:space="preserve">20-21, but </w:t>
      </w:r>
      <w:r w:rsidR="00AA301B">
        <w:rPr>
          <w:rFonts w:asciiTheme="minorHAnsi" w:hAnsiTheme="minorHAnsi" w:cstheme="minorHAnsi"/>
          <w:sz w:val="22"/>
          <w:szCs w:val="22"/>
        </w:rPr>
        <w:t xml:space="preserve">the Council has </w:t>
      </w:r>
      <w:r w:rsidR="00AA301B" w:rsidRPr="00AA301B">
        <w:rPr>
          <w:rFonts w:asciiTheme="minorHAnsi" w:hAnsiTheme="minorHAnsi" w:cstheme="minorHAnsi"/>
          <w:sz w:val="22"/>
          <w:szCs w:val="22"/>
        </w:rPr>
        <w:t xml:space="preserve">sufficient reserves and liquidity to ensure </w:t>
      </w:r>
      <w:r w:rsidR="00AA301B">
        <w:rPr>
          <w:rFonts w:asciiTheme="minorHAnsi" w:hAnsiTheme="minorHAnsi" w:cstheme="minorHAnsi"/>
          <w:sz w:val="22"/>
          <w:szCs w:val="22"/>
        </w:rPr>
        <w:t>it</w:t>
      </w:r>
      <w:r w:rsidR="00AA301B" w:rsidRPr="00AA301B">
        <w:rPr>
          <w:rFonts w:asciiTheme="minorHAnsi" w:hAnsiTheme="minorHAnsi" w:cstheme="minorHAnsi"/>
          <w:sz w:val="22"/>
          <w:szCs w:val="22"/>
        </w:rPr>
        <w:t xml:space="preserve"> can continue to operate for the foreseeable future. However a recovery plan which includes the financial assessment and savings required will be presented to the </w:t>
      </w:r>
      <w:r w:rsidR="00AA301B">
        <w:rPr>
          <w:rFonts w:asciiTheme="minorHAnsi" w:hAnsiTheme="minorHAnsi" w:cstheme="minorHAnsi"/>
          <w:sz w:val="22"/>
          <w:szCs w:val="22"/>
        </w:rPr>
        <w:t>June 2020 meeting of the Overview and Scrutiny Committee,</w:t>
      </w:r>
      <w:r w:rsidR="00AA301B" w:rsidRPr="00AA301B">
        <w:rPr>
          <w:rFonts w:asciiTheme="minorHAnsi" w:hAnsiTheme="minorHAnsi" w:cstheme="minorHAnsi"/>
          <w:sz w:val="22"/>
          <w:szCs w:val="22"/>
        </w:rPr>
        <w:t xml:space="preserve"> and </w:t>
      </w:r>
      <w:r w:rsidR="00AA301B">
        <w:rPr>
          <w:rFonts w:asciiTheme="minorHAnsi" w:hAnsiTheme="minorHAnsi" w:cstheme="minorHAnsi"/>
          <w:sz w:val="22"/>
          <w:szCs w:val="22"/>
        </w:rPr>
        <w:t xml:space="preserve">the </w:t>
      </w:r>
      <w:r w:rsidR="00AA301B" w:rsidRPr="00AA301B">
        <w:rPr>
          <w:rFonts w:asciiTheme="minorHAnsi" w:hAnsiTheme="minorHAnsi" w:cstheme="minorHAnsi"/>
          <w:sz w:val="22"/>
          <w:szCs w:val="22"/>
        </w:rPr>
        <w:t>C</w:t>
      </w:r>
      <w:r w:rsidR="00AA301B">
        <w:rPr>
          <w:rFonts w:asciiTheme="minorHAnsi" w:hAnsiTheme="minorHAnsi" w:cstheme="minorHAnsi"/>
          <w:sz w:val="22"/>
          <w:szCs w:val="22"/>
        </w:rPr>
        <w:t xml:space="preserve">orporate </w:t>
      </w:r>
      <w:r w:rsidR="00AA301B" w:rsidRPr="00AA301B">
        <w:rPr>
          <w:rFonts w:asciiTheme="minorHAnsi" w:hAnsiTheme="minorHAnsi" w:cstheme="minorHAnsi"/>
          <w:sz w:val="22"/>
          <w:szCs w:val="22"/>
        </w:rPr>
        <w:t>G</w:t>
      </w:r>
      <w:r w:rsidR="00AA301B">
        <w:rPr>
          <w:rFonts w:asciiTheme="minorHAnsi" w:hAnsiTheme="minorHAnsi" w:cstheme="minorHAnsi"/>
          <w:sz w:val="22"/>
          <w:szCs w:val="22"/>
        </w:rPr>
        <w:t xml:space="preserve">overnance and Audit </w:t>
      </w:r>
      <w:r w:rsidR="00AA301B" w:rsidRPr="00AA301B">
        <w:rPr>
          <w:rFonts w:asciiTheme="minorHAnsi" w:hAnsiTheme="minorHAnsi" w:cstheme="minorHAnsi"/>
          <w:sz w:val="22"/>
          <w:szCs w:val="22"/>
        </w:rPr>
        <w:t>C</w:t>
      </w:r>
      <w:r w:rsidR="00AA301B">
        <w:rPr>
          <w:rFonts w:asciiTheme="minorHAnsi" w:hAnsiTheme="minorHAnsi" w:cstheme="minorHAnsi"/>
          <w:sz w:val="22"/>
          <w:szCs w:val="22"/>
        </w:rPr>
        <w:t>ommittee</w:t>
      </w:r>
      <w:r w:rsidR="00AA301B" w:rsidRPr="00AA301B">
        <w:rPr>
          <w:rFonts w:asciiTheme="minorHAnsi" w:hAnsiTheme="minorHAnsi" w:cstheme="minorHAnsi"/>
          <w:sz w:val="22"/>
          <w:szCs w:val="22"/>
        </w:rPr>
        <w:t xml:space="preserve"> and Cabinet</w:t>
      </w:r>
      <w:r w:rsidR="00AA301B">
        <w:rPr>
          <w:rFonts w:asciiTheme="minorHAnsi" w:hAnsiTheme="minorHAnsi" w:cstheme="minorHAnsi"/>
          <w:sz w:val="22"/>
          <w:szCs w:val="22"/>
        </w:rPr>
        <w:t xml:space="preserve"> in July 2020</w:t>
      </w:r>
      <w:r w:rsidR="00AA301B" w:rsidRPr="00AA301B">
        <w:rPr>
          <w:rFonts w:asciiTheme="minorHAnsi" w:hAnsiTheme="minorHAnsi" w:cstheme="minorHAnsi"/>
          <w:sz w:val="22"/>
          <w:szCs w:val="22"/>
        </w:rPr>
        <w:t>.</w:t>
      </w:r>
    </w:p>
    <w:p w:rsidR="00E83A90" w:rsidRPr="006C41B6" w:rsidRDefault="00E83A90" w:rsidP="00E83A90">
      <w:pPr>
        <w:rPr>
          <w:rFonts w:asciiTheme="minorHAnsi" w:hAnsiTheme="minorHAnsi" w:cstheme="minorHAnsi"/>
          <w:sz w:val="22"/>
          <w:szCs w:val="22"/>
        </w:rPr>
      </w:pPr>
    </w:p>
    <w:p w:rsidR="00E83A90"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The Council has used its five year financial model to help set out the action required to reduce the impact of any government funding gap on service delivery, building on savings and increased income</w:t>
      </w:r>
      <w:r>
        <w:rPr>
          <w:rFonts w:asciiTheme="minorHAnsi" w:hAnsiTheme="minorHAnsi" w:cstheme="minorHAnsi"/>
          <w:sz w:val="22"/>
          <w:szCs w:val="22"/>
        </w:rPr>
        <w:t>. The Council has a good track record of realising savings and increasing income to achieve the legal requirement to set a balanced budget, as demonstrated by achieving savings and increased income of £12.384m since 2010 to date; this includes savings of £3.5m linked to the Council’s 2016</w:t>
      </w:r>
      <w:r w:rsidRPr="00D37AC4">
        <w:rPr>
          <w:rFonts w:asciiTheme="minorHAnsi" w:hAnsiTheme="minorHAnsi" w:cstheme="minorHAnsi"/>
          <w:sz w:val="22"/>
          <w:szCs w:val="22"/>
        </w:rPr>
        <w:t xml:space="preserve"> Deficit Reduction Plan</w:t>
      </w:r>
      <w:r>
        <w:rPr>
          <w:rFonts w:asciiTheme="minorHAnsi" w:hAnsiTheme="minorHAnsi" w:cstheme="minorHAnsi"/>
          <w:sz w:val="22"/>
          <w:szCs w:val="22"/>
        </w:rPr>
        <w:t xml:space="preserve"> which still had </w:t>
      </w:r>
      <w:r w:rsidRPr="00D37AC4">
        <w:rPr>
          <w:rFonts w:asciiTheme="minorHAnsi" w:hAnsiTheme="minorHAnsi" w:cstheme="minorHAnsi"/>
          <w:sz w:val="22"/>
          <w:szCs w:val="22"/>
        </w:rPr>
        <w:t>further anticipated savings or additional income o</w:t>
      </w:r>
      <w:r>
        <w:rPr>
          <w:rFonts w:asciiTheme="minorHAnsi" w:hAnsiTheme="minorHAnsi" w:cstheme="minorHAnsi"/>
          <w:sz w:val="22"/>
          <w:szCs w:val="22"/>
        </w:rPr>
        <w:t>f £0.952m to be achieved over the next 5 years, which will be re-assessed in light of the public health issue in 2020.</w:t>
      </w:r>
    </w:p>
    <w:p w:rsidR="00E83A90" w:rsidRDefault="00E83A90" w:rsidP="00E83A90">
      <w:pPr>
        <w:rPr>
          <w:rFonts w:asciiTheme="minorHAnsi" w:hAnsiTheme="minorHAnsi" w:cstheme="minorHAnsi"/>
          <w:sz w:val="22"/>
          <w:szCs w:val="22"/>
        </w:rPr>
      </w:pPr>
    </w:p>
    <w:p w:rsidR="00E83A90" w:rsidRDefault="00E83A90" w:rsidP="00E83A90">
      <w:pPr>
        <w:rPr>
          <w:rFonts w:asciiTheme="minorHAnsi" w:hAnsiTheme="minorHAnsi" w:cstheme="minorHAnsi"/>
          <w:sz w:val="22"/>
          <w:szCs w:val="22"/>
        </w:rPr>
      </w:pPr>
      <w:r>
        <w:rPr>
          <w:rFonts w:asciiTheme="minorHAnsi" w:hAnsiTheme="minorHAnsi" w:cstheme="minorHAnsi"/>
          <w:sz w:val="22"/>
          <w:szCs w:val="22"/>
        </w:rPr>
        <w:t>Ultimately i</w:t>
      </w:r>
      <w:r w:rsidRPr="006C41B6">
        <w:rPr>
          <w:rFonts w:asciiTheme="minorHAnsi" w:hAnsiTheme="minorHAnsi" w:cstheme="minorHAnsi"/>
          <w:sz w:val="22"/>
          <w:szCs w:val="22"/>
        </w:rPr>
        <w:t>t has been via this medium term modelling that the Council has been able to plan ahead, and implement sensible and considered efficiencies in a timely fashion. This planning has helped to avoid making severe service cuts, yet thus far enabled us to balance our budgets, and invest in new priorities.  Additionally it has enabled us to preserve the NHB funding for community benefit</w:t>
      </w:r>
      <w:r w:rsidR="00BD2C2B">
        <w:rPr>
          <w:rFonts w:asciiTheme="minorHAnsi" w:hAnsiTheme="minorHAnsi" w:cstheme="minorHAnsi"/>
          <w:sz w:val="22"/>
          <w:szCs w:val="22"/>
        </w:rPr>
        <w:t>.</w:t>
      </w:r>
    </w:p>
    <w:p w:rsidR="00E83A90" w:rsidRDefault="00E83A90" w:rsidP="00E83A90">
      <w:pPr>
        <w:rPr>
          <w:rFonts w:asciiTheme="minorHAnsi" w:hAnsiTheme="minorHAnsi" w:cstheme="minorHAnsi"/>
          <w:sz w:val="22"/>
          <w:szCs w:val="22"/>
        </w:rPr>
      </w:pPr>
    </w:p>
    <w:p w:rsidR="00E83A90"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The Council’s priority remains to maintain value for money front line services where possible, to enable it to continue providing important services to communities and others in Chichester District.</w:t>
      </w:r>
    </w:p>
    <w:p w:rsidR="00E83A90" w:rsidRDefault="00E83A90" w:rsidP="00E83A90">
      <w:pPr>
        <w:rPr>
          <w:rFonts w:asciiTheme="minorHAnsi" w:hAnsiTheme="minorHAnsi" w:cstheme="minorHAnsi"/>
          <w:sz w:val="22"/>
          <w:szCs w:val="22"/>
        </w:rPr>
      </w:pPr>
    </w:p>
    <w:p w:rsidR="00E83A90" w:rsidRDefault="00E83A90" w:rsidP="00E83A90">
      <w:pPr>
        <w:numPr>
          <w:ilvl w:val="0"/>
          <w:numId w:val="50"/>
        </w:numPr>
        <w:contextualSpacing/>
        <w:rPr>
          <w:rFonts w:asciiTheme="minorHAnsi" w:hAnsiTheme="minorHAnsi" w:cstheme="minorHAnsi"/>
          <w:sz w:val="22"/>
          <w:szCs w:val="22"/>
        </w:rPr>
      </w:pPr>
      <w:r w:rsidRPr="006C41B6">
        <w:rPr>
          <w:rFonts w:asciiTheme="minorHAnsi" w:hAnsiTheme="minorHAnsi" w:cstheme="minorHAnsi"/>
          <w:b/>
          <w:sz w:val="22"/>
          <w:szCs w:val="22"/>
        </w:rPr>
        <w:t>Risks &amp; Uncertainties</w:t>
      </w:r>
      <w:r w:rsidRPr="006C41B6">
        <w:rPr>
          <w:rFonts w:asciiTheme="minorHAnsi" w:hAnsiTheme="minorHAnsi" w:cstheme="minorHAnsi"/>
          <w:sz w:val="22"/>
          <w:szCs w:val="22"/>
        </w:rPr>
        <w:t xml:space="preserve"> </w:t>
      </w:r>
    </w:p>
    <w:p w:rsidR="00E83A90" w:rsidRPr="006C41B6" w:rsidRDefault="00E83A90" w:rsidP="00E83A90">
      <w:pPr>
        <w:ind w:left="360"/>
        <w:contextualSpacing/>
        <w:rPr>
          <w:rFonts w:asciiTheme="minorHAnsi" w:hAnsiTheme="minorHAnsi" w:cstheme="minorHAnsi"/>
          <w:sz w:val="22"/>
          <w:szCs w:val="22"/>
        </w:rPr>
      </w:pPr>
    </w:p>
    <w:p w:rsidR="00E83A90" w:rsidRPr="006C41B6"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The Council has a risk management policy and strategy which sets out the process for managing strategic, programme board and organisational risks in relation to the achievement of its objectives and performance targets. The risk registers are the subject of bi-annual review by both the Strategic Risk Group and the Corporate Governance and Audit Committee, and are reviewed regularly by the Corporate Management Team throughout the year.</w:t>
      </w:r>
    </w:p>
    <w:p w:rsidR="00E83A90" w:rsidRPr="006C41B6" w:rsidRDefault="00E83A90" w:rsidP="00E83A90">
      <w:pPr>
        <w:rPr>
          <w:rFonts w:asciiTheme="minorHAnsi" w:hAnsiTheme="minorHAnsi" w:cstheme="minorHAnsi"/>
          <w:sz w:val="22"/>
          <w:szCs w:val="22"/>
        </w:rPr>
      </w:pPr>
    </w:p>
    <w:p w:rsidR="00E83A90" w:rsidRPr="006C41B6"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Each risk is scored in terms of the likelihood or occurrence and the potential impact. The assessment of impact reflects consideration of a number of concerns such as; service disruption, financial loss, reputation, data security, personal safety and legal obligations. The scores are based on a range of “Major through to Minor”. The assessment of likelihood, or probability, is based on a range of scores from “</w:t>
      </w:r>
      <w:r>
        <w:rPr>
          <w:rFonts w:asciiTheme="minorHAnsi" w:hAnsiTheme="minorHAnsi" w:cstheme="minorHAnsi"/>
          <w:sz w:val="22"/>
          <w:szCs w:val="22"/>
        </w:rPr>
        <w:t xml:space="preserve">Almost </w:t>
      </w:r>
      <w:r w:rsidRPr="006C41B6">
        <w:rPr>
          <w:rFonts w:asciiTheme="minorHAnsi" w:hAnsiTheme="minorHAnsi" w:cstheme="minorHAnsi"/>
          <w:sz w:val="22"/>
          <w:szCs w:val="22"/>
        </w:rPr>
        <w:t>Certain to Unlikely”.</w:t>
      </w:r>
    </w:p>
    <w:p w:rsidR="00E83A90" w:rsidRPr="006C41B6" w:rsidRDefault="00E83A90" w:rsidP="00E83A90">
      <w:pPr>
        <w:rPr>
          <w:rFonts w:asciiTheme="minorHAnsi" w:hAnsiTheme="minorHAnsi" w:cstheme="minorHAnsi"/>
          <w:sz w:val="22"/>
          <w:szCs w:val="22"/>
        </w:rPr>
      </w:pPr>
    </w:p>
    <w:p w:rsidR="00E83A90" w:rsidRDefault="00E83A90" w:rsidP="00E83A90">
      <w:pPr>
        <w:rPr>
          <w:rFonts w:asciiTheme="minorHAnsi" w:hAnsiTheme="minorHAnsi" w:cstheme="minorHAnsi"/>
          <w:sz w:val="22"/>
          <w:szCs w:val="22"/>
        </w:rPr>
      </w:pPr>
      <w:r w:rsidRPr="006C41B6">
        <w:rPr>
          <w:rFonts w:asciiTheme="minorHAnsi" w:hAnsiTheme="minorHAnsi" w:cstheme="minorHAnsi"/>
          <w:sz w:val="22"/>
          <w:szCs w:val="22"/>
        </w:rPr>
        <w:t xml:space="preserve">The key risks identified during the year and reported to the Corporate Governance and Audit </w:t>
      </w:r>
      <w:r w:rsidRPr="006C41B6">
        <w:rPr>
          <w:rFonts w:asciiTheme="minorHAnsi" w:hAnsiTheme="minorHAnsi" w:cstheme="minorHAnsi"/>
          <w:sz w:val="22"/>
          <w:szCs w:val="22"/>
        </w:rPr>
        <w:lastRenderedPageBreak/>
        <w:t>Committee are:</w:t>
      </w:r>
    </w:p>
    <w:p w:rsidR="005B23A5" w:rsidRDefault="005B23A5" w:rsidP="00E83A90">
      <w:pPr>
        <w:rPr>
          <w:rFonts w:asciiTheme="minorHAnsi" w:hAnsiTheme="minorHAnsi" w:cstheme="minorHAnsi"/>
          <w:sz w:val="22"/>
          <w:szCs w:val="22"/>
        </w:rPr>
      </w:pPr>
    </w:p>
    <w:tbl>
      <w:tblPr>
        <w:tblStyle w:val="TableGrid"/>
        <w:tblW w:w="0" w:type="auto"/>
        <w:tblInd w:w="392" w:type="dxa"/>
        <w:tblLook w:val="04A0" w:firstRow="1" w:lastRow="0" w:firstColumn="1" w:lastColumn="0" w:noHBand="0" w:noVBand="1"/>
        <w:tblCaption w:val="Risks and  uncertainties table"/>
      </w:tblPr>
      <w:tblGrid>
        <w:gridCol w:w="5528"/>
        <w:gridCol w:w="1276"/>
        <w:gridCol w:w="1276"/>
      </w:tblGrid>
      <w:tr w:rsidR="00E83A90" w:rsidRPr="006C41B6" w:rsidTr="003B5F7F">
        <w:trPr>
          <w:tblHeader/>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rsidR="00E83A90" w:rsidRPr="006C41B6" w:rsidRDefault="00E83A90" w:rsidP="00E83A90">
            <w:pPr>
              <w:rPr>
                <w:rFonts w:asciiTheme="minorHAnsi" w:hAnsiTheme="minorHAnsi" w:cstheme="minorHAnsi"/>
                <w:color w:val="FFFFFF" w:themeColor="background1"/>
                <w:sz w:val="22"/>
                <w:szCs w:val="22"/>
              </w:rPr>
            </w:pPr>
            <w:r w:rsidRPr="006C41B6">
              <w:rPr>
                <w:rFonts w:asciiTheme="minorHAnsi" w:hAnsiTheme="minorHAnsi" w:cstheme="minorHAnsi"/>
                <w:color w:val="FFFFFF" w:themeColor="background1"/>
                <w:sz w:val="22"/>
                <w:szCs w:val="22"/>
              </w:rPr>
              <w:t>Strategic Risk Description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rsidR="00E83A90" w:rsidRPr="006C41B6" w:rsidRDefault="00E83A90" w:rsidP="00E83A90">
            <w:pPr>
              <w:jc w:val="center"/>
              <w:rPr>
                <w:rFonts w:asciiTheme="minorHAnsi" w:hAnsiTheme="minorHAnsi" w:cstheme="minorHAnsi"/>
                <w:color w:val="FFFFFF" w:themeColor="background1"/>
                <w:sz w:val="22"/>
                <w:szCs w:val="22"/>
              </w:rPr>
            </w:pPr>
            <w:r w:rsidRPr="006C41B6">
              <w:rPr>
                <w:rFonts w:asciiTheme="minorHAnsi" w:hAnsiTheme="minorHAnsi" w:cstheme="minorHAnsi"/>
                <w:color w:val="FFFFFF" w:themeColor="background1"/>
                <w:sz w:val="22"/>
                <w:szCs w:val="22"/>
              </w:rPr>
              <w:t>Likelihood</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rsidR="00E83A90" w:rsidRPr="006C41B6" w:rsidRDefault="00E83A90" w:rsidP="00E83A90">
            <w:pPr>
              <w:jc w:val="center"/>
              <w:rPr>
                <w:rFonts w:asciiTheme="minorHAnsi" w:hAnsiTheme="minorHAnsi" w:cstheme="minorHAnsi"/>
                <w:color w:val="FFFFFF" w:themeColor="background1"/>
                <w:sz w:val="22"/>
                <w:szCs w:val="22"/>
              </w:rPr>
            </w:pPr>
            <w:r w:rsidRPr="006C41B6">
              <w:rPr>
                <w:rFonts w:asciiTheme="minorHAnsi" w:hAnsiTheme="minorHAnsi" w:cstheme="minorHAnsi"/>
                <w:color w:val="FFFFFF" w:themeColor="background1"/>
                <w:sz w:val="22"/>
                <w:szCs w:val="22"/>
              </w:rPr>
              <w:t>Impact</w:t>
            </w:r>
          </w:p>
        </w:tc>
      </w:tr>
      <w:tr w:rsidR="00E83A90" w:rsidRPr="006C41B6"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Financial Resilience</w:t>
            </w:r>
          </w:p>
          <w:p w:rsidR="00E83A90" w:rsidRPr="006C41B6" w:rsidRDefault="00E83A90" w:rsidP="00E83A90">
            <w:pPr>
              <w:numPr>
                <w:ilvl w:val="0"/>
                <w:numId w:val="51"/>
              </w:numPr>
              <w:contextualSpacing/>
              <w:rPr>
                <w:rFonts w:asciiTheme="minorHAnsi" w:hAnsiTheme="minorHAnsi" w:cstheme="minorHAnsi"/>
                <w:sz w:val="22"/>
                <w:szCs w:val="22"/>
              </w:rPr>
            </w:pPr>
            <w:r w:rsidRPr="006C41B6">
              <w:rPr>
                <w:rFonts w:asciiTheme="minorHAnsi" w:hAnsiTheme="minorHAnsi" w:cstheme="minorHAnsi"/>
                <w:sz w:val="22"/>
                <w:szCs w:val="22"/>
              </w:rPr>
              <w:t>Failure to maintain a robust and deliverable budget</w:t>
            </w:r>
            <w:r>
              <w:rPr>
                <w:rFonts w:asciiTheme="minorHAnsi" w:hAnsiTheme="minorHAnsi" w:cstheme="minorHAnsi"/>
                <w:sz w:val="22"/>
                <w:szCs w:val="22"/>
              </w:rPr>
              <w:t xml:space="preserve"> will lead to a lack of resources to fund services and council priorities, leading to reactionary decision making, and reputational consequence</w:t>
            </w:r>
            <w:r w:rsidRPr="006C41B6">
              <w:rPr>
                <w:rFonts w:asciiTheme="minorHAnsi" w:hAnsiTheme="minorHAnsi" w:cstheme="minorHAnsi"/>
                <w:sz w:val="22"/>
                <w:szCs w:val="22"/>
              </w:rPr>
              <w:t>.</w:t>
            </w:r>
          </w:p>
          <w:p w:rsidR="00E83A90" w:rsidRPr="006C41B6" w:rsidRDefault="00E83A90" w:rsidP="00E83A90">
            <w:pPr>
              <w:numPr>
                <w:ilvl w:val="0"/>
                <w:numId w:val="51"/>
              </w:numPr>
              <w:contextualSpacing/>
              <w:rPr>
                <w:rFonts w:asciiTheme="minorHAnsi" w:hAnsiTheme="minorHAnsi" w:cstheme="minorHAnsi"/>
                <w:sz w:val="22"/>
                <w:szCs w:val="22"/>
              </w:rPr>
            </w:pPr>
            <w:r w:rsidRPr="006C41B6">
              <w:rPr>
                <w:rFonts w:asciiTheme="minorHAnsi" w:hAnsiTheme="minorHAnsi" w:cstheme="minorHAnsi"/>
                <w:sz w:val="22"/>
                <w:szCs w:val="22"/>
              </w:rPr>
              <w:t>Failure to maximise efficient use of resources and so unsuccessful redirection of resources and not achieving objectives and outcomes of the council including deficit reduction plans.</w:t>
            </w:r>
          </w:p>
          <w:p w:rsidR="00E83A90" w:rsidRPr="006C41B6" w:rsidRDefault="00E83A90" w:rsidP="00E83A90">
            <w:pPr>
              <w:numPr>
                <w:ilvl w:val="0"/>
                <w:numId w:val="51"/>
              </w:numPr>
              <w:contextualSpacing/>
              <w:rPr>
                <w:rFonts w:asciiTheme="minorHAnsi" w:hAnsiTheme="minorHAnsi" w:cstheme="minorHAnsi"/>
                <w:sz w:val="22"/>
                <w:szCs w:val="22"/>
              </w:rPr>
            </w:pPr>
            <w:r w:rsidRPr="006C41B6">
              <w:rPr>
                <w:rFonts w:asciiTheme="minorHAnsi" w:hAnsiTheme="minorHAnsi" w:cstheme="minorHAnsi"/>
                <w:sz w:val="22"/>
                <w:szCs w:val="22"/>
              </w:rPr>
              <w:t>Failure to maximise income streams.</w:t>
            </w:r>
          </w:p>
          <w:p w:rsidR="00E83A90" w:rsidRDefault="00E83A90" w:rsidP="00E83A90">
            <w:pPr>
              <w:numPr>
                <w:ilvl w:val="0"/>
                <w:numId w:val="51"/>
              </w:numPr>
              <w:contextualSpacing/>
              <w:rPr>
                <w:rFonts w:asciiTheme="minorHAnsi" w:hAnsiTheme="minorHAnsi" w:cstheme="minorHAnsi"/>
                <w:sz w:val="22"/>
                <w:szCs w:val="22"/>
              </w:rPr>
            </w:pPr>
            <w:r w:rsidRPr="006C41B6">
              <w:rPr>
                <w:rFonts w:asciiTheme="minorHAnsi" w:hAnsiTheme="minorHAnsi" w:cstheme="minorHAnsi"/>
                <w:sz w:val="22"/>
                <w:szCs w:val="22"/>
              </w:rPr>
              <w:t>Unpredictable Government policy (e.g. localisation of business rates.)</w:t>
            </w:r>
          </w:p>
          <w:p w:rsidR="00E83A90" w:rsidRPr="006C41B6" w:rsidRDefault="00E83A90" w:rsidP="00E83A90">
            <w:pPr>
              <w:numPr>
                <w:ilvl w:val="0"/>
                <w:numId w:val="51"/>
              </w:numPr>
              <w:contextualSpacing/>
              <w:rPr>
                <w:rFonts w:asciiTheme="minorHAnsi" w:hAnsiTheme="minorHAnsi" w:cstheme="minorHAnsi"/>
                <w:sz w:val="22"/>
                <w:szCs w:val="22"/>
              </w:rPr>
            </w:pPr>
            <w:r w:rsidRPr="00781566">
              <w:rPr>
                <w:rFonts w:asciiTheme="minorHAnsi" w:hAnsiTheme="minorHAnsi" w:cstheme="minorHAnsi"/>
                <w:sz w:val="22"/>
                <w:szCs w:val="22"/>
              </w:rPr>
              <w:t>COVID-19 (Coronavirus) unpredictable economic impact.</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 xml:space="preserve">Probable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Moderate</w:t>
            </w:r>
          </w:p>
        </w:tc>
      </w:tr>
      <w:tr w:rsidR="00E83A90" w:rsidRPr="006C41B6"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Skills / Capability / Capacity</w:t>
            </w:r>
          </w:p>
          <w:p w:rsidR="00E83A90" w:rsidRPr="006C41B6" w:rsidRDefault="00E83A90" w:rsidP="00E83A90">
            <w:pPr>
              <w:numPr>
                <w:ilvl w:val="0"/>
                <w:numId w:val="51"/>
              </w:numPr>
              <w:contextualSpacing/>
              <w:rPr>
                <w:rFonts w:asciiTheme="minorHAnsi" w:hAnsiTheme="minorHAnsi" w:cstheme="minorHAnsi"/>
                <w:sz w:val="22"/>
                <w:szCs w:val="22"/>
              </w:rPr>
            </w:pPr>
            <w:r w:rsidRPr="006C41B6">
              <w:rPr>
                <w:rFonts w:asciiTheme="minorHAnsi" w:hAnsiTheme="minorHAnsi" w:cstheme="minorHAnsi"/>
                <w:sz w:val="22"/>
                <w:szCs w:val="22"/>
              </w:rPr>
              <w:t>Failure to have resilience in the staff structure</w:t>
            </w:r>
            <w:r>
              <w:rPr>
                <w:rFonts w:asciiTheme="minorHAnsi" w:hAnsiTheme="minorHAnsi" w:cstheme="minorHAnsi"/>
                <w:sz w:val="22"/>
                <w:szCs w:val="22"/>
              </w:rPr>
              <w:t>,</w:t>
            </w:r>
            <w:r w:rsidRPr="006C41B6">
              <w:rPr>
                <w:rFonts w:asciiTheme="minorHAnsi" w:hAnsiTheme="minorHAnsi" w:cstheme="minorHAnsi"/>
                <w:sz w:val="22"/>
                <w:szCs w:val="22"/>
              </w:rPr>
              <w:t xml:space="preserve"> </w:t>
            </w:r>
            <w:r>
              <w:rPr>
                <w:rFonts w:asciiTheme="minorHAnsi" w:hAnsiTheme="minorHAnsi" w:cstheme="minorHAnsi"/>
                <w:sz w:val="22"/>
                <w:szCs w:val="22"/>
              </w:rPr>
              <w:t xml:space="preserve">and so lack the right number of staff, with the right skills to deliver services, along with unrealistic expectations of services, </w:t>
            </w:r>
            <w:r w:rsidRPr="006C41B6">
              <w:rPr>
                <w:rFonts w:asciiTheme="minorHAnsi" w:hAnsiTheme="minorHAnsi" w:cstheme="minorHAnsi"/>
                <w:sz w:val="22"/>
                <w:szCs w:val="22"/>
              </w:rPr>
              <w:t>which could lead to service failure, reputational damage and potential litigation.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P</w:t>
            </w:r>
            <w:r>
              <w:rPr>
                <w:rFonts w:asciiTheme="minorHAnsi" w:hAnsiTheme="minorHAnsi" w:cstheme="minorHAnsi"/>
                <w:sz w:val="22"/>
                <w:szCs w:val="22"/>
              </w:rPr>
              <w:t>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M</w:t>
            </w:r>
            <w:r>
              <w:rPr>
                <w:rFonts w:asciiTheme="minorHAnsi" w:hAnsiTheme="minorHAnsi" w:cstheme="minorHAnsi"/>
                <w:sz w:val="22"/>
                <w:szCs w:val="22"/>
              </w:rPr>
              <w:t>inor</w:t>
            </w:r>
          </w:p>
        </w:tc>
      </w:tr>
      <w:tr w:rsidR="00E83A90" w:rsidRPr="006C41B6"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Business Continuity</w:t>
            </w:r>
          </w:p>
          <w:p w:rsidR="00E83A90" w:rsidRPr="006C41B6" w:rsidRDefault="00E83A90" w:rsidP="00E83A90">
            <w:pPr>
              <w:numPr>
                <w:ilvl w:val="0"/>
                <w:numId w:val="51"/>
              </w:numPr>
              <w:contextualSpacing/>
              <w:rPr>
                <w:rFonts w:asciiTheme="minorHAnsi" w:hAnsiTheme="minorHAnsi" w:cstheme="minorHAnsi"/>
                <w:sz w:val="22"/>
                <w:szCs w:val="22"/>
              </w:rPr>
            </w:pPr>
            <w:r w:rsidRPr="006C41B6">
              <w:rPr>
                <w:rFonts w:asciiTheme="minorHAnsi" w:hAnsiTheme="minorHAnsi" w:cstheme="minorHAnsi"/>
                <w:sz w:val="22"/>
                <w:szCs w:val="22"/>
              </w:rPr>
              <w:t>Failure to react to an incident that would adversely affect the delivery of services, including leading to a breach of the council's statutory duties under the Civil Contingencies Act and result in both inability to service the community and suffer reputational damage.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P</w:t>
            </w:r>
            <w:r>
              <w:rPr>
                <w:rFonts w:asciiTheme="minorHAnsi" w:hAnsiTheme="minorHAnsi" w:cstheme="minorHAnsi"/>
                <w:sz w:val="22"/>
                <w:szCs w:val="22"/>
              </w:rPr>
              <w:t>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S</w:t>
            </w:r>
            <w:r>
              <w:rPr>
                <w:rFonts w:asciiTheme="minorHAnsi" w:hAnsiTheme="minorHAnsi" w:cstheme="minorHAnsi"/>
                <w:sz w:val="22"/>
                <w:szCs w:val="22"/>
              </w:rPr>
              <w:t>ubstantial</w:t>
            </w:r>
          </w:p>
        </w:tc>
      </w:tr>
      <w:tr w:rsidR="00E83A90" w:rsidRPr="006C41B6"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Health &amp; Safety</w:t>
            </w:r>
          </w:p>
          <w:p w:rsidR="00E83A90" w:rsidRPr="006C41B6" w:rsidRDefault="00E83A90" w:rsidP="00E83A90">
            <w:pPr>
              <w:numPr>
                <w:ilvl w:val="0"/>
                <w:numId w:val="51"/>
              </w:numPr>
              <w:contextualSpacing/>
              <w:rPr>
                <w:rFonts w:asciiTheme="minorHAnsi" w:hAnsiTheme="minorHAnsi" w:cstheme="minorHAnsi"/>
                <w:sz w:val="22"/>
                <w:szCs w:val="22"/>
              </w:rPr>
            </w:pPr>
            <w:r w:rsidRPr="006C41B6">
              <w:rPr>
                <w:rFonts w:asciiTheme="minorHAnsi" w:hAnsiTheme="minorHAnsi" w:cstheme="minorHAnsi"/>
                <w:sz w:val="22"/>
                <w:szCs w:val="22"/>
              </w:rPr>
              <w:t xml:space="preserve">Failure to adhere to H&amp;S policies and procedures leading to death or </w:t>
            </w:r>
            <w:r>
              <w:rPr>
                <w:rFonts w:asciiTheme="minorHAnsi" w:hAnsiTheme="minorHAnsi" w:cstheme="minorHAnsi"/>
                <w:sz w:val="22"/>
                <w:szCs w:val="22"/>
              </w:rPr>
              <w:t xml:space="preserve">serious </w:t>
            </w:r>
            <w:r w:rsidRPr="006C41B6">
              <w:rPr>
                <w:rFonts w:asciiTheme="minorHAnsi" w:hAnsiTheme="minorHAnsi" w:cstheme="minorHAnsi"/>
                <w:sz w:val="22"/>
                <w:szCs w:val="22"/>
              </w:rPr>
              <w:t>injury of an employee or third party resulting in prosecution under H&amp;S legislation, adverse publicity, fines and possible prison sentences. Such failures may also lead to civil claims for compensation</w:t>
            </w:r>
            <w:r>
              <w:rPr>
                <w:rFonts w:asciiTheme="minorHAnsi" w:hAnsiTheme="minorHAnsi" w:cstheme="minorHAnsi"/>
                <w:sz w:val="22"/>
                <w:szCs w:val="22"/>
              </w:rPr>
              <w:t>.</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Unlikely</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Major</w:t>
            </w:r>
          </w:p>
        </w:tc>
      </w:tr>
      <w:tr w:rsidR="00E83A90" w:rsidRPr="006C41B6"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rPr>
                <w:rFonts w:asciiTheme="minorHAnsi" w:hAnsiTheme="minorHAnsi" w:cstheme="minorHAnsi"/>
                <w:b/>
                <w:sz w:val="22"/>
                <w:szCs w:val="22"/>
              </w:rPr>
            </w:pPr>
            <w:r w:rsidRPr="006C41B6">
              <w:rPr>
                <w:rFonts w:asciiTheme="minorHAnsi" w:hAnsiTheme="minorHAnsi" w:cstheme="minorHAnsi"/>
                <w:b/>
                <w:sz w:val="22"/>
                <w:szCs w:val="22"/>
              </w:rPr>
              <w:t>Cyber Risk Attack Across ICT Estate</w:t>
            </w:r>
          </w:p>
          <w:p w:rsidR="00E83A90" w:rsidRPr="00045711" w:rsidRDefault="00E83A90" w:rsidP="00E83A90">
            <w:pPr>
              <w:numPr>
                <w:ilvl w:val="0"/>
                <w:numId w:val="51"/>
              </w:numPr>
              <w:contextualSpacing/>
              <w:rPr>
                <w:rFonts w:asciiTheme="minorHAnsi" w:hAnsiTheme="minorHAnsi" w:cstheme="minorHAnsi"/>
                <w:sz w:val="22"/>
                <w:szCs w:val="22"/>
              </w:rPr>
            </w:pPr>
            <w:r w:rsidRPr="00045711">
              <w:rPr>
                <w:rFonts w:asciiTheme="minorHAnsi" w:hAnsiTheme="minorHAnsi" w:cstheme="minorHAnsi"/>
                <w:sz w:val="22"/>
                <w:szCs w:val="22"/>
              </w:rPr>
              <w:t>Failure to protect the Council against a cyber-attack across the ICT estate</w:t>
            </w:r>
            <w:r w:rsidRPr="00E259C2">
              <w:rPr>
                <w:rFonts w:asciiTheme="minorHAnsi" w:hAnsiTheme="minorHAnsi" w:cstheme="minorHAnsi"/>
                <w:sz w:val="22"/>
                <w:szCs w:val="22"/>
              </w:rPr>
              <w:t xml:space="preserve"> resulting in service disruption and reputational damage.</w:t>
            </w:r>
            <w:r>
              <w:rPr>
                <w:rFonts w:asciiTheme="minorHAnsi" w:hAnsiTheme="minorHAnsi" w:cstheme="minorHAnsi"/>
                <w:sz w:val="22"/>
                <w:szCs w:val="22"/>
              </w:rPr>
              <w:t xml:space="preserve"> </w:t>
            </w:r>
            <w:r w:rsidRPr="00045711">
              <w:rPr>
                <w:rFonts w:asciiTheme="minorHAnsi" w:hAnsiTheme="minorHAnsi" w:cstheme="minorHAnsi"/>
                <w:sz w:val="22"/>
                <w:szCs w:val="22"/>
              </w:rPr>
              <w:t xml:space="preserve">Mitigation </w:t>
            </w:r>
            <w:r>
              <w:rPr>
                <w:rFonts w:asciiTheme="minorHAnsi" w:hAnsiTheme="minorHAnsi" w:cstheme="minorHAnsi"/>
                <w:sz w:val="22"/>
                <w:szCs w:val="22"/>
              </w:rPr>
              <w:t xml:space="preserve">is </w:t>
            </w:r>
            <w:r w:rsidRPr="00045711">
              <w:rPr>
                <w:rFonts w:asciiTheme="minorHAnsi" w:hAnsiTheme="minorHAnsi" w:cstheme="minorHAnsi"/>
                <w:sz w:val="22"/>
                <w:szCs w:val="22"/>
              </w:rPr>
              <w:t>focussed in three areas; software designed to protect, user awareness to reduce complacency and continual updating of systems (patching).</w:t>
            </w:r>
          </w:p>
          <w:p w:rsidR="00E83A90" w:rsidRPr="001411CB" w:rsidRDefault="00E83A90" w:rsidP="001411CB">
            <w:pPr>
              <w:numPr>
                <w:ilvl w:val="0"/>
                <w:numId w:val="51"/>
              </w:numPr>
              <w:contextualSpacing/>
              <w:rPr>
                <w:rFonts w:asciiTheme="minorHAnsi" w:hAnsiTheme="minorHAnsi" w:cstheme="minorHAnsi"/>
                <w:sz w:val="22"/>
                <w:szCs w:val="22"/>
              </w:rPr>
            </w:pPr>
            <w:r w:rsidRPr="00045711">
              <w:rPr>
                <w:rFonts w:asciiTheme="minorHAnsi" w:hAnsiTheme="minorHAnsi" w:cstheme="minorHAnsi"/>
                <w:sz w:val="22"/>
                <w:szCs w:val="22"/>
              </w:rPr>
              <w:t>The Principle of CIA; this provides the basis for the CIA triad – Confidentiality, Integrity and Availability – for data security.</w:t>
            </w:r>
            <w:r>
              <w:rPr>
                <w:rFonts w:asciiTheme="minorHAnsi" w:hAnsiTheme="minorHAnsi" w:cstheme="minorHAnsi"/>
                <w:sz w:val="22"/>
                <w:szCs w:val="22"/>
              </w:rPr>
              <w:t xml:space="preserv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Possible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S</w:t>
            </w:r>
            <w:r>
              <w:rPr>
                <w:rFonts w:asciiTheme="minorHAnsi" w:hAnsiTheme="minorHAnsi" w:cstheme="minorHAnsi"/>
                <w:sz w:val="22"/>
                <w:szCs w:val="22"/>
              </w:rPr>
              <w:t>ubstantial</w:t>
            </w:r>
          </w:p>
        </w:tc>
      </w:tr>
      <w:tr w:rsidR="00E83A90" w:rsidRPr="006C41B6"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pStyle w:val="Normal1"/>
              <w:rPr>
                <w:rFonts w:asciiTheme="minorHAnsi" w:eastAsia="Verdana" w:hAnsiTheme="minorHAnsi" w:cstheme="minorHAnsi"/>
                <w:b/>
                <w:color w:val="1D2828"/>
                <w:sz w:val="22"/>
                <w:szCs w:val="22"/>
              </w:rPr>
            </w:pPr>
            <w:r w:rsidRPr="006C41B6">
              <w:rPr>
                <w:rFonts w:asciiTheme="minorHAnsi" w:eastAsia="Verdana" w:hAnsiTheme="minorHAnsi" w:cstheme="minorHAnsi"/>
                <w:b/>
                <w:color w:val="1D2828"/>
                <w:sz w:val="22"/>
                <w:szCs w:val="22"/>
              </w:rPr>
              <w:t>Southern Gateway Regeneration</w:t>
            </w:r>
          </w:p>
          <w:p w:rsidR="00E83A90" w:rsidRPr="00105CFE" w:rsidRDefault="00E83A90" w:rsidP="00E83A90">
            <w:pPr>
              <w:pStyle w:val="Normal1"/>
              <w:numPr>
                <w:ilvl w:val="0"/>
                <w:numId w:val="51"/>
              </w:numPr>
              <w:rPr>
                <w:rFonts w:asciiTheme="minorHAnsi" w:eastAsia="Verdana" w:hAnsiTheme="minorHAnsi" w:cstheme="minorHAnsi"/>
                <w:color w:val="1D2828"/>
                <w:sz w:val="22"/>
                <w:szCs w:val="22"/>
              </w:rPr>
            </w:pPr>
            <w:r w:rsidRPr="00105CFE">
              <w:rPr>
                <w:rFonts w:asciiTheme="minorHAnsi" w:eastAsia="Verdana" w:hAnsiTheme="minorHAnsi" w:cstheme="minorHAnsi"/>
                <w:color w:val="1D2828"/>
                <w:sz w:val="22"/>
                <w:szCs w:val="22"/>
              </w:rPr>
              <w:t>Failure to deliver the outcomes of the project leading to reputational damage and financial exposure to CDC as lead partner, and potential repayment of the Local Enterprise Partnership (LEP) (and other funding).</w:t>
            </w:r>
          </w:p>
          <w:p w:rsidR="00E83A90" w:rsidRPr="00105CFE" w:rsidRDefault="00E83A90" w:rsidP="00E83A90">
            <w:pPr>
              <w:pStyle w:val="Normal1"/>
              <w:numPr>
                <w:ilvl w:val="0"/>
                <w:numId w:val="51"/>
              </w:numPr>
              <w:rPr>
                <w:rFonts w:asciiTheme="minorHAnsi" w:eastAsia="Verdana" w:hAnsiTheme="minorHAnsi" w:cstheme="minorHAnsi"/>
                <w:color w:val="1D2828"/>
                <w:sz w:val="22"/>
                <w:szCs w:val="22"/>
              </w:rPr>
            </w:pPr>
            <w:r w:rsidRPr="00105CFE">
              <w:rPr>
                <w:rFonts w:asciiTheme="minorHAnsi" w:eastAsia="Verdana" w:hAnsiTheme="minorHAnsi" w:cstheme="minorHAnsi"/>
                <w:color w:val="1D2828"/>
                <w:sz w:val="22"/>
                <w:szCs w:val="22"/>
              </w:rPr>
              <w:t xml:space="preserve">Lack of engagement or buy in by other key partners, leading to CDC being isolated and unable to deliver </w:t>
            </w:r>
            <w:r w:rsidRPr="00105CFE">
              <w:rPr>
                <w:rFonts w:asciiTheme="minorHAnsi" w:eastAsia="Verdana" w:hAnsiTheme="minorHAnsi" w:cstheme="minorHAnsi"/>
                <w:color w:val="1D2828"/>
                <w:sz w:val="22"/>
                <w:szCs w:val="22"/>
              </w:rPr>
              <w:lastRenderedPageBreak/>
              <w:t>outcomes.</w:t>
            </w:r>
          </w:p>
          <w:p w:rsidR="00E83A90" w:rsidRPr="001411CB" w:rsidRDefault="00E83A90" w:rsidP="001411CB">
            <w:pPr>
              <w:pStyle w:val="Normal1"/>
              <w:numPr>
                <w:ilvl w:val="0"/>
                <w:numId w:val="51"/>
              </w:numPr>
              <w:rPr>
                <w:rFonts w:asciiTheme="minorHAnsi" w:eastAsia="Verdana" w:hAnsiTheme="minorHAnsi" w:cstheme="minorHAnsi"/>
                <w:color w:val="1D2828"/>
                <w:sz w:val="22"/>
                <w:szCs w:val="22"/>
              </w:rPr>
            </w:pPr>
            <w:r w:rsidRPr="00105CFE">
              <w:rPr>
                <w:rFonts w:asciiTheme="minorHAnsi" w:eastAsia="Verdana" w:hAnsiTheme="minorHAnsi" w:cstheme="minorHAnsi"/>
                <w:color w:val="1D2828"/>
                <w:sz w:val="22"/>
                <w:szCs w:val="22"/>
              </w:rPr>
              <w:t>Masterplan becomes commercially unviable due to certain market sectors' changes including demands for community/public realm use types.</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lastRenderedPageBreak/>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S</w:t>
            </w:r>
            <w:r>
              <w:rPr>
                <w:rFonts w:asciiTheme="minorHAnsi" w:hAnsiTheme="minorHAnsi" w:cstheme="minorHAnsi"/>
                <w:sz w:val="22"/>
                <w:szCs w:val="22"/>
              </w:rPr>
              <w:t>ubstantial</w:t>
            </w:r>
          </w:p>
        </w:tc>
      </w:tr>
      <w:tr w:rsidR="00E83A90" w:rsidRPr="006C41B6"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pStyle w:val="Normal1"/>
              <w:rPr>
                <w:rFonts w:asciiTheme="minorHAnsi" w:eastAsia="Verdana" w:hAnsiTheme="minorHAnsi" w:cstheme="minorHAnsi"/>
                <w:b/>
                <w:color w:val="1D2828"/>
                <w:sz w:val="22"/>
                <w:szCs w:val="22"/>
              </w:rPr>
            </w:pPr>
            <w:r w:rsidRPr="006C41B6">
              <w:rPr>
                <w:rFonts w:asciiTheme="minorHAnsi" w:eastAsia="Verdana" w:hAnsiTheme="minorHAnsi" w:cstheme="minorHAnsi"/>
                <w:b/>
                <w:color w:val="1D2828"/>
                <w:sz w:val="22"/>
                <w:szCs w:val="22"/>
              </w:rPr>
              <w:t>Local Plan</w:t>
            </w:r>
          </w:p>
          <w:p w:rsidR="00E83A90" w:rsidRPr="008F0CF4" w:rsidRDefault="00E83A90" w:rsidP="00E83A90">
            <w:pPr>
              <w:pStyle w:val="Normal1"/>
              <w:numPr>
                <w:ilvl w:val="0"/>
                <w:numId w:val="51"/>
              </w:numPr>
              <w:rPr>
                <w:rFonts w:asciiTheme="minorHAnsi" w:eastAsia="Verdana" w:hAnsiTheme="minorHAnsi" w:cstheme="minorHAnsi"/>
                <w:b/>
                <w:color w:val="1D2828"/>
                <w:sz w:val="22"/>
                <w:szCs w:val="22"/>
              </w:rPr>
            </w:pPr>
            <w:r w:rsidRPr="004545CA">
              <w:rPr>
                <w:rFonts w:asciiTheme="minorHAnsi" w:eastAsia="Verdana" w:hAnsiTheme="minorHAnsi" w:cstheme="minorHAnsi"/>
                <w:color w:val="1D2828"/>
                <w:sz w:val="22"/>
                <w:szCs w:val="22"/>
              </w:rPr>
              <w:t>Failure to complete Local Plan Review and achieve an adopted Local Plan by 202</w:t>
            </w:r>
            <w:r>
              <w:rPr>
                <w:rFonts w:asciiTheme="minorHAnsi" w:eastAsia="Verdana" w:hAnsiTheme="minorHAnsi" w:cstheme="minorHAnsi"/>
                <w:color w:val="1D2828"/>
                <w:sz w:val="22"/>
                <w:szCs w:val="22"/>
              </w:rPr>
              <w:t>0,</w:t>
            </w:r>
            <w:r w:rsidRPr="004545CA">
              <w:rPr>
                <w:rFonts w:asciiTheme="minorHAnsi" w:eastAsia="Verdana" w:hAnsiTheme="minorHAnsi" w:cstheme="minorHAnsi"/>
                <w:color w:val="1D2828"/>
                <w:sz w:val="22"/>
                <w:szCs w:val="22"/>
              </w:rPr>
              <w:t xml:space="preserve"> leading to a loss of control over the location and form of development with decisions being made through the application and appeal process</w:t>
            </w:r>
            <w:r>
              <w:rPr>
                <w:rFonts w:asciiTheme="minorHAnsi" w:eastAsia="Verdana" w:hAnsiTheme="minorHAnsi" w:cstheme="minorHAnsi"/>
                <w:color w:val="1D2828"/>
                <w:sz w:val="22"/>
                <w:szCs w:val="22"/>
              </w:rPr>
              <w:t>.</w:t>
            </w:r>
          </w:p>
          <w:p w:rsidR="00E83A90" w:rsidRPr="008F0CF4" w:rsidRDefault="00E83A90" w:rsidP="00E83A90">
            <w:pPr>
              <w:pStyle w:val="Normal1"/>
              <w:numPr>
                <w:ilvl w:val="0"/>
                <w:numId w:val="51"/>
              </w:numPr>
              <w:rPr>
                <w:rFonts w:asciiTheme="minorHAnsi" w:eastAsia="Verdana" w:hAnsiTheme="minorHAnsi" w:cstheme="minorHAnsi"/>
                <w:b/>
                <w:color w:val="1D2828"/>
                <w:sz w:val="22"/>
                <w:szCs w:val="22"/>
              </w:rPr>
            </w:pPr>
            <w:r>
              <w:rPr>
                <w:rFonts w:asciiTheme="minorHAnsi" w:eastAsia="Verdana" w:hAnsiTheme="minorHAnsi" w:cstheme="minorHAnsi"/>
                <w:color w:val="1D2828"/>
                <w:sz w:val="22"/>
                <w:szCs w:val="22"/>
              </w:rPr>
              <w:t>Reduction in the ability to plan and co-ordinate development with the provision of infrastructure.</w:t>
            </w:r>
          </w:p>
          <w:p w:rsidR="00E83A90" w:rsidRPr="006C41B6" w:rsidRDefault="00E83A90" w:rsidP="00E83A90">
            <w:pPr>
              <w:pStyle w:val="Normal1"/>
              <w:numPr>
                <w:ilvl w:val="0"/>
                <w:numId w:val="51"/>
              </w:numPr>
              <w:rPr>
                <w:rFonts w:asciiTheme="minorHAnsi" w:eastAsia="Verdana" w:hAnsiTheme="minorHAnsi" w:cstheme="minorHAnsi"/>
                <w:b/>
                <w:color w:val="1D2828"/>
                <w:sz w:val="22"/>
                <w:szCs w:val="22"/>
              </w:rPr>
            </w:pPr>
            <w:r>
              <w:rPr>
                <w:rFonts w:asciiTheme="minorHAnsi" w:eastAsia="Verdana" w:hAnsiTheme="minorHAnsi" w:cstheme="minorHAnsi"/>
                <w:color w:val="1D2828"/>
                <w:sz w:val="22"/>
                <w:szCs w:val="22"/>
              </w:rPr>
              <w:t>Failure in the Council’s statutory duties as the Local Planning Authority leading to reputational damage.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 xml:space="preserve">Almost Certain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sidRPr="006C41B6">
              <w:rPr>
                <w:rFonts w:asciiTheme="minorHAnsi" w:hAnsiTheme="minorHAnsi" w:cstheme="minorHAnsi"/>
                <w:sz w:val="22"/>
                <w:szCs w:val="22"/>
              </w:rPr>
              <w:t>S</w:t>
            </w:r>
            <w:r>
              <w:rPr>
                <w:rFonts w:asciiTheme="minorHAnsi" w:hAnsiTheme="minorHAnsi" w:cstheme="minorHAnsi"/>
                <w:sz w:val="22"/>
                <w:szCs w:val="22"/>
              </w:rPr>
              <w:t>ubstantial</w:t>
            </w:r>
          </w:p>
        </w:tc>
      </w:tr>
      <w:tr w:rsidR="00E83A90" w:rsidRPr="006C41B6"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Default="00E83A90" w:rsidP="00E83A90">
            <w:pPr>
              <w:rPr>
                <w:rFonts w:asciiTheme="minorHAnsi" w:eastAsia="Verdana" w:hAnsiTheme="minorHAnsi" w:cstheme="minorHAnsi"/>
                <w:b/>
                <w:color w:val="1D2828"/>
                <w:sz w:val="22"/>
                <w:szCs w:val="22"/>
              </w:rPr>
            </w:pPr>
            <w:r>
              <w:rPr>
                <w:rFonts w:asciiTheme="minorHAnsi" w:eastAsia="Verdana" w:hAnsiTheme="minorHAnsi" w:cstheme="minorHAnsi"/>
                <w:b/>
                <w:color w:val="1D2828"/>
                <w:sz w:val="22"/>
                <w:szCs w:val="22"/>
              </w:rPr>
              <w:t>Brexit</w:t>
            </w:r>
          </w:p>
          <w:p w:rsidR="00E83A90" w:rsidRPr="006C2455" w:rsidRDefault="00E83A90" w:rsidP="00E83A90">
            <w:pPr>
              <w:pStyle w:val="ListParagraph"/>
              <w:numPr>
                <w:ilvl w:val="0"/>
                <w:numId w:val="51"/>
              </w:numPr>
              <w:rPr>
                <w:rFonts w:asciiTheme="minorHAnsi" w:eastAsia="Verdana" w:hAnsiTheme="minorHAnsi" w:cstheme="minorHAnsi"/>
                <w:color w:val="1D2828"/>
                <w:szCs w:val="22"/>
              </w:rPr>
            </w:pPr>
            <w:r w:rsidRPr="006C2455">
              <w:rPr>
                <w:rFonts w:asciiTheme="minorHAnsi" w:eastAsia="Verdana" w:hAnsiTheme="minorHAnsi" w:cstheme="minorHAnsi"/>
                <w:color w:val="1D2828"/>
                <w:szCs w:val="22"/>
              </w:rPr>
              <w:t xml:space="preserve">The risks of </w:t>
            </w:r>
            <w:r>
              <w:rPr>
                <w:rFonts w:asciiTheme="minorHAnsi" w:eastAsia="Verdana" w:hAnsiTheme="minorHAnsi" w:cstheme="minorHAnsi"/>
                <w:color w:val="1D2828"/>
                <w:szCs w:val="22"/>
              </w:rPr>
              <w:t>a “no deal” Brexit scenario and its impact on the council, its services and communities.</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Unlikely</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Substantial</w:t>
            </w:r>
          </w:p>
        </w:tc>
      </w:tr>
      <w:tr w:rsidR="00E83A90" w:rsidRPr="006C41B6"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Default="00E83A90" w:rsidP="00E83A90">
            <w:pPr>
              <w:rPr>
                <w:rFonts w:asciiTheme="minorHAnsi" w:eastAsia="Verdana" w:hAnsiTheme="minorHAnsi" w:cstheme="minorHAnsi"/>
                <w:b/>
                <w:color w:val="1D2828"/>
                <w:sz w:val="22"/>
                <w:szCs w:val="22"/>
              </w:rPr>
            </w:pPr>
            <w:r>
              <w:rPr>
                <w:rFonts w:asciiTheme="minorHAnsi" w:eastAsia="Verdana" w:hAnsiTheme="minorHAnsi" w:cstheme="minorHAnsi"/>
                <w:b/>
                <w:color w:val="1D2828"/>
                <w:sz w:val="22"/>
                <w:szCs w:val="22"/>
              </w:rPr>
              <w:t>Changing Use of the High Street in City and Rural Towns</w:t>
            </w:r>
          </w:p>
          <w:p w:rsidR="00E83A90" w:rsidRPr="00C87B9B" w:rsidRDefault="00E83A90" w:rsidP="00E83A90">
            <w:pPr>
              <w:pStyle w:val="ListParagraph"/>
              <w:numPr>
                <w:ilvl w:val="0"/>
                <w:numId w:val="51"/>
              </w:numPr>
              <w:rPr>
                <w:rFonts w:asciiTheme="minorHAnsi" w:eastAsia="Verdana" w:hAnsiTheme="minorHAnsi" w:cstheme="minorHAnsi"/>
                <w:b/>
                <w:color w:val="1D2828"/>
                <w:szCs w:val="22"/>
              </w:rPr>
            </w:pPr>
            <w:r w:rsidRPr="00C87B9B">
              <w:rPr>
                <w:rFonts w:asciiTheme="minorHAnsi" w:eastAsia="Verdana" w:hAnsiTheme="minorHAnsi" w:cstheme="minorHAnsi"/>
                <w:color w:val="1D2828"/>
                <w:szCs w:val="22"/>
              </w:rPr>
              <w:t xml:space="preserve">Risk to the city and rural towns as a result of the changing use of the high street impacting their sustainability and vitality. </w:t>
            </w:r>
          </w:p>
          <w:p w:rsidR="00E83A90" w:rsidRPr="00C87B9B" w:rsidRDefault="00E83A90" w:rsidP="00E83A90">
            <w:pPr>
              <w:pStyle w:val="ListParagraph"/>
              <w:numPr>
                <w:ilvl w:val="0"/>
                <w:numId w:val="51"/>
              </w:numPr>
              <w:rPr>
                <w:rFonts w:asciiTheme="minorHAnsi" w:eastAsia="Verdana" w:hAnsiTheme="minorHAnsi" w:cstheme="minorHAnsi"/>
                <w:color w:val="1D2828"/>
                <w:szCs w:val="22"/>
              </w:rPr>
            </w:pPr>
            <w:r w:rsidRPr="00C87B9B">
              <w:rPr>
                <w:rFonts w:asciiTheme="minorHAnsi" w:eastAsia="Verdana" w:hAnsiTheme="minorHAnsi" w:cstheme="minorHAnsi"/>
                <w:color w:val="1D2828"/>
                <w:szCs w:val="22"/>
              </w:rPr>
              <w:t>Failure to adapt to the changing use of the high street by consumers and businesses, impacting the local economy, and the wider financial impact on the council as a result of reduced income streams from car parks, business rates etc.</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Moderate</w:t>
            </w:r>
          </w:p>
        </w:tc>
      </w:tr>
      <w:tr w:rsidR="00E83A90" w:rsidRPr="006C41B6"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DB7453" w:rsidRDefault="00E83A90" w:rsidP="00E83A90">
            <w:pPr>
              <w:pStyle w:val="ListParagraph"/>
              <w:ind w:left="0"/>
              <w:rPr>
                <w:rFonts w:asciiTheme="minorHAnsi" w:eastAsia="Verdana" w:hAnsiTheme="minorHAnsi" w:cstheme="minorHAnsi"/>
                <w:b/>
                <w:color w:val="1D2828"/>
                <w:szCs w:val="22"/>
              </w:rPr>
            </w:pPr>
            <w:r w:rsidRPr="00DB7453">
              <w:rPr>
                <w:rFonts w:asciiTheme="minorHAnsi" w:eastAsia="Verdana" w:hAnsiTheme="minorHAnsi" w:cstheme="minorHAnsi"/>
                <w:b/>
                <w:color w:val="1D2828"/>
                <w:szCs w:val="22"/>
              </w:rPr>
              <w:t>Criminal Finances Act – Procedural failures facilitating tax evasion</w:t>
            </w:r>
          </w:p>
          <w:p w:rsidR="00E83A90" w:rsidRPr="006C2455" w:rsidRDefault="00E83A90" w:rsidP="00E83A90">
            <w:pPr>
              <w:pStyle w:val="Normal1"/>
              <w:numPr>
                <w:ilvl w:val="0"/>
                <w:numId w:val="51"/>
              </w:numPr>
              <w:rPr>
                <w:rFonts w:asciiTheme="minorHAnsi" w:eastAsia="Verdana" w:hAnsiTheme="minorHAnsi" w:cstheme="minorHAnsi"/>
                <w:color w:val="1D2828"/>
                <w:szCs w:val="22"/>
              </w:rPr>
            </w:pPr>
            <w:r>
              <w:rPr>
                <w:rFonts w:ascii="Verdana" w:eastAsia="Verdana" w:hAnsi="Verdana" w:cs="Verdana"/>
                <w:color w:val="1D2828"/>
                <w:sz w:val="18"/>
              </w:rPr>
              <w:t>Failure of governance procedures and controls which allow or facilitate tax evasion and risk committing a corporate criminal offence under the Criminal Finances Act 2017.</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 xml:space="preserve">Possible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Pr="006C41B6" w:rsidRDefault="00E83A90" w:rsidP="00E83A90">
            <w:pPr>
              <w:jc w:val="center"/>
              <w:rPr>
                <w:rFonts w:asciiTheme="minorHAnsi" w:hAnsiTheme="minorHAnsi" w:cstheme="minorHAnsi"/>
                <w:sz w:val="22"/>
                <w:szCs w:val="22"/>
              </w:rPr>
            </w:pPr>
            <w:r>
              <w:rPr>
                <w:rFonts w:asciiTheme="minorHAnsi" w:hAnsiTheme="minorHAnsi" w:cstheme="minorHAnsi"/>
                <w:sz w:val="22"/>
                <w:szCs w:val="22"/>
              </w:rPr>
              <w:t>Moderate</w:t>
            </w:r>
          </w:p>
        </w:tc>
      </w:tr>
      <w:tr w:rsidR="00E83A90" w:rsidRPr="006C41B6"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Default="00E83A90" w:rsidP="00E83A90">
            <w:pPr>
              <w:pStyle w:val="ListParagraph"/>
              <w:ind w:left="0"/>
              <w:rPr>
                <w:rFonts w:asciiTheme="minorHAnsi" w:eastAsia="Verdana" w:hAnsiTheme="minorHAnsi" w:cstheme="minorHAnsi"/>
                <w:b/>
                <w:color w:val="1D2828"/>
                <w:szCs w:val="22"/>
              </w:rPr>
            </w:pPr>
            <w:proofErr w:type="spellStart"/>
            <w:r>
              <w:rPr>
                <w:rFonts w:asciiTheme="minorHAnsi" w:eastAsia="Verdana" w:hAnsiTheme="minorHAnsi" w:cstheme="minorHAnsi"/>
                <w:b/>
                <w:color w:val="1D2828"/>
                <w:szCs w:val="22"/>
              </w:rPr>
              <w:t>Covid</w:t>
            </w:r>
            <w:proofErr w:type="spellEnd"/>
            <w:r>
              <w:rPr>
                <w:rFonts w:asciiTheme="minorHAnsi" w:eastAsia="Verdana" w:hAnsiTheme="minorHAnsi" w:cstheme="minorHAnsi"/>
                <w:b/>
                <w:color w:val="1D2828"/>
                <w:szCs w:val="22"/>
              </w:rPr>
              <w:t xml:space="preserve"> – 19 (Coronavirus)</w:t>
            </w:r>
          </w:p>
          <w:p w:rsidR="00E83A90" w:rsidRDefault="00E83A90" w:rsidP="00E83A90">
            <w:pPr>
              <w:pStyle w:val="ListParagraph"/>
              <w:numPr>
                <w:ilvl w:val="0"/>
                <w:numId w:val="51"/>
              </w:numPr>
              <w:suppressAutoHyphens w:val="0"/>
              <w:rPr>
                <w:rFonts w:ascii="Verdana" w:eastAsia="Verdana" w:hAnsi="Verdana" w:cs="Verdana"/>
                <w:color w:val="1D2828"/>
                <w:sz w:val="18"/>
                <w:szCs w:val="24"/>
                <w:lang w:eastAsia="en-GB"/>
              </w:rPr>
            </w:pPr>
            <w:r w:rsidRPr="00DB7453">
              <w:rPr>
                <w:rFonts w:ascii="Verdana" w:eastAsia="Verdana" w:hAnsi="Verdana" w:cs="Verdana"/>
                <w:color w:val="1D2828"/>
                <w:sz w:val="18"/>
                <w:szCs w:val="24"/>
                <w:lang w:eastAsia="en-GB"/>
              </w:rPr>
              <w:t xml:space="preserve">The risk of loss of staff and the impact on our ability to operate council services. </w:t>
            </w:r>
          </w:p>
          <w:p w:rsidR="00E83A90" w:rsidRPr="00DB7453" w:rsidRDefault="00E83A90" w:rsidP="00E83A90">
            <w:pPr>
              <w:pStyle w:val="ListParagraph"/>
              <w:numPr>
                <w:ilvl w:val="0"/>
                <w:numId w:val="51"/>
              </w:numPr>
              <w:suppressAutoHyphens w:val="0"/>
              <w:rPr>
                <w:rFonts w:asciiTheme="minorHAnsi" w:eastAsia="Verdana" w:hAnsiTheme="minorHAnsi" w:cstheme="minorHAnsi"/>
                <w:color w:val="1D2828"/>
                <w:szCs w:val="22"/>
              </w:rPr>
            </w:pPr>
            <w:r w:rsidRPr="00DB7453">
              <w:rPr>
                <w:rFonts w:ascii="Verdana" w:eastAsia="Verdana" w:hAnsi="Verdana" w:cs="Verdana"/>
                <w:color w:val="1D2828"/>
                <w:sz w:val="18"/>
                <w:szCs w:val="24"/>
                <w:lang w:eastAsia="en-GB"/>
              </w:rPr>
              <w:t>Failure to comply with the Council’s legal and moral duties. Reputational damage.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Default="00E83A90" w:rsidP="00E83A90">
            <w:pPr>
              <w:jc w:val="center"/>
              <w:rPr>
                <w:rFonts w:asciiTheme="minorHAnsi" w:hAnsiTheme="minorHAnsi" w:cstheme="minorHAnsi"/>
                <w:sz w:val="22"/>
                <w:szCs w:val="22"/>
              </w:rPr>
            </w:pPr>
            <w:r>
              <w:rPr>
                <w:rFonts w:asciiTheme="minorHAnsi" w:hAnsiTheme="minorHAnsi" w:cstheme="minorHAnsi"/>
                <w:sz w:val="22"/>
                <w:szCs w:val="22"/>
              </w:rPr>
              <w:t>Almost Certain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E83A90" w:rsidRDefault="00E83A90" w:rsidP="00E83A90">
            <w:pPr>
              <w:jc w:val="center"/>
              <w:rPr>
                <w:rFonts w:asciiTheme="minorHAnsi" w:hAnsiTheme="minorHAnsi" w:cstheme="minorHAnsi"/>
                <w:sz w:val="22"/>
                <w:szCs w:val="22"/>
              </w:rPr>
            </w:pPr>
            <w:r>
              <w:rPr>
                <w:rFonts w:asciiTheme="minorHAnsi" w:hAnsiTheme="minorHAnsi" w:cstheme="minorHAnsi"/>
                <w:sz w:val="22"/>
                <w:szCs w:val="22"/>
              </w:rPr>
              <w:t>Substantial</w:t>
            </w:r>
          </w:p>
        </w:tc>
      </w:tr>
    </w:tbl>
    <w:p w:rsidR="00E83A90" w:rsidRDefault="00E83A90" w:rsidP="00E83A90">
      <w:pPr>
        <w:tabs>
          <w:tab w:val="left" w:pos="-1440"/>
          <w:tab w:val="left" w:pos="-720"/>
          <w:tab w:val="decimal" w:pos="0"/>
        </w:tabs>
        <w:rPr>
          <w:rFonts w:asciiTheme="minorHAnsi" w:hAnsiTheme="minorHAnsi" w:cstheme="minorHAnsi"/>
          <w:b/>
          <w:bCs/>
          <w:sz w:val="22"/>
          <w:szCs w:val="22"/>
        </w:rPr>
      </w:pPr>
    </w:p>
    <w:p w:rsidR="00E83A90" w:rsidRDefault="00E83A90" w:rsidP="00E83A90">
      <w:pPr>
        <w:pStyle w:val="ListParagraph"/>
        <w:numPr>
          <w:ilvl w:val="0"/>
          <w:numId w:val="50"/>
        </w:numPr>
        <w:tabs>
          <w:tab w:val="left" w:pos="-1440"/>
          <w:tab w:val="left" w:pos="-720"/>
          <w:tab w:val="decimal" w:pos="0"/>
        </w:tabs>
        <w:rPr>
          <w:rFonts w:asciiTheme="minorHAnsi" w:hAnsiTheme="minorHAnsi" w:cstheme="minorHAnsi"/>
          <w:b/>
          <w:bCs/>
          <w:szCs w:val="22"/>
        </w:rPr>
      </w:pPr>
      <w:r>
        <w:rPr>
          <w:rFonts w:asciiTheme="minorHAnsi" w:hAnsiTheme="minorHAnsi" w:cstheme="minorHAnsi"/>
          <w:b/>
          <w:bCs/>
          <w:szCs w:val="22"/>
        </w:rPr>
        <w:t xml:space="preserve">Impact of Covid-19 and the Way Forward </w:t>
      </w:r>
    </w:p>
    <w:p w:rsidR="00E83A90" w:rsidRPr="000150E2" w:rsidRDefault="00E83A90" w:rsidP="00E83A90">
      <w:pPr>
        <w:pStyle w:val="ListParagraph"/>
        <w:tabs>
          <w:tab w:val="left" w:pos="-1440"/>
          <w:tab w:val="left" w:pos="-720"/>
          <w:tab w:val="decimal" w:pos="0"/>
        </w:tabs>
        <w:ind w:left="360"/>
        <w:rPr>
          <w:rFonts w:asciiTheme="minorHAnsi" w:hAnsiTheme="minorHAnsi" w:cstheme="minorHAnsi"/>
          <w:b/>
          <w:bCs/>
          <w:szCs w:val="22"/>
        </w:rPr>
      </w:pPr>
    </w:p>
    <w:p w:rsidR="00E83A90" w:rsidRPr="00D21B96" w:rsidRDefault="00E83A90" w:rsidP="00E83A90">
      <w:pPr>
        <w:tabs>
          <w:tab w:val="left" w:pos="-1440"/>
          <w:tab w:val="left" w:pos="-720"/>
          <w:tab w:val="decimal" w:pos="0"/>
        </w:tabs>
        <w:rPr>
          <w:rFonts w:asciiTheme="minorHAnsi" w:hAnsiTheme="minorHAnsi" w:cstheme="minorHAnsi"/>
          <w:bCs/>
          <w:sz w:val="22"/>
          <w:szCs w:val="22"/>
        </w:rPr>
      </w:pPr>
      <w:r w:rsidRPr="00D21B96">
        <w:rPr>
          <w:rFonts w:asciiTheme="minorHAnsi" w:hAnsiTheme="minorHAnsi" w:cstheme="minorHAnsi"/>
          <w:bCs/>
          <w:sz w:val="22"/>
          <w:szCs w:val="22"/>
        </w:rPr>
        <w:t xml:space="preserve">The impact on </w:t>
      </w:r>
      <w:r>
        <w:rPr>
          <w:rFonts w:asciiTheme="minorHAnsi" w:hAnsiTheme="minorHAnsi" w:cstheme="minorHAnsi"/>
          <w:bCs/>
          <w:sz w:val="22"/>
          <w:szCs w:val="22"/>
        </w:rPr>
        <w:t xml:space="preserve">the Council’s </w:t>
      </w:r>
      <w:r w:rsidRPr="00D21B96">
        <w:rPr>
          <w:rFonts w:asciiTheme="minorHAnsi" w:hAnsiTheme="minorHAnsi" w:cstheme="minorHAnsi"/>
          <w:bCs/>
          <w:sz w:val="22"/>
          <w:szCs w:val="22"/>
        </w:rPr>
        <w:t>financial position is significant. The government have so far announced two tranches of financial a</w:t>
      </w:r>
      <w:r>
        <w:rPr>
          <w:rFonts w:asciiTheme="minorHAnsi" w:hAnsiTheme="minorHAnsi" w:cstheme="minorHAnsi"/>
          <w:bCs/>
          <w:sz w:val="22"/>
          <w:szCs w:val="22"/>
        </w:rPr>
        <w:t>ssistance for Local Government. T</w:t>
      </w:r>
      <w:r w:rsidRPr="00D21B96">
        <w:rPr>
          <w:rFonts w:asciiTheme="minorHAnsi" w:hAnsiTheme="minorHAnsi" w:cstheme="minorHAnsi"/>
          <w:bCs/>
          <w:sz w:val="22"/>
          <w:szCs w:val="22"/>
        </w:rPr>
        <w:t>he</w:t>
      </w:r>
      <w:r>
        <w:rPr>
          <w:rFonts w:asciiTheme="minorHAnsi" w:hAnsiTheme="minorHAnsi" w:cstheme="minorHAnsi"/>
          <w:bCs/>
          <w:sz w:val="22"/>
          <w:szCs w:val="22"/>
        </w:rPr>
        <w:t xml:space="preserve"> Council received £40k in the </w:t>
      </w:r>
      <w:r w:rsidRPr="00D21B96">
        <w:rPr>
          <w:rFonts w:asciiTheme="minorHAnsi" w:hAnsiTheme="minorHAnsi" w:cstheme="minorHAnsi"/>
          <w:bCs/>
          <w:sz w:val="22"/>
          <w:szCs w:val="22"/>
        </w:rPr>
        <w:t xml:space="preserve">first tranche and </w:t>
      </w:r>
      <w:r>
        <w:rPr>
          <w:rFonts w:asciiTheme="minorHAnsi" w:hAnsiTheme="minorHAnsi" w:cstheme="minorHAnsi"/>
          <w:bCs/>
          <w:sz w:val="22"/>
          <w:szCs w:val="22"/>
        </w:rPr>
        <w:t xml:space="preserve">£1.211m in </w:t>
      </w:r>
      <w:r w:rsidRPr="00D21B96">
        <w:rPr>
          <w:rFonts w:asciiTheme="minorHAnsi" w:hAnsiTheme="minorHAnsi" w:cstheme="minorHAnsi"/>
          <w:bCs/>
          <w:sz w:val="22"/>
          <w:szCs w:val="22"/>
        </w:rPr>
        <w:t xml:space="preserve">the second. It is unknown whether further funding will be made available, but it is unlikely to meet our expected shortfall in income </w:t>
      </w:r>
      <w:r>
        <w:rPr>
          <w:rFonts w:asciiTheme="minorHAnsi" w:hAnsiTheme="minorHAnsi" w:cstheme="minorHAnsi"/>
          <w:bCs/>
          <w:sz w:val="22"/>
          <w:szCs w:val="22"/>
        </w:rPr>
        <w:t>in 2020-21</w:t>
      </w:r>
      <w:r w:rsidRPr="00D21B96">
        <w:rPr>
          <w:rFonts w:asciiTheme="minorHAnsi" w:hAnsiTheme="minorHAnsi" w:cstheme="minorHAnsi"/>
          <w:bCs/>
          <w:sz w:val="22"/>
          <w:szCs w:val="22"/>
        </w:rPr>
        <w:t>, and will, in any</w:t>
      </w:r>
      <w:r>
        <w:rPr>
          <w:rFonts w:asciiTheme="minorHAnsi" w:hAnsiTheme="minorHAnsi" w:cstheme="minorHAnsi"/>
          <w:bCs/>
          <w:sz w:val="22"/>
          <w:szCs w:val="22"/>
        </w:rPr>
        <w:t xml:space="preserve"> event, be one</w:t>
      </w:r>
      <w:r w:rsidR="005B23A5">
        <w:rPr>
          <w:rFonts w:asciiTheme="minorHAnsi" w:hAnsiTheme="minorHAnsi" w:cstheme="minorHAnsi"/>
          <w:bCs/>
          <w:sz w:val="22"/>
          <w:szCs w:val="22"/>
        </w:rPr>
        <w:t xml:space="preserve"> </w:t>
      </w:r>
      <w:r>
        <w:rPr>
          <w:rFonts w:asciiTheme="minorHAnsi" w:hAnsiTheme="minorHAnsi" w:cstheme="minorHAnsi"/>
          <w:bCs/>
          <w:sz w:val="22"/>
          <w:szCs w:val="22"/>
        </w:rPr>
        <w:t>off funding only and the council c</w:t>
      </w:r>
      <w:r w:rsidRPr="00D21B96">
        <w:rPr>
          <w:rFonts w:asciiTheme="minorHAnsi" w:hAnsiTheme="minorHAnsi" w:cstheme="minorHAnsi"/>
          <w:bCs/>
          <w:sz w:val="22"/>
          <w:szCs w:val="22"/>
        </w:rPr>
        <w:t xml:space="preserve">annot rely on government meeting all of </w:t>
      </w:r>
      <w:r>
        <w:rPr>
          <w:rFonts w:asciiTheme="minorHAnsi" w:hAnsiTheme="minorHAnsi" w:cstheme="minorHAnsi"/>
          <w:bCs/>
          <w:sz w:val="22"/>
          <w:szCs w:val="22"/>
        </w:rPr>
        <w:t xml:space="preserve">the </w:t>
      </w:r>
      <w:r w:rsidRPr="00D21B96">
        <w:rPr>
          <w:rFonts w:asciiTheme="minorHAnsi" w:hAnsiTheme="minorHAnsi" w:cstheme="minorHAnsi"/>
          <w:bCs/>
          <w:sz w:val="22"/>
          <w:szCs w:val="22"/>
        </w:rPr>
        <w:t>anticipated financial pressures.</w:t>
      </w:r>
    </w:p>
    <w:p w:rsidR="00E83A90" w:rsidRPr="00D21B96" w:rsidRDefault="00E83A90" w:rsidP="00E83A90">
      <w:pPr>
        <w:tabs>
          <w:tab w:val="left" w:pos="-1440"/>
          <w:tab w:val="left" w:pos="-720"/>
          <w:tab w:val="decimal" w:pos="0"/>
        </w:tabs>
        <w:rPr>
          <w:rFonts w:asciiTheme="minorHAnsi" w:hAnsiTheme="minorHAnsi" w:cstheme="minorHAnsi"/>
          <w:bCs/>
          <w:sz w:val="22"/>
          <w:szCs w:val="22"/>
        </w:rPr>
      </w:pPr>
    </w:p>
    <w:p w:rsidR="00E83A90" w:rsidRDefault="00E83A90" w:rsidP="00E83A90">
      <w:pPr>
        <w:tabs>
          <w:tab w:val="left" w:pos="-1440"/>
          <w:tab w:val="left" w:pos="-720"/>
          <w:tab w:val="decimal" w:pos="0"/>
        </w:tabs>
        <w:rPr>
          <w:rFonts w:asciiTheme="minorHAnsi" w:hAnsiTheme="minorHAnsi" w:cstheme="minorHAnsi"/>
          <w:bCs/>
          <w:sz w:val="22"/>
          <w:szCs w:val="22"/>
        </w:rPr>
      </w:pPr>
      <w:r w:rsidRPr="00D21B96">
        <w:rPr>
          <w:rFonts w:asciiTheme="minorHAnsi" w:hAnsiTheme="minorHAnsi" w:cstheme="minorHAnsi"/>
          <w:bCs/>
          <w:sz w:val="22"/>
          <w:szCs w:val="22"/>
        </w:rPr>
        <w:t>In terms of cash</w:t>
      </w:r>
      <w:r>
        <w:rPr>
          <w:rFonts w:asciiTheme="minorHAnsi" w:hAnsiTheme="minorHAnsi" w:cstheme="minorHAnsi"/>
          <w:bCs/>
          <w:sz w:val="22"/>
          <w:szCs w:val="22"/>
        </w:rPr>
        <w:t xml:space="preserve"> </w:t>
      </w:r>
      <w:r w:rsidRPr="00D21B96">
        <w:rPr>
          <w:rFonts w:asciiTheme="minorHAnsi" w:hAnsiTheme="minorHAnsi" w:cstheme="minorHAnsi"/>
          <w:bCs/>
          <w:sz w:val="22"/>
          <w:szCs w:val="22"/>
        </w:rPr>
        <w:t>flow the government have provided more assistance by releasing up front S31 grants that were due to be paid to us during</w:t>
      </w:r>
      <w:r>
        <w:rPr>
          <w:rFonts w:asciiTheme="minorHAnsi" w:hAnsiTheme="minorHAnsi" w:cstheme="minorHAnsi"/>
          <w:bCs/>
          <w:sz w:val="22"/>
          <w:szCs w:val="22"/>
        </w:rPr>
        <w:t xml:space="preserve"> 2020-21</w:t>
      </w:r>
      <w:r w:rsidRPr="00D21B96">
        <w:rPr>
          <w:rFonts w:asciiTheme="minorHAnsi" w:hAnsiTheme="minorHAnsi" w:cstheme="minorHAnsi"/>
          <w:bCs/>
          <w:sz w:val="22"/>
          <w:szCs w:val="22"/>
        </w:rPr>
        <w:t>, and have also deferred their share of Business Rates for three months. The Council’s Treasury team have tested our cash</w:t>
      </w:r>
      <w:r>
        <w:rPr>
          <w:rFonts w:asciiTheme="minorHAnsi" w:hAnsiTheme="minorHAnsi" w:cstheme="minorHAnsi"/>
          <w:bCs/>
          <w:sz w:val="22"/>
          <w:szCs w:val="22"/>
        </w:rPr>
        <w:t xml:space="preserve"> </w:t>
      </w:r>
      <w:r w:rsidRPr="00D21B96">
        <w:rPr>
          <w:rFonts w:asciiTheme="minorHAnsi" w:hAnsiTheme="minorHAnsi" w:cstheme="minorHAnsi"/>
          <w:bCs/>
          <w:sz w:val="22"/>
          <w:szCs w:val="22"/>
        </w:rPr>
        <w:t>flow and we have sufficient liquidity for the foreseeable future.</w:t>
      </w:r>
    </w:p>
    <w:p w:rsidR="00E83A90" w:rsidRPr="00D21B96" w:rsidRDefault="00E83A90" w:rsidP="00E83A90">
      <w:pPr>
        <w:tabs>
          <w:tab w:val="left" w:pos="-1440"/>
          <w:tab w:val="left" w:pos="-720"/>
          <w:tab w:val="decimal" w:pos="0"/>
        </w:tabs>
        <w:rPr>
          <w:rFonts w:asciiTheme="minorHAnsi" w:hAnsiTheme="minorHAnsi" w:cstheme="minorHAnsi"/>
          <w:bCs/>
          <w:sz w:val="22"/>
          <w:szCs w:val="22"/>
        </w:rPr>
      </w:pPr>
    </w:p>
    <w:p w:rsidR="00E83A90" w:rsidRDefault="00E83A90" w:rsidP="00E83A90">
      <w:pPr>
        <w:tabs>
          <w:tab w:val="left" w:pos="-1440"/>
          <w:tab w:val="left" w:pos="-720"/>
          <w:tab w:val="decimal" w:pos="0"/>
        </w:tabs>
        <w:rPr>
          <w:rFonts w:asciiTheme="minorHAnsi" w:hAnsiTheme="minorHAnsi" w:cstheme="minorHAnsi"/>
          <w:bCs/>
          <w:sz w:val="22"/>
          <w:szCs w:val="22"/>
        </w:rPr>
      </w:pPr>
      <w:r w:rsidRPr="00D21B96">
        <w:rPr>
          <w:rFonts w:asciiTheme="minorHAnsi" w:hAnsiTheme="minorHAnsi" w:cstheme="minorHAnsi"/>
          <w:bCs/>
          <w:sz w:val="22"/>
          <w:szCs w:val="22"/>
        </w:rPr>
        <w:t xml:space="preserve">Whilst the current pandemic has had only a marginal impact on our expenditure so far, we are experiencing a very significant reduction in our income streams. In addition to £9m of Council Tax </w:t>
      </w:r>
      <w:r w:rsidRPr="00D21B96">
        <w:rPr>
          <w:rFonts w:asciiTheme="minorHAnsi" w:hAnsiTheme="minorHAnsi" w:cstheme="minorHAnsi"/>
          <w:bCs/>
          <w:sz w:val="22"/>
          <w:szCs w:val="22"/>
        </w:rPr>
        <w:lastRenderedPageBreak/>
        <w:t>and £3m of Business rates, the council is also heavily reliant on income from fees and charges in excess of £18m. All of these income streams are at significant threat.</w:t>
      </w:r>
    </w:p>
    <w:p w:rsidR="0038346B" w:rsidRPr="00D21B96" w:rsidRDefault="0038346B" w:rsidP="00E83A90">
      <w:pPr>
        <w:tabs>
          <w:tab w:val="left" w:pos="-1440"/>
          <w:tab w:val="left" w:pos="-720"/>
          <w:tab w:val="decimal" w:pos="0"/>
        </w:tabs>
        <w:rPr>
          <w:rFonts w:asciiTheme="minorHAnsi" w:hAnsiTheme="minorHAnsi" w:cstheme="minorHAnsi"/>
          <w:bCs/>
          <w:sz w:val="22"/>
          <w:szCs w:val="22"/>
        </w:rPr>
      </w:pPr>
    </w:p>
    <w:p w:rsidR="00E83A90" w:rsidRPr="00D21B96" w:rsidRDefault="00E83A90" w:rsidP="00E83A90">
      <w:pPr>
        <w:tabs>
          <w:tab w:val="left" w:pos="-1440"/>
          <w:tab w:val="left" w:pos="-720"/>
          <w:tab w:val="decimal" w:pos="0"/>
        </w:tabs>
        <w:rPr>
          <w:rFonts w:asciiTheme="minorHAnsi" w:hAnsiTheme="minorHAnsi" w:cstheme="minorHAnsi"/>
          <w:bCs/>
          <w:sz w:val="22"/>
          <w:szCs w:val="22"/>
        </w:rPr>
      </w:pPr>
      <w:r w:rsidRPr="00D21B96">
        <w:rPr>
          <w:rFonts w:asciiTheme="minorHAnsi" w:hAnsiTheme="minorHAnsi" w:cstheme="minorHAnsi"/>
          <w:bCs/>
          <w:sz w:val="22"/>
          <w:szCs w:val="22"/>
        </w:rPr>
        <w:t xml:space="preserve">The Council is already experiencing an increase in applications for Council Tax Support, and will undoubtedly experience an increase in bad debts as residents struggle to meet their council tax liabilities. Income from business rates will also reduce significantly in the future. However, of even greater risk to the Council’s budget is the £18m of income from fees and charges. Over one third of this, £6.4m, is derived from parking charges. </w:t>
      </w:r>
      <w:r>
        <w:rPr>
          <w:rFonts w:asciiTheme="minorHAnsi" w:hAnsiTheme="minorHAnsi" w:cstheme="minorHAnsi"/>
          <w:bCs/>
          <w:sz w:val="22"/>
          <w:szCs w:val="22"/>
        </w:rPr>
        <w:t>T</w:t>
      </w:r>
      <w:r w:rsidRPr="00D21B96">
        <w:rPr>
          <w:rFonts w:asciiTheme="minorHAnsi" w:hAnsiTheme="minorHAnsi" w:cstheme="minorHAnsi"/>
          <w:bCs/>
          <w:sz w:val="22"/>
          <w:szCs w:val="22"/>
        </w:rPr>
        <w:t>he Council suspended charging in its car parks as part of the response to the pandemic, resulting in a loss of income of approximately £0.5m per month</w:t>
      </w:r>
      <w:r>
        <w:rPr>
          <w:rFonts w:asciiTheme="minorHAnsi" w:hAnsiTheme="minorHAnsi" w:cstheme="minorHAnsi"/>
          <w:bCs/>
          <w:sz w:val="22"/>
          <w:szCs w:val="22"/>
        </w:rPr>
        <w:t xml:space="preserve"> until charging is resumed  in light of further Government guidance </w:t>
      </w:r>
      <w:r w:rsidRPr="00D21B96">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D21B96">
        <w:rPr>
          <w:rFonts w:asciiTheme="minorHAnsi" w:hAnsiTheme="minorHAnsi" w:cstheme="minorHAnsi"/>
          <w:bCs/>
          <w:sz w:val="22"/>
          <w:szCs w:val="22"/>
        </w:rPr>
        <w:t>Other major income streams such as planning fees and commercial rents are also likely to suffer reductions, not just in the short term, but well beyond the current emergency if the economy struggles to recover.</w:t>
      </w:r>
    </w:p>
    <w:p w:rsidR="00E83A90" w:rsidRPr="00D21B96" w:rsidRDefault="00E83A90" w:rsidP="00E83A90">
      <w:pPr>
        <w:tabs>
          <w:tab w:val="left" w:pos="-1440"/>
          <w:tab w:val="left" w:pos="-720"/>
          <w:tab w:val="decimal" w:pos="0"/>
        </w:tabs>
        <w:rPr>
          <w:rFonts w:asciiTheme="minorHAnsi" w:hAnsiTheme="minorHAnsi" w:cstheme="minorHAnsi"/>
          <w:bCs/>
          <w:sz w:val="22"/>
          <w:szCs w:val="22"/>
        </w:rPr>
      </w:pPr>
    </w:p>
    <w:p w:rsidR="0038346B" w:rsidRDefault="00E83A90" w:rsidP="00E83A90">
      <w:pPr>
        <w:tabs>
          <w:tab w:val="left" w:pos="-1440"/>
          <w:tab w:val="left" w:pos="-720"/>
          <w:tab w:val="decimal" w:pos="0"/>
        </w:tabs>
        <w:rPr>
          <w:rFonts w:asciiTheme="minorHAnsi" w:hAnsiTheme="minorHAnsi" w:cstheme="minorHAnsi"/>
          <w:bCs/>
          <w:sz w:val="22"/>
          <w:szCs w:val="22"/>
        </w:rPr>
      </w:pPr>
      <w:r>
        <w:rPr>
          <w:rFonts w:asciiTheme="minorHAnsi" w:hAnsiTheme="minorHAnsi" w:cstheme="minorHAnsi"/>
          <w:bCs/>
          <w:sz w:val="22"/>
          <w:szCs w:val="22"/>
        </w:rPr>
        <w:t xml:space="preserve">Increased income and expenditure monitoring was undertaken to assess the likely impact in the current financial year which has </w:t>
      </w:r>
      <w:r w:rsidRPr="00D21B96">
        <w:rPr>
          <w:rFonts w:asciiTheme="minorHAnsi" w:hAnsiTheme="minorHAnsi" w:cstheme="minorHAnsi"/>
          <w:bCs/>
          <w:sz w:val="22"/>
          <w:szCs w:val="22"/>
        </w:rPr>
        <w:t xml:space="preserve">indicated a likely loss of </w:t>
      </w:r>
      <w:r>
        <w:rPr>
          <w:rFonts w:asciiTheme="minorHAnsi" w:hAnsiTheme="minorHAnsi" w:cstheme="minorHAnsi"/>
          <w:bCs/>
          <w:sz w:val="22"/>
          <w:szCs w:val="22"/>
        </w:rPr>
        <w:t xml:space="preserve">income of </w:t>
      </w:r>
      <w:r w:rsidRPr="00D21B96">
        <w:rPr>
          <w:rFonts w:asciiTheme="minorHAnsi" w:hAnsiTheme="minorHAnsi" w:cstheme="minorHAnsi"/>
          <w:bCs/>
          <w:sz w:val="22"/>
          <w:szCs w:val="22"/>
        </w:rPr>
        <w:t>£8m.</w:t>
      </w:r>
      <w:r>
        <w:rPr>
          <w:rFonts w:asciiTheme="minorHAnsi" w:hAnsiTheme="minorHAnsi" w:cstheme="minorHAnsi"/>
          <w:bCs/>
          <w:sz w:val="22"/>
          <w:szCs w:val="22"/>
        </w:rPr>
        <w:t xml:space="preserve"> (Further details can be found in the May 2020 Cabinet report: </w:t>
      </w:r>
      <w:hyperlink r:id="rId25" w:history="1">
        <w:r w:rsidRPr="00544AFC">
          <w:rPr>
            <w:rStyle w:val="Hyperlink"/>
            <w:rFonts w:asciiTheme="minorHAnsi" w:hAnsiTheme="minorHAnsi" w:cstheme="minorHAnsi"/>
            <w:bCs/>
            <w:sz w:val="22"/>
            <w:szCs w:val="22"/>
          </w:rPr>
          <w:t>https://chichester.moderngov.co.uk/documents/s16911/Response%20to%20Covid-19%20-%20appendix.pdf</w:t>
        </w:r>
      </w:hyperlink>
      <w:r>
        <w:rPr>
          <w:rFonts w:asciiTheme="minorHAnsi" w:hAnsiTheme="minorHAnsi" w:cstheme="minorHAnsi"/>
          <w:bCs/>
          <w:sz w:val="22"/>
          <w:szCs w:val="22"/>
        </w:rPr>
        <w:t xml:space="preserve"> </w:t>
      </w:r>
      <w:r w:rsidRPr="00D21B96">
        <w:rPr>
          <w:rFonts w:asciiTheme="minorHAnsi" w:hAnsiTheme="minorHAnsi" w:cstheme="minorHAnsi"/>
          <w:bCs/>
          <w:sz w:val="22"/>
          <w:szCs w:val="22"/>
        </w:rPr>
        <w:t xml:space="preserve"> </w:t>
      </w:r>
      <w:r>
        <w:rPr>
          <w:rFonts w:asciiTheme="minorHAnsi" w:hAnsiTheme="minorHAnsi" w:cstheme="minorHAnsi"/>
          <w:bCs/>
          <w:sz w:val="22"/>
          <w:szCs w:val="22"/>
        </w:rPr>
        <w:t>)</w:t>
      </w:r>
      <w:r w:rsidR="00BD2C2B">
        <w:rPr>
          <w:rFonts w:asciiTheme="minorHAnsi" w:hAnsiTheme="minorHAnsi" w:cstheme="minorHAnsi"/>
          <w:bCs/>
          <w:sz w:val="22"/>
          <w:szCs w:val="22"/>
        </w:rPr>
        <w:t>.</w:t>
      </w:r>
    </w:p>
    <w:p w:rsidR="0038346B" w:rsidRDefault="0038346B" w:rsidP="00E83A90">
      <w:pPr>
        <w:tabs>
          <w:tab w:val="left" w:pos="-1440"/>
          <w:tab w:val="left" w:pos="-720"/>
          <w:tab w:val="decimal" w:pos="0"/>
        </w:tabs>
        <w:rPr>
          <w:rFonts w:asciiTheme="minorHAnsi" w:hAnsiTheme="minorHAnsi" w:cstheme="minorHAnsi"/>
          <w:bCs/>
          <w:sz w:val="22"/>
          <w:szCs w:val="22"/>
        </w:rPr>
      </w:pPr>
    </w:p>
    <w:p w:rsidR="00E83A90" w:rsidRPr="00D21B96" w:rsidRDefault="00E83A90" w:rsidP="00E83A90">
      <w:pPr>
        <w:tabs>
          <w:tab w:val="left" w:pos="-1440"/>
          <w:tab w:val="left" w:pos="-720"/>
          <w:tab w:val="decimal" w:pos="0"/>
        </w:tabs>
        <w:rPr>
          <w:rFonts w:asciiTheme="minorHAnsi" w:hAnsiTheme="minorHAnsi" w:cstheme="minorHAnsi"/>
          <w:bCs/>
          <w:sz w:val="22"/>
          <w:szCs w:val="22"/>
        </w:rPr>
      </w:pPr>
      <w:r>
        <w:rPr>
          <w:rFonts w:asciiTheme="minorHAnsi" w:hAnsiTheme="minorHAnsi" w:cstheme="minorHAnsi"/>
          <w:bCs/>
          <w:sz w:val="22"/>
          <w:szCs w:val="22"/>
        </w:rPr>
        <w:t>For</w:t>
      </w:r>
      <w:r w:rsidRPr="00D21B96">
        <w:rPr>
          <w:rFonts w:asciiTheme="minorHAnsi" w:hAnsiTheme="minorHAnsi" w:cstheme="minorHAnsi"/>
          <w:bCs/>
          <w:sz w:val="22"/>
          <w:szCs w:val="22"/>
        </w:rPr>
        <w:t xml:space="preserve"> 2020-21 the Council will have no option but to rely on the use of reserves to fund any shortfall in income or increase in expenditure</w:t>
      </w:r>
      <w:r>
        <w:rPr>
          <w:rFonts w:asciiTheme="minorHAnsi" w:hAnsiTheme="minorHAnsi" w:cstheme="minorHAnsi"/>
          <w:bCs/>
          <w:sz w:val="22"/>
          <w:szCs w:val="22"/>
        </w:rPr>
        <w:t xml:space="preserve">, with budget managers </w:t>
      </w:r>
      <w:r w:rsidRPr="00D21B96">
        <w:rPr>
          <w:rFonts w:asciiTheme="minorHAnsi" w:hAnsiTheme="minorHAnsi" w:cstheme="minorHAnsi"/>
          <w:bCs/>
          <w:sz w:val="22"/>
          <w:szCs w:val="22"/>
        </w:rPr>
        <w:t>only</w:t>
      </w:r>
      <w:r>
        <w:rPr>
          <w:rFonts w:asciiTheme="minorHAnsi" w:hAnsiTheme="minorHAnsi" w:cstheme="minorHAnsi"/>
          <w:bCs/>
          <w:sz w:val="22"/>
          <w:szCs w:val="22"/>
        </w:rPr>
        <w:t xml:space="preserve"> permitted to </w:t>
      </w:r>
      <w:r w:rsidRPr="00D21B96">
        <w:rPr>
          <w:rFonts w:asciiTheme="minorHAnsi" w:hAnsiTheme="minorHAnsi" w:cstheme="minorHAnsi"/>
          <w:bCs/>
          <w:sz w:val="22"/>
          <w:szCs w:val="22"/>
        </w:rPr>
        <w:t>approve essential expenditure during th</w:t>
      </w:r>
      <w:r>
        <w:rPr>
          <w:rFonts w:asciiTheme="minorHAnsi" w:hAnsiTheme="minorHAnsi" w:cstheme="minorHAnsi"/>
          <w:bCs/>
          <w:sz w:val="22"/>
          <w:szCs w:val="22"/>
        </w:rPr>
        <w:t>e</w:t>
      </w:r>
      <w:r w:rsidRPr="00D21B96">
        <w:rPr>
          <w:rFonts w:asciiTheme="minorHAnsi" w:hAnsiTheme="minorHAnsi" w:cstheme="minorHAnsi"/>
          <w:bCs/>
          <w:sz w:val="22"/>
          <w:szCs w:val="22"/>
        </w:rPr>
        <w:t xml:space="preserve"> emergency </w:t>
      </w:r>
      <w:r>
        <w:rPr>
          <w:rFonts w:asciiTheme="minorHAnsi" w:hAnsiTheme="minorHAnsi" w:cstheme="minorHAnsi"/>
          <w:bCs/>
          <w:sz w:val="22"/>
          <w:szCs w:val="22"/>
        </w:rPr>
        <w:t>until t</w:t>
      </w:r>
      <w:r w:rsidRPr="00D21B96">
        <w:rPr>
          <w:rFonts w:asciiTheme="minorHAnsi" w:hAnsiTheme="minorHAnsi" w:cstheme="minorHAnsi"/>
          <w:bCs/>
          <w:sz w:val="22"/>
          <w:szCs w:val="22"/>
        </w:rPr>
        <w:t>he full implications</w:t>
      </w:r>
      <w:r>
        <w:rPr>
          <w:rFonts w:asciiTheme="minorHAnsi" w:hAnsiTheme="minorHAnsi" w:cstheme="minorHAnsi"/>
          <w:bCs/>
          <w:sz w:val="22"/>
          <w:szCs w:val="22"/>
        </w:rPr>
        <w:t xml:space="preserve"> have been established</w:t>
      </w:r>
      <w:r w:rsidRPr="00D21B96">
        <w:rPr>
          <w:rFonts w:asciiTheme="minorHAnsi" w:hAnsiTheme="minorHAnsi" w:cstheme="minorHAnsi"/>
          <w:bCs/>
          <w:sz w:val="22"/>
          <w:szCs w:val="22"/>
        </w:rPr>
        <w:t xml:space="preserve">.  The capital programme which was </w:t>
      </w:r>
      <w:r w:rsidR="008530F6">
        <w:rPr>
          <w:rFonts w:asciiTheme="minorHAnsi" w:hAnsiTheme="minorHAnsi" w:cstheme="minorHAnsi"/>
          <w:bCs/>
          <w:sz w:val="22"/>
          <w:szCs w:val="22"/>
        </w:rPr>
        <w:t xml:space="preserve">approved in March 2020 </w:t>
      </w:r>
      <w:r w:rsidRPr="00D21B96">
        <w:rPr>
          <w:rFonts w:asciiTheme="minorHAnsi" w:hAnsiTheme="minorHAnsi" w:cstheme="minorHAnsi"/>
          <w:bCs/>
          <w:sz w:val="22"/>
          <w:szCs w:val="22"/>
        </w:rPr>
        <w:t>at £</w:t>
      </w:r>
      <w:r w:rsidR="008530F6">
        <w:rPr>
          <w:rFonts w:asciiTheme="minorHAnsi" w:hAnsiTheme="minorHAnsi" w:cstheme="minorHAnsi"/>
          <w:bCs/>
          <w:sz w:val="22"/>
          <w:szCs w:val="22"/>
        </w:rPr>
        <w:t>41.</w:t>
      </w:r>
      <w:r w:rsidR="008530F6" w:rsidRPr="008530F6">
        <w:rPr>
          <w:rFonts w:asciiTheme="minorHAnsi" w:hAnsiTheme="minorHAnsi" w:cstheme="minorHAnsi"/>
          <w:bCs/>
          <w:sz w:val="22"/>
          <w:szCs w:val="22"/>
        </w:rPr>
        <w:t>4m</w:t>
      </w:r>
      <w:r w:rsidR="008530F6">
        <w:rPr>
          <w:rFonts w:asciiTheme="minorHAnsi" w:hAnsiTheme="minorHAnsi" w:cstheme="minorHAnsi"/>
          <w:bCs/>
          <w:sz w:val="22"/>
          <w:szCs w:val="22"/>
        </w:rPr>
        <w:t xml:space="preserve"> </w:t>
      </w:r>
      <w:r w:rsidRPr="008530F6">
        <w:rPr>
          <w:rFonts w:asciiTheme="minorHAnsi" w:hAnsiTheme="minorHAnsi" w:cstheme="minorHAnsi"/>
          <w:bCs/>
          <w:sz w:val="22"/>
          <w:szCs w:val="22"/>
        </w:rPr>
        <w:t>including £8</w:t>
      </w:r>
      <w:r w:rsidR="008530F6" w:rsidRPr="008530F6">
        <w:rPr>
          <w:rFonts w:asciiTheme="minorHAnsi" w:hAnsiTheme="minorHAnsi" w:cstheme="minorHAnsi"/>
          <w:bCs/>
          <w:sz w:val="22"/>
          <w:szCs w:val="22"/>
        </w:rPr>
        <w:t>.4</w:t>
      </w:r>
      <w:r w:rsidRPr="008530F6">
        <w:rPr>
          <w:rFonts w:asciiTheme="minorHAnsi" w:hAnsiTheme="minorHAnsi" w:cstheme="minorHAnsi"/>
          <w:bCs/>
          <w:sz w:val="22"/>
          <w:szCs w:val="22"/>
        </w:rPr>
        <w:t>m</w:t>
      </w:r>
      <w:r w:rsidRPr="00D21B96">
        <w:rPr>
          <w:rFonts w:asciiTheme="minorHAnsi" w:hAnsiTheme="minorHAnsi" w:cstheme="minorHAnsi"/>
          <w:bCs/>
          <w:sz w:val="22"/>
          <w:szCs w:val="22"/>
        </w:rPr>
        <w:t xml:space="preserve"> of asset replacements will be reviewed at July</w:t>
      </w:r>
      <w:r>
        <w:rPr>
          <w:rFonts w:asciiTheme="minorHAnsi" w:hAnsiTheme="minorHAnsi" w:cstheme="minorHAnsi"/>
          <w:bCs/>
          <w:sz w:val="22"/>
          <w:szCs w:val="22"/>
        </w:rPr>
        <w:t xml:space="preserve"> 2020</w:t>
      </w:r>
      <w:r w:rsidRPr="00D21B96">
        <w:rPr>
          <w:rFonts w:asciiTheme="minorHAnsi" w:hAnsiTheme="minorHAnsi" w:cstheme="minorHAnsi"/>
          <w:bCs/>
          <w:sz w:val="22"/>
          <w:szCs w:val="22"/>
        </w:rPr>
        <w:t xml:space="preserve"> Council so that members can consider which projects it wishes to proceed with. </w:t>
      </w:r>
    </w:p>
    <w:p w:rsidR="00E83A90" w:rsidRDefault="00E83A90" w:rsidP="00E83A90">
      <w:pPr>
        <w:tabs>
          <w:tab w:val="left" w:pos="-1440"/>
          <w:tab w:val="left" w:pos="-720"/>
          <w:tab w:val="decimal" w:pos="0"/>
        </w:tabs>
        <w:rPr>
          <w:rFonts w:asciiTheme="minorHAnsi" w:hAnsiTheme="minorHAnsi" w:cstheme="minorHAnsi"/>
          <w:b/>
          <w:bCs/>
          <w:sz w:val="22"/>
          <w:szCs w:val="22"/>
        </w:rPr>
      </w:pPr>
    </w:p>
    <w:p w:rsidR="00E83A90" w:rsidRPr="000B563F" w:rsidRDefault="00E83A90" w:rsidP="00E83A90">
      <w:pPr>
        <w:tabs>
          <w:tab w:val="left" w:pos="-1440"/>
          <w:tab w:val="left" w:pos="-720"/>
          <w:tab w:val="decimal" w:pos="0"/>
        </w:tabs>
        <w:rPr>
          <w:rFonts w:asciiTheme="minorHAnsi" w:hAnsiTheme="minorHAnsi" w:cstheme="minorHAnsi"/>
          <w:bCs/>
          <w:sz w:val="22"/>
          <w:szCs w:val="22"/>
        </w:rPr>
      </w:pPr>
      <w:r w:rsidRPr="000B563F">
        <w:rPr>
          <w:rFonts w:asciiTheme="minorHAnsi" w:hAnsiTheme="minorHAnsi" w:cstheme="minorHAnsi"/>
          <w:bCs/>
          <w:sz w:val="22"/>
          <w:szCs w:val="22"/>
        </w:rPr>
        <w:t xml:space="preserve">Beyond the current year the financial forecast is extremely difficult to predict with any accuracy. What is clear, however, is that </w:t>
      </w:r>
      <w:r>
        <w:rPr>
          <w:rFonts w:asciiTheme="minorHAnsi" w:hAnsiTheme="minorHAnsi" w:cstheme="minorHAnsi"/>
          <w:bCs/>
          <w:sz w:val="22"/>
          <w:szCs w:val="22"/>
        </w:rPr>
        <w:t xml:space="preserve">the Council’s </w:t>
      </w:r>
      <w:r w:rsidRPr="000B563F">
        <w:rPr>
          <w:rFonts w:asciiTheme="minorHAnsi" w:hAnsiTheme="minorHAnsi" w:cstheme="minorHAnsi"/>
          <w:bCs/>
          <w:sz w:val="22"/>
          <w:szCs w:val="22"/>
        </w:rPr>
        <w:t>income is unlikely return to the pre</w:t>
      </w:r>
      <w:r>
        <w:rPr>
          <w:rFonts w:asciiTheme="minorHAnsi" w:hAnsiTheme="minorHAnsi" w:cstheme="minorHAnsi"/>
          <w:bCs/>
          <w:sz w:val="22"/>
          <w:szCs w:val="22"/>
        </w:rPr>
        <w:t>-</w:t>
      </w:r>
      <w:r w:rsidRPr="000B563F">
        <w:rPr>
          <w:rFonts w:asciiTheme="minorHAnsi" w:hAnsiTheme="minorHAnsi" w:cstheme="minorHAnsi"/>
          <w:bCs/>
          <w:sz w:val="22"/>
          <w:szCs w:val="22"/>
        </w:rPr>
        <w:t>pandemic levels for probably several years.</w:t>
      </w:r>
      <w:r>
        <w:rPr>
          <w:rFonts w:asciiTheme="minorHAnsi" w:hAnsiTheme="minorHAnsi" w:cstheme="minorHAnsi"/>
          <w:bCs/>
          <w:sz w:val="22"/>
          <w:szCs w:val="22"/>
        </w:rPr>
        <w:t xml:space="preserve"> </w:t>
      </w:r>
      <w:r w:rsidRPr="000B563F">
        <w:rPr>
          <w:rFonts w:asciiTheme="minorHAnsi" w:hAnsiTheme="minorHAnsi" w:cstheme="minorHAnsi"/>
          <w:bCs/>
          <w:sz w:val="22"/>
          <w:szCs w:val="22"/>
        </w:rPr>
        <w:t>A scenario of having reduced income from fees and charges of 20% to 30% may not be unrealistic. If such a situation did materialise it would create a budget gap of around £3.5m to £5.5m</w:t>
      </w:r>
      <w:r w:rsidR="00BD2C2B">
        <w:rPr>
          <w:rFonts w:asciiTheme="minorHAnsi" w:hAnsiTheme="minorHAnsi" w:cstheme="minorHAnsi"/>
          <w:bCs/>
          <w:sz w:val="22"/>
          <w:szCs w:val="22"/>
        </w:rPr>
        <w:t>.</w:t>
      </w:r>
    </w:p>
    <w:p w:rsidR="00E83A90" w:rsidRPr="000B563F" w:rsidRDefault="00E83A90" w:rsidP="00E83A90">
      <w:pPr>
        <w:tabs>
          <w:tab w:val="left" w:pos="-1440"/>
          <w:tab w:val="left" w:pos="-720"/>
          <w:tab w:val="decimal" w:pos="0"/>
        </w:tabs>
        <w:rPr>
          <w:rFonts w:asciiTheme="minorHAnsi" w:hAnsiTheme="minorHAnsi" w:cstheme="minorHAnsi"/>
          <w:bCs/>
          <w:sz w:val="22"/>
          <w:szCs w:val="22"/>
        </w:rPr>
      </w:pPr>
    </w:p>
    <w:p w:rsidR="00E83A90" w:rsidRPr="000B563F" w:rsidRDefault="00E83A90" w:rsidP="00E83A90">
      <w:pPr>
        <w:tabs>
          <w:tab w:val="left" w:pos="-1440"/>
          <w:tab w:val="left" w:pos="-720"/>
          <w:tab w:val="decimal" w:pos="0"/>
        </w:tabs>
        <w:rPr>
          <w:rFonts w:asciiTheme="minorHAnsi" w:hAnsiTheme="minorHAnsi" w:cstheme="minorHAnsi"/>
          <w:bCs/>
          <w:sz w:val="22"/>
          <w:szCs w:val="22"/>
        </w:rPr>
      </w:pPr>
      <w:r w:rsidRPr="000B563F">
        <w:rPr>
          <w:rFonts w:asciiTheme="minorHAnsi" w:hAnsiTheme="minorHAnsi" w:cstheme="minorHAnsi"/>
          <w:bCs/>
          <w:sz w:val="22"/>
          <w:szCs w:val="22"/>
        </w:rPr>
        <w:t>With finite reserves, the Council will have to prioritise its services in order to set a sustainable budget moving forwards. Officers will work closely with members in the months ahead in order to agree priorities for resource allocations for the 2021-22 budget and beyond, and place us in a position that we can respond to the financial challenge ahead.</w:t>
      </w:r>
    </w:p>
    <w:p w:rsidR="00E83A90" w:rsidRPr="000B563F" w:rsidRDefault="00E83A90" w:rsidP="00E83A90">
      <w:pPr>
        <w:tabs>
          <w:tab w:val="left" w:pos="-1440"/>
          <w:tab w:val="left" w:pos="-720"/>
          <w:tab w:val="decimal" w:pos="0"/>
        </w:tabs>
        <w:rPr>
          <w:rFonts w:asciiTheme="minorHAnsi" w:hAnsiTheme="minorHAnsi" w:cstheme="minorHAnsi"/>
          <w:bCs/>
          <w:sz w:val="22"/>
          <w:szCs w:val="22"/>
        </w:rPr>
      </w:pPr>
    </w:p>
    <w:p w:rsidR="00E83A90" w:rsidRPr="006C41B6" w:rsidRDefault="00E83A90" w:rsidP="00E83A90">
      <w:pPr>
        <w:tabs>
          <w:tab w:val="left" w:pos="-1440"/>
          <w:tab w:val="left" w:pos="-720"/>
          <w:tab w:val="decimal" w:pos="0"/>
        </w:tabs>
        <w:rPr>
          <w:rFonts w:asciiTheme="minorHAnsi" w:hAnsiTheme="minorHAnsi" w:cstheme="minorHAnsi"/>
          <w:b/>
          <w:bCs/>
          <w:sz w:val="22"/>
          <w:szCs w:val="22"/>
        </w:rPr>
      </w:pPr>
      <w:r w:rsidRPr="006C41B6">
        <w:rPr>
          <w:rFonts w:asciiTheme="minorHAnsi" w:hAnsiTheme="minorHAnsi" w:cstheme="minorHAnsi"/>
          <w:b/>
          <w:bCs/>
          <w:sz w:val="22"/>
          <w:szCs w:val="22"/>
        </w:rPr>
        <w:t>Further Information</w:t>
      </w:r>
    </w:p>
    <w:p w:rsidR="00E83A90" w:rsidRPr="006C41B6" w:rsidRDefault="00E83A90" w:rsidP="00E83A90">
      <w:pPr>
        <w:tabs>
          <w:tab w:val="left" w:pos="-1440"/>
          <w:tab w:val="left" w:pos="-720"/>
          <w:tab w:val="left" w:pos="0"/>
          <w:tab w:val="decimal" w:pos="780"/>
        </w:tabs>
        <w:rPr>
          <w:rFonts w:asciiTheme="minorHAnsi" w:hAnsiTheme="minorHAnsi" w:cstheme="minorHAnsi"/>
          <w:sz w:val="22"/>
          <w:szCs w:val="22"/>
        </w:rPr>
      </w:pPr>
      <w:r w:rsidRPr="006C41B6">
        <w:rPr>
          <w:rFonts w:asciiTheme="minorHAnsi" w:hAnsiTheme="minorHAnsi" w:cstheme="minorHAnsi"/>
          <w:sz w:val="22"/>
          <w:szCs w:val="22"/>
        </w:rPr>
        <w:t xml:space="preserve">Further information about the accounts may be obtained from the Financial Services Team at the Council headquarters at East </w:t>
      </w:r>
      <w:proofErr w:type="spellStart"/>
      <w:r w:rsidRPr="006C41B6">
        <w:rPr>
          <w:rFonts w:asciiTheme="minorHAnsi" w:hAnsiTheme="minorHAnsi" w:cstheme="minorHAnsi"/>
          <w:sz w:val="22"/>
          <w:szCs w:val="22"/>
        </w:rPr>
        <w:t>Pallant</w:t>
      </w:r>
      <w:proofErr w:type="spellEnd"/>
      <w:r w:rsidRPr="006C41B6">
        <w:rPr>
          <w:rFonts w:asciiTheme="minorHAnsi" w:hAnsiTheme="minorHAnsi" w:cstheme="minorHAnsi"/>
          <w:sz w:val="22"/>
          <w:szCs w:val="22"/>
        </w:rPr>
        <w:t xml:space="preserve"> House, 1 East </w:t>
      </w:r>
      <w:proofErr w:type="spellStart"/>
      <w:r w:rsidRPr="006C41B6">
        <w:rPr>
          <w:rFonts w:asciiTheme="minorHAnsi" w:hAnsiTheme="minorHAnsi" w:cstheme="minorHAnsi"/>
          <w:sz w:val="22"/>
          <w:szCs w:val="22"/>
        </w:rPr>
        <w:t>Pallant</w:t>
      </w:r>
      <w:proofErr w:type="spellEnd"/>
      <w:r w:rsidRPr="006C41B6">
        <w:rPr>
          <w:rFonts w:asciiTheme="minorHAnsi" w:hAnsiTheme="minorHAnsi" w:cstheme="minorHAnsi"/>
          <w:sz w:val="22"/>
          <w:szCs w:val="22"/>
        </w:rPr>
        <w:t xml:space="preserve">, Chichester PO19 1TY.  In addition, interested residents of the district and members of the public have a statutory right to inspect the accounts during the period advertised </w:t>
      </w:r>
      <w:r>
        <w:rPr>
          <w:rFonts w:asciiTheme="minorHAnsi" w:hAnsiTheme="minorHAnsi" w:cstheme="minorHAnsi"/>
          <w:sz w:val="22"/>
          <w:szCs w:val="22"/>
        </w:rPr>
        <w:t>on the Council website</w:t>
      </w:r>
      <w:r w:rsidR="00BD2C2B">
        <w:rPr>
          <w:rFonts w:asciiTheme="minorHAnsi" w:hAnsiTheme="minorHAnsi" w:cstheme="minorHAnsi"/>
          <w:sz w:val="22"/>
          <w:szCs w:val="22"/>
        </w:rPr>
        <w:t>.</w:t>
      </w:r>
    </w:p>
    <w:p w:rsidR="00E83A90" w:rsidRPr="006C41B6" w:rsidRDefault="00E83A90" w:rsidP="00E83A90">
      <w:pPr>
        <w:tabs>
          <w:tab w:val="left" w:pos="-1440"/>
          <w:tab w:val="left" w:pos="-720"/>
          <w:tab w:val="left" w:pos="0"/>
          <w:tab w:val="decimal" w:pos="780"/>
        </w:tabs>
        <w:rPr>
          <w:rFonts w:asciiTheme="minorHAnsi" w:hAnsiTheme="minorHAnsi" w:cstheme="minorHAnsi"/>
          <w:sz w:val="22"/>
          <w:szCs w:val="22"/>
        </w:rPr>
      </w:pPr>
    </w:p>
    <w:p w:rsidR="00E83A90" w:rsidRPr="006C41B6" w:rsidRDefault="00E83A90" w:rsidP="00E83A90">
      <w:pPr>
        <w:tabs>
          <w:tab w:val="left" w:pos="-1440"/>
          <w:tab w:val="left" w:pos="-720"/>
          <w:tab w:val="left" w:pos="0"/>
          <w:tab w:val="decimal" w:pos="780"/>
          <w:tab w:val="left" w:pos="1985"/>
        </w:tabs>
        <w:rPr>
          <w:rFonts w:asciiTheme="minorHAnsi" w:hAnsiTheme="minorHAnsi" w:cstheme="minorHAnsi"/>
          <w:sz w:val="22"/>
          <w:szCs w:val="22"/>
        </w:rPr>
      </w:pPr>
      <w:r w:rsidRPr="006C41B6">
        <w:rPr>
          <w:rFonts w:asciiTheme="minorHAnsi" w:hAnsiTheme="minorHAnsi" w:cstheme="minorHAnsi"/>
          <w:sz w:val="22"/>
          <w:szCs w:val="22"/>
        </w:rPr>
        <w:t xml:space="preserve">On completion of the audit, copies of the Statements of Accounts are available at the Council headquarters and will be published on the Council’s website at </w:t>
      </w:r>
      <w:hyperlink r:id="rId26" w:history="1">
        <w:r w:rsidRPr="006C41B6">
          <w:rPr>
            <w:rFonts w:asciiTheme="minorHAnsi" w:hAnsiTheme="minorHAnsi" w:cstheme="minorHAnsi"/>
            <w:color w:val="0000FF"/>
            <w:sz w:val="22"/>
            <w:szCs w:val="22"/>
            <w:u w:val="single"/>
          </w:rPr>
          <w:t>www.chichester.gov.uk</w:t>
        </w:r>
      </w:hyperlink>
      <w:r w:rsidRPr="006C41B6">
        <w:rPr>
          <w:rFonts w:asciiTheme="minorHAnsi" w:hAnsiTheme="minorHAnsi" w:cstheme="minorHAnsi"/>
          <w:sz w:val="22"/>
          <w:szCs w:val="22"/>
        </w:rPr>
        <w:t>.</w:t>
      </w:r>
    </w:p>
    <w:p w:rsidR="00E83A90" w:rsidRPr="006C41B6" w:rsidRDefault="00E83A90" w:rsidP="00E83A90">
      <w:pPr>
        <w:tabs>
          <w:tab w:val="left" w:pos="-1440"/>
          <w:tab w:val="left" w:pos="-720"/>
          <w:tab w:val="left" w:pos="0"/>
          <w:tab w:val="decimal" w:pos="780"/>
        </w:tabs>
        <w:rPr>
          <w:rFonts w:asciiTheme="minorHAnsi" w:hAnsiTheme="minorHAnsi" w:cstheme="minorHAnsi"/>
          <w:sz w:val="22"/>
          <w:szCs w:val="22"/>
        </w:rPr>
      </w:pPr>
    </w:p>
    <w:p w:rsidR="00E83A90" w:rsidRPr="006C41B6" w:rsidRDefault="00E83A90" w:rsidP="00E83A90">
      <w:pPr>
        <w:tabs>
          <w:tab w:val="left" w:pos="-1440"/>
          <w:tab w:val="left" w:pos="-720"/>
          <w:tab w:val="left" w:pos="0"/>
          <w:tab w:val="decimal" w:pos="780"/>
        </w:tabs>
        <w:rPr>
          <w:rFonts w:asciiTheme="minorHAnsi" w:hAnsiTheme="minorHAnsi" w:cstheme="minorHAnsi"/>
          <w:sz w:val="22"/>
          <w:szCs w:val="22"/>
        </w:rPr>
      </w:pPr>
      <w:r w:rsidRPr="006C41B6">
        <w:rPr>
          <w:rFonts w:asciiTheme="minorHAnsi" w:hAnsiTheme="minorHAnsi" w:cstheme="minorHAnsi"/>
          <w:sz w:val="22"/>
          <w:szCs w:val="22"/>
        </w:rPr>
        <w:t xml:space="preserve">If you have any questions on any of the information included in the Council’s Statement of Accounts please contact the Financial Services Team on 01243 785166 or email </w:t>
      </w:r>
      <w:hyperlink r:id="rId27" w:history="1">
        <w:r w:rsidRPr="006C41B6">
          <w:rPr>
            <w:rFonts w:asciiTheme="minorHAnsi" w:hAnsiTheme="minorHAnsi" w:cstheme="minorHAnsi"/>
            <w:color w:val="0000FF"/>
            <w:sz w:val="22"/>
            <w:szCs w:val="22"/>
            <w:u w:val="single"/>
          </w:rPr>
          <w:t>finance@chichester.gov.uk</w:t>
        </w:r>
      </w:hyperlink>
      <w:r w:rsidRPr="006C41B6">
        <w:rPr>
          <w:rFonts w:asciiTheme="minorHAnsi" w:hAnsiTheme="minorHAnsi" w:cstheme="minorHAnsi"/>
          <w:sz w:val="22"/>
          <w:szCs w:val="22"/>
        </w:rPr>
        <w:t>.</w:t>
      </w:r>
    </w:p>
    <w:p w:rsidR="00BD0DF3" w:rsidRPr="005713F5" w:rsidRDefault="00BD0DF3" w:rsidP="005713F5">
      <w:pPr>
        <w:rPr>
          <w:lang w:val="en-US"/>
        </w:rPr>
      </w:pPr>
    </w:p>
    <w:p w:rsidR="006C41B6" w:rsidRPr="00496F99" w:rsidRDefault="006C41B6" w:rsidP="00496F99">
      <w:pPr>
        <w:pStyle w:val="Heading2"/>
        <w:rPr>
          <w:rFonts w:asciiTheme="minorHAnsi" w:hAnsiTheme="minorHAnsi" w:cstheme="minorHAnsi"/>
          <w:lang w:val="en-US"/>
        </w:rPr>
      </w:pPr>
      <w:r w:rsidRPr="00496F99">
        <w:rPr>
          <w:rFonts w:asciiTheme="minorHAnsi" w:hAnsiTheme="minorHAnsi" w:cstheme="minorHAnsi"/>
          <w:lang w:val="en-US"/>
        </w:rPr>
        <w:t>J. Ward CPFA</w:t>
      </w:r>
    </w:p>
    <w:p w:rsidR="006C41B6" w:rsidRPr="008B0488" w:rsidRDefault="006C41B6" w:rsidP="006C41B6">
      <w:pPr>
        <w:rPr>
          <w:rFonts w:cstheme="minorHAnsi"/>
          <w:b/>
        </w:rPr>
      </w:pPr>
      <w:r w:rsidRPr="006C41B6">
        <w:rPr>
          <w:rFonts w:asciiTheme="minorHAnsi" w:hAnsiTheme="minorHAnsi" w:cstheme="minorHAnsi"/>
          <w:b/>
          <w:sz w:val="22"/>
          <w:szCs w:val="22"/>
        </w:rPr>
        <w:t>Director of Corporate Services</w:t>
      </w:r>
    </w:p>
    <w:p w:rsidR="00183652" w:rsidRPr="009B4521" w:rsidRDefault="004A6511">
      <w:pPr>
        <w:pageBreakBefore/>
        <w:rPr>
          <w:rFonts w:asciiTheme="minorHAnsi" w:hAnsiTheme="minorHAnsi" w:cstheme="minorHAnsi"/>
          <w:b/>
          <w:iCs/>
          <w:szCs w:val="24"/>
        </w:rPr>
      </w:pPr>
      <w:r w:rsidRPr="009B4521">
        <w:rPr>
          <w:rFonts w:asciiTheme="minorHAnsi" w:hAnsiTheme="minorHAnsi" w:cstheme="minorHAnsi"/>
          <w:b/>
          <w:iCs/>
          <w:szCs w:val="24"/>
        </w:rPr>
        <w:lastRenderedPageBreak/>
        <w:t>Statement of Responsibilities</w:t>
      </w:r>
    </w:p>
    <w:p w:rsidR="00183652" w:rsidRPr="00BD2C2B" w:rsidRDefault="004A6511" w:rsidP="00BD2C2B">
      <w:pPr>
        <w:rPr>
          <w:rFonts w:asciiTheme="minorHAnsi" w:hAnsiTheme="minorHAnsi" w:cstheme="minorHAnsi"/>
          <w:b/>
          <w:iCs/>
          <w:szCs w:val="24"/>
        </w:rPr>
      </w:pPr>
      <w:r w:rsidRPr="009B4521">
        <w:rPr>
          <w:rFonts w:asciiTheme="minorHAnsi" w:hAnsiTheme="minorHAnsi" w:cstheme="minorHAnsi"/>
          <w:b/>
          <w:iCs/>
          <w:szCs w:val="24"/>
        </w:rPr>
        <w:t>for the Statement of Accounts</w:t>
      </w:r>
    </w:p>
    <w:p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p>
    <w:p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Responsibilities</w:t>
      </w:r>
    </w:p>
    <w:p w:rsidR="00183652" w:rsidRPr="0068094B" w:rsidRDefault="00183652">
      <w:pPr>
        <w:tabs>
          <w:tab w:val="left" w:pos="-1440"/>
          <w:tab w:val="left" w:pos="-720"/>
          <w:tab w:val="left" w:pos="0"/>
          <w:tab w:val="decimal" w:pos="780"/>
        </w:tabs>
        <w:rPr>
          <w:rFonts w:asciiTheme="minorHAnsi" w:hAnsiTheme="minorHAnsi" w:cstheme="minorHAnsi"/>
          <w:sz w:val="22"/>
          <w:szCs w:val="22"/>
        </w:rPr>
      </w:pPr>
    </w:p>
    <w:p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w:t>
      </w:r>
    </w:p>
    <w:p w:rsidR="00C03DEE" w:rsidRPr="0068094B" w:rsidRDefault="00C03DEE">
      <w:pPr>
        <w:tabs>
          <w:tab w:val="left" w:pos="-1440"/>
          <w:tab w:val="left" w:pos="-720"/>
          <w:tab w:val="left" w:pos="0"/>
          <w:tab w:val="decimal" w:pos="780"/>
        </w:tabs>
        <w:rPr>
          <w:rFonts w:asciiTheme="minorHAnsi" w:hAnsiTheme="minorHAnsi" w:cstheme="minorHAnsi"/>
          <w:sz w:val="22"/>
          <w:szCs w:val="22"/>
        </w:rPr>
      </w:pPr>
    </w:p>
    <w:p w:rsidR="00183652" w:rsidRPr="0068094B" w:rsidRDefault="004A6511" w:rsidP="007D7B32">
      <w:pPr>
        <w:numPr>
          <w:ilvl w:val="0"/>
          <w:numId w:val="15"/>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r>
      <w:proofErr w:type="gramStart"/>
      <w:r w:rsidRPr="0068094B">
        <w:rPr>
          <w:rFonts w:asciiTheme="minorHAnsi" w:hAnsiTheme="minorHAnsi" w:cstheme="minorHAnsi"/>
          <w:sz w:val="22"/>
          <w:szCs w:val="22"/>
        </w:rPr>
        <w:t>make arrangements</w:t>
      </w:r>
      <w:proofErr w:type="gramEnd"/>
      <w:r w:rsidRPr="0068094B">
        <w:rPr>
          <w:rFonts w:asciiTheme="minorHAnsi" w:hAnsiTheme="minorHAnsi" w:cstheme="minorHAnsi"/>
          <w:sz w:val="22"/>
          <w:szCs w:val="22"/>
        </w:rPr>
        <w:t xml:space="preserve"> for the proper administration of its financial affairs and to secure that one of its officers has the responsibility for the administration of those affairs.  In this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that officer is the </w:t>
      </w:r>
      <w:r w:rsidR="00A23F3C">
        <w:rPr>
          <w:rFonts w:asciiTheme="minorHAnsi" w:hAnsiTheme="minorHAnsi" w:cstheme="minorHAnsi"/>
          <w:sz w:val="22"/>
          <w:szCs w:val="22"/>
        </w:rPr>
        <w:t>Director of Corporate</w:t>
      </w:r>
      <w:r w:rsidR="00DF7ADF" w:rsidRPr="0068094B">
        <w:rPr>
          <w:rFonts w:asciiTheme="minorHAnsi" w:hAnsiTheme="minorHAnsi" w:cstheme="minorHAnsi"/>
          <w:sz w:val="22"/>
          <w:szCs w:val="22"/>
        </w:rPr>
        <w:t xml:space="preserve"> Services</w:t>
      </w:r>
      <w:r w:rsidRPr="0068094B">
        <w:rPr>
          <w:rFonts w:asciiTheme="minorHAnsi" w:hAnsiTheme="minorHAnsi" w:cstheme="minorHAnsi"/>
          <w:sz w:val="22"/>
          <w:szCs w:val="22"/>
        </w:rPr>
        <w:t>;</w:t>
      </w:r>
    </w:p>
    <w:p w:rsidR="00183652" w:rsidRPr="0068094B" w:rsidRDefault="004A6511" w:rsidP="007D7B32">
      <w:pPr>
        <w:numPr>
          <w:ilvl w:val="0"/>
          <w:numId w:val="21"/>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manage its affairs to secure economic, efficient and effective use of resources and safeguard its assets;</w:t>
      </w:r>
    </w:p>
    <w:p w:rsidR="00183652" w:rsidRPr="0068094B" w:rsidRDefault="004A6511" w:rsidP="007D7B32">
      <w:pPr>
        <w:numPr>
          <w:ilvl w:val="0"/>
          <w:numId w:val="26"/>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approve the statement of accounts.</w:t>
      </w:r>
    </w:p>
    <w:p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A23F3C">
        <w:rPr>
          <w:rFonts w:asciiTheme="minorHAnsi" w:hAnsiTheme="minorHAnsi" w:cstheme="minorHAnsi"/>
          <w:sz w:val="22"/>
          <w:szCs w:val="22"/>
        </w:rPr>
        <w:t>Director of Corporate</w:t>
      </w:r>
      <w:r w:rsidR="003E18F9" w:rsidRPr="0068094B">
        <w:rPr>
          <w:rFonts w:asciiTheme="minorHAnsi" w:hAnsiTheme="minorHAnsi" w:cstheme="minorHAnsi"/>
          <w:sz w:val="22"/>
          <w:szCs w:val="22"/>
        </w:rPr>
        <w:t xml:space="preserve"> Services’ </w:t>
      </w:r>
      <w:r w:rsidRPr="0068094B">
        <w:rPr>
          <w:rFonts w:asciiTheme="minorHAnsi" w:hAnsiTheme="minorHAnsi" w:cstheme="minorHAnsi"/>
          <w:sz w:val="22"/>
          <w:szCs w:val="22"/>
        </w:rPr>
        <w:t>Responsibilities</w:t>
      </w:r>
    </w:p>
    <w:p w:rsidR="00183652" w:rsidRPr="0068094B" w:rsidRDefault="00183652">
      <w:pPr>
        <w:tabs>
          <w:tab w:val="left" w:pos="-1440"/>
          <w:tab w:val="left" w:pos="-720"/>
          <w:tab w:val="left" w:pos="0"/>
          <w:tab w:val="decimal" w:pos="780"/>
        </w:tabs>
        <w:rPr>
          <w:rFonts w:asciiTheme="minorHAnsi" w:hAnsiTheme="minorHAnsi" w:cstheme="minorHAnsi"/>
          <w:sz w:val="22"/>
          <w:szCs w:val="22"/>
        </w:rPr>
      </w:pPr>
    </w:p>
    <w:p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The</w:t>
      </w:r>
      <w:r w:rsidR="00A23F3C">
        <w:rPr>
          <w:rFonts w:asciiTheme="minorHAnsi" w:hAnsiTheme="minorHAnsi" w:cstheme="minorHAnsi"/>
          <w:sz w:val="22"/>
          <w:szCs w:val="22"/>
        </w:rPr>
        <w:t xml:space="preserve"> Director of Corporate </w:t>
      </w:r>
      <w:r w:rsidR="003E18F9" w:rsidRPr="0068094B">
        <w:rPr>
          <w:rFonts w:asciiTheme="minorHAnsi" w:hAnsiTheme="minorHAnsi" w:cstheme="minorHAnsi"/>
          <w:sz w:val="22"/>
          <w:szCs w:val="22"/>
        </w:rPr>
        <w:t xml:space="preserve">Services </w:t>
      </w:r>
      <w:r w:rsidRPr="0068094B">
        <w:rPr>
          <w:rFonts w:asciiTheme="minorHAnsi" w:hAnsiTheme="minorHAnsi" w:cstheme="minorHAnsi"/>
          <w:sz w:val="22"/>
          <w:szCs w:val="22"/>
        </w:rPr>
        <w:t xml:space="preserve">is responsible for the preparation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Statement of Accounts in accordance with proper practices as set out in the CIPFA/LASAAC Code of Practice on Local Authority Accounting in the United Kingdom (the Code).</w:t>
      </w:r>
    </w:p>
    <w:p w:rsidR="00183652" w:rsidRPr="0068094B" w:rsidRDefault="00183652">
      <w:pPr>
        <w:tabs>
          <w:tab w:val="left" w:pos="-1440"/>
          <w:tab w:val="left" w:pos="-720"/>
          <w:tab w:val="left" w:pos="0"/>
          <w:tab w:val="decimal" w:pos="780"/>
        </w:tabs>
        <w:rPr>
          <w:rFonts w:asciiTheme="minorHAnsi" w:hAnsiTheme="minorHAnsi" w:cstheme="minorHAnsi"/>
          <w:sz w:val="22"/>
          <w:szCs w:val="22"/>
        </w:rPr>
      </w:pPr>
    </w:p>
    <w:p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In preparing this Statement of Accounts, the </w:t>
      </w:r>
      <w:r w:rsidR="00A23F3C">
        <w:rPr>
          <w:rFonts w:asciiTheme="minorHAnsi" w:hAnsiTheme="minorHAnsi" w:cstheme="minorHAnsi"/>
          <w:sz w:val="22"/>
          <w:szCs w:val="22"/>
        </w:rPr>
        <w:t>Director of Corporate S</w:t>
      </w:r>
      <w:r w:rsidR="003E18F9" w:rsidRPr="0068094B">
        <w:rPr>
          <w:rFonts w:asciiTheme="minorHAnsi" w:hAnsiTheme="minorHAnsi" w:cstheme="minorHAnsi"/>
          <w:sz w:val="22"/>
          <w:szCs w:val="22"/>
        </w:rPr>
        <w:t>ervices h</w:t>
      </w:r>
      <w:r w:rsidRPr="0068094B">
        <w:rPr>
          <w:rFonts w:asciiTheme="minorHAnsi" w:hAnsiTheme="minorHAnsi" w:cstheme="minorHAnsi"/>
          <w:sz w:val="22"/>
          <w:szCs w:val="22"/>
        </w:rPr>
        <w:t>as:</w:t>
      </w:r>
    </w:p>
    <w:p w:rsidR="00183652" w:rsidRPr="0068094B" w:rsidRDefault="004A6511" w:rsidP="007D7B32">
      <w:pPr>
        <w:numPr>
          <w:ilvl w:val="0"/>
          <w:numId w:val="24"/>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selected suitable accounting policies and then applied them consistently;</w:t>
      </w:r>
    </w:p>
    <w:p w:rsidR="00183652" w:rsidRPr="0068094B" w:rsidRDefault="004A6511" w:rsidP="007D7B32">
      <w:pPr>
        <w:numPr>
          <w:ilvl w:val="0"/>
          <w:numId w:val="14"/>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made judgements and estimates that were reasonable and prudent;</w:t>
      </w:r>
    </w:p>
    <w:p w:rsidR="00183652" w:rsidRPr="0068094B" w:rsidRDefault="004A6511" w:rsidP="00B57366">
      <w:pPr>
        <w:numPr>
          <w:ilvl w:val="0"/>
          <w:numId w:val="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complied with the local authority Code. </w:t>
      </w:r>
    </w:p>
    <w:p w:rsidR="00183652" w:rsidRPr="0068094B" w:rsidRDefault="00183652">
      <w:pPr>
        <w:tabs>
          <w:tab w:val="left" w:pos="-1440"/>
          <w:tab w:val="left" w:pos="-720"/>
          <w:tab w:val="left" w:pos="0"/>
          <w:tab w:val="decimal" w:pos="780"/>
        </w:tabs>
        <w:rPr>
          <w:rFonts w:asciiTheme="minorHAnsi" w:hAnsiTheme="minorHAnsi" w:cstheme="minorHAnsi"/>
          <w:sz w:val="22"/>
          <w:szCs w:val="22"/>
        </w:rPr>
      </w:pPr>
    </w:p>
    <w:p w:rsidR="00183652" w:rsidRPr="0068094B" w:rsidRDefault="004A6511">
      <w:pPr>
        <w:pStyle w:val="BodyText"/>
        <w:jc w:val="left"/>
        <w:rPr>
          <w:rFonts w:asciiTheme="minorHAnsi" w:hAnsiTheme="minorHAnsi" w:cstheme="minorHAnsi"/>
          <w:strike w:val="0"/>
          <w:sz w:val="22"/>
          <w:szCs w:val="22"/>
        </w:rPr>
      </w:pPr>
      <w:r w:rsidRPr="0068094B">
        <w:rPr>
          <w:rFonts w:asciiTheme="minorHAnsi" w:hAnsiTheme="minorHAnsi" w:cstheme="minorHAnsi"/>
          <w:strike w:val="0"/>
          <w:sz w:val="22"/>
          <w:szCs w:val="22"/>
        </w:rPr>
        <w:t xml:space="preserve">The </w:t>
      </w:r>
      <w:r w:rsidR="00A23F3C">
        <w:rPr>
          <w:rFonts w:asciiTheme="minorHAnsi" w:hAnsiTheme="minorHAnsi" w:cstheme="minorHAnsi"/>
          <w:strike w:val="0"/>
          <w:sz w:val="22"/>
          <w:szCs w:val="22"/>
        </w:rPr>
        <w:t>Director of Corporate Services</w:t>
      </w:r>
      <w:r w:rsidRPr="0068094B">
        <w:rPr>
          <w:rFonts w:asciiTheme="minorHAnsi" w:hAnsiTheme="minorHAnsi" w:cstheme="minorHAnsi"/>
          <w:strike w:val="0"/>
          <w:sz w:val="22"/>
          <w:szCs w:val="22"/>
        </w:rPr>
        <w:t xml:space="preserve"> has also:</w:t>
      </w:r>
    </w:p>
    <w:p w:rsidR="00183652" w:rsidRPr="0068094B" w:rsidRDefault="004A6511" w:rsidP="00B57366">
      <w:pPr>
        <w:numPr>
          <w:ilvl w:val="0"/>
          <w:numId w:val="11"/>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kept proper accounting records which were up to date;</w:t>
      </w:r>
    </w:p>
    <w:p w:rsidR="00183652" w:rsidRPr="0068094B" w:rsidRDefault="004A6511" w:rsidP="007D7B32">
      <w:pPr>
        <w:numPr>
          <w:ilvl w:val="0"/>
          <w:numId w:val="27"/>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taken reasonable steps for the prevention and detection of fraud and other irregularities</w:t>
      </w:r>
      <w:r w:rsidR="00BD2C2B">
        <w:rPr>
          <w:rFonts w:asciiTheme="minorHAnsi" w:hAnsiTheme="minorHAnsi" w:cstheme="minorHAnsi"/>
          <w:sz w:val="22"/>
          <w:szCs w:val="22"/>
        </w:rPr>
        <w:t>.</w:t>
      </w:r>
    </w:p>
    <w:p w:rsidR="00183652" w:rsidRPr="0068094B" w:rsidRDefault="00183652">
      <w:pPr>
        <w:tabs>
          <w:tab w:val="left" w:pos="-1440"/>
          <w:tab w:val="left" w:pos="-720"/>
          <w:tab w:val="left" w:pos="0"/>
          <w:tab w:val="decimal" w:pos="780"/>
        </w:tabs>
        <w:ind w:left="780" w:hanging="780"/>
        <w:jc w:val="both"/>
        <w:rPr>
          <w:rFonts w:asciiTheme="minorHAnsi" w:hAnsiTheme="minorHAnsi" w:cstheme="minorHAnsi"/>
          <w:sz w:val="22"/>
          <w:szCs w:val="22"/>
        </w:rPr>
      </w:pPr>
    </w:p>
    <w:p w:rsidR="00A23F3C" w:rsidRPr="00BD2C2B" w:rsidRDefault="004A6511" w:rsidP="00BD2C2B">
      <w:pPr>
        <w:pStyle w:val="PlainText"/>
        <w:widowControl w:val="0"/>
        <w:tabs>
          <w:tab w:val="left" w:pos="-1440"/>
          <w:tab w:val="left" w:pos="-720"/>
          <w:tab w:val="left" w:pos="0"/>
          <w:tab w:val="decimal" w:pos="780"/>
        </w:tabs>
        <w:rPr>
          <w:rFonts w:asciiTheme="minorHAnsi" w:hAnsiTheme="minorHAnsi" w:cstheme="minorHAnsi"/>
          <w:sz w:val="22"/>
          <w:szCs w:val="22"/>
          <w:lang w:val="en-US"/>
        </w:rPr>
      </w:pPr>
      <w:r w:rsidRPr="0068094B">
        <w:rPr>
          <w:rFonts w:asciiTheme="minorHAnsi" w:hAnsiTheme="minorHAnsi" w:cstheme="minorHAnsi"/>
          <w:sz w:val="22"/>
          <w:szCs w:val="22"/>
          <w:lang w:val="en-US"/>
        </w:rPr>
        <w:t>I declare that the Statement of Accounts presents a true and fair view of the financial position of the authority at the accounting date and its income and expenditure for the year ended 31 March 20</w:t>
      </w:r>
      <w:r w:rsidR="00236B9F">
        <w:rPr>
          <w:rFonts w:asciiTheme="minorHAnsi" w:hAnsiTheme="minorHAnsi" w:cstheme="minorHAnsi"/>
          <w:sz w:val="22"/>
          <w:szCs w:val="22"/>
          <w:lang w:val="en-US"/>
        </w:rPr>
        <w:t>20</w:t>
      </w:r>
      <w:r w:rsidRPr="0068094B">
        <w:rPr>
          <w:rFonts w:asciiTheme="minorHAnsi" w:hAnsiTheme="minorHAnsi" w:cstheme="minorHAnsi"/>
          <w:sz w:val="22"/>
          <w:szCs w:val="22"/>
          <w:lang w:val="en-US"/>
        </w:rPr>
        <w:t xml:space="preserve">. I confirm that the date of this declaration is the date up to which events have been considered for inclusion within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Statement</w:t>
      </w:r>
      <w:r w:rsidR="00545B03" w:rsidRPr="0068094B">
        <w:rPr>
          <w:rFonts w:asciiTheme="minorHAnsi" w:hAnsiTheme="minorHAnsi" w:cstheme="minorHAnsi"/>
          <w:sz w:val="22"/>
          <w:szCs w:val="22"/>
          <w:lang w:val="en-US"/>
        </w:rPr>
        <w:t xml:space="preserve"> of Accounts, and are therefore </w:t>
      </w:r>
      <w:proofErr w:type="spellStart"/>
      <w:r w:rsidRPr="0068094B">
        <w:rPr>
          <w:rFonts w:asciiTheme="minorHAnsi" w:hAnsiTheme="minorHAnsi" w:cstheme="minorHAnsi"/>
          <w:sz w:val="22"/>
          <w:szCs w:val="22"/>
          <w:lang w:val="en-US"/>
        </w:rPr>
        <w:t>authorised</w:t>
      </w:r>
      <w:proofErr w:type="spellEnd"/>
      <w:r w:rsidRPr="0068094B">
        <w:rPr>
          <w:rFonts w:asciiTheme="minorHAnsi" w:hAnsiTheme="minorHAnsi" w:cstheme="minorHAnsi"/>
          <w:sz w:val="22"/>
          <w:szCs w:val="22"/>
          <w:lang w:val="en-US"/>
        </w:rPr>
        <w:t xml:space="preserve"> for issue</w:t>
      </w:r>
      <w:r w:rsidR="00BD2C2B">
        <w:rPr>
          <w:rFonts w:asciiTheme="minorHAnsi" w:hAnsiTheme="minorHAnsi" w:cstheme="minorHAnsi"/>
          <w:sz w:val="22"/>
          <w:szCs w:val="22"/>
          <w:lang w:val="en-US"/>
        </w:rPr>
        <w:t>.</w:t>
      </w:r>
    </w:p>
    <w:p w:rsidR="00A23F3C" w:rsidRPr="0068094B" w:rsidRDefault="00A23F3C" w:rsidP="00650803">
      <w:pPr>
        <w:tabs>
          <w:tab w:val="left" w:pos="-1440"/>
          <w:tab w:val="left" w:pos="-720"/>
          <w:tab w:val="left" w:pos="0"/>
          <w:tab w:val="decimal" w:pos="780"/>
        </w:tabs>
        <w:spacing w:before="1080"/>
        <w:jc w:val="both"/>
        <w:rPr>
          <w:rFonts w:asciiTheme="minorHAnsi" w:hAnsiTheme="minorHAnsi" w:cstheme="minorHAnsi"/>
          <w:sz w:val="22"/>
          <w:szCs w:val="22"/>
        </w:rPr>
      </w:pPr>
    </w:p>
    <w:p w:rsidR="00183652" w:rsidRPr="0068094B" w:rsidRDefault="004A6511" w:rsidP="00BD2C2B">
      <w:pPr>
        <w:tabs>
          <w:tab w:val="left" w:pos="-1440"/>
          <w:tab w:val="left" w:pos="-720"/>
          <w:tab w:val="left" w:pos="0"/>
          <w:tab w:val="decimal" w:pos="780"/>
          <w:tab w:val="left" w:pos="5103"/>
        </w:tabs>
        <w:rPr>
          <w:rFonts w:asciiTheme="minorHAnsi" w:hAnsiTheme="minorHAnsi" w:cstheme="minorHAnsi"/>
          <w:bCs/>
          <w:sz w:val="22"/>
          <w:szCs w:val="22"/>
        </w:rPr>
      </w:pPr>
      <w:r w:rsidRPr="0068094B">
        <w:rPr>
          <w:rFonts w:asciiTheme="minorHAnsi" w:hAnsiTheme="minorHAnsi" w:cstheme="minorHAnsi"/>
          <w:b/>
          <w:sz w:val="22"/>
          <w:szCs w:val="22"/>
        </w:rPr>
        <w:t>John Ward CPFA</w:t>
      </w:r>
      <w:r w:rsidR="00BD2C2B">
        <w:rPr>
          <w:rFonts w:asciiTheme="minorHAnsi" w:hAnsiTheme="minorHAnsi" w:cstheme="minorHAnsi"/>
          <w:b/>
          <w:sz w:val="22"/>
          <w:szCs w:val="22"/>
        </w:rPr>
        <w:tab/>
      </w:r>
      <w:r w:rsidRPr="0068094B">
        <w:rPr>
          <w:rFonts w:asciiTheme="minorHAnsi" w:hAnsiTheme="minorHAnsi" w:cstheme="minorHAnsi"/>
          <w:b/>
          <w:sz w:val="22"/>
          <w:szCs w:val="22"/>
        </w:rPr>
        <w:t>Date</w:t>
      </w:r>
      <w:r w:rsidR="00BD2C2B">
        <w:rPr>
          <w:rFonts w:asciiTheme="minorHAnsi" w:hAnsiTheme="minorHAnsi" w:cstheme="minorHAnsi"/>
          <w:b/>
          <w:sz w:val="22"/>
          <w:szCs w:val="22"/>
        </w:rPr>
        <w:t xml:space="preserve"> </w:t>
      </w:r>
      <w:r w:rsidR="00C24975">
        <w:rPr>
          <w:rFonts w:asciiTheme="minorHAnsi" w:hAnsiTheme="minorHAnsi" w:cstheme="minorHAnsi"/>
          <w:b/>
          <w:sz w:val="22"/>
          <w:szCs w:val="22"/>
        </w:rPr>
        <w:t>9</w:t>
      </w:r>
      <w:r w:rsidR="008E5ED9" w:rsidRPr="004303D8">
        <w:rPr>
          <w:rFonts w:asciiTheme="minorHAnsi" w:hAnsiTheme="minorHAnsi" w:cstheme="minorHAnsi"/>
          <w:b/>
          <w:sz w:val="22"/>
          <w:szCs w:val="22"/>
        </w:rPr>
        <w:t xml:space="preserve"> </w:t>
      </w:r>
      <w:r w:rsidR="007D16A7" w:rsidRPr="004303D8">
        <w:rPr>
          <w:rFonts w:asciiTheme="minorHAnsi" w:hAnsiTheme="minorHAnsi" w:cstheme="minorHAnsi"/>
          <w:b/>
          <w:sz w:val="22"/>
          <w:szCs w:val="22"/>
        </w:rPr>
        <w:t>Novembe</w:t>
      </w:r>
      <w:r w:rsidR="00902B5F" w:rsidRPr="004303D8">
        <w:rPr>
          <w:rFonts w:asciiTheme="minorHAnsi" w:hAnsiTheme="minorHAnsi" w:cstheme="minorHAnsi"/>
          <w:b/>
          <w:sz w:val="22"/>
          <w:szCs w:val="22"/>
        </w:rPr>
        <w:t>r</w:t>
      </w:r>
      <w:r w:rsidR="008E5ED9" w:rsidRPr="004303D8">
        <w:rPr>
          <w:rFonts w:asciiTheme="minorHAnsi" w:hAnsiTheme="minorHAnsi" w:cstheme="minorHAnsi"/>
          <w:b/>
          <w:sz w:val="22"/>
          <w:szCs w:val="22"/>
        </w:rPr>
        <w:t xml:space="preserve"> 20</w:t>
      </w:r>
      <w:r w:rsidR="00F80BE7" w:rsidRPr="004303D8">
        <w:rPr>
          <w:rFonts w:asciiTheme="minorHAnsi" w:hAnsiTheme="minorHAnsi" w:cstheme="minorHAnsi"/>
          <w:b/>
          <w:sz w:val="22"/>
          <w:szCs w:val="22"/>
        </w:rPr>
        <w:t>20</w:t>
      </w:r>
    </w:p>
    <w:p w:rsidR="00183652" w:rsidRPr="0068094B" w:rsidRDefault="00A23F3C">
      <w:pPr>
        <w:tabs>
          <w:tab w:val="left" w:pos="-1440"/>
          <w:tab w:val="left" w:pos="-720"/>
          <w:tab w:val="left" w:pos="0"/>
          <w:tab w:val="decimal" w:pos="780"/>
        </w:tabs>
        <w:ind w:left="780" w:hanging="780"/>
        <w:rPr>
          <w:rFonts w:asciiTheme="minorHAnsi" w:hAnsiTheme="minorHAnsi" w:cstheme="minorHAnsi"/>
          <w:b/>
          <w:sz w:val="22"/>
          <w:szCs w:val="22"/>
        </w:rPr>
      </w:pPr>
      <w:r>
        <w:rPr>
          <w:rFonts w:asciiTheme="minorHAnsi" w:hAnsiTheme="minorHAnsi" w:cstheme="minorHAnsi"/>
          <w:b/>
          <w:sz w:val="22"/>
          <w:szCs w:val="22"/>
        </w:rPr>
        <w:t>Director of Corporate</w:t>
      </w:r>
      <w:r w:rsidR="003E18F9" w:rsidRPr="0068094B">
        <w:rPr>
          <w:rFonts w:asciiTheme="minorHAnsi" w:hAnsiTheme="minorHAnsi" w:cstheme="minorHAnsi"/>
          <w:b/>
          <w:sz w:val="22"/>
          <w:szCs w:val="22"/>
        </w:rPr>
        <w:t xml:space="preserve"> Service</w:t>
      </w:r>
      <w:r w:rsidR="00BD2C2B">
        <w:rPr>
          <w:rFonts w:asciiTheme="minorHAnsi" w:hAnsiTheme="minorHAnsi" w:cstheme="minorHAnsi"/>
          <w:b/>
          <w:sz w:val="22"/>
          <w:szCs w:val="22"/>
        </w:rPr>
        <w:t>s</w:t>
      </w:r>
    </w:p>
    <w:p w:rsidR="00183652" w:rsidRPr="0068094B" w:rsidRDefault="00183652">
      <w:pPr>
        <w:tabs>
          <w:tab w:val="left" w:pos="-1440"/>
          <w:tab w:val="left" w:pos="-720"/>
          <w:tab w:val="left" w:pos="0"/>
          <w:tab w:val="decimal" w:pos="780"/>
        </w:tabs>
        <w:ind w:left="780" w:hanging="780"/>
        <w:rPr>
          <w:rFonts w:asciiTheme="minorHAnsi" w:hAnsiTheme="minorHAnsi" w:cstheme="minorHAnsi"/>
          <w:b/>
          <w:sz w:val="22"/>
          <w:szCs w:val="22"/>
        </w:rPr>
      </w:pPr>
    </w:p>
    <w:p w:rsidR="00A23F3C" w:rsidRDefault="00A23F3C">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p>
    <w:p w:rsidR="00183652" w:rsidRPr="0068094B" w:rsidRDefault="004A6511">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r w:rsidRPr="0068094B">
        <w:rPr>
          <w:rFonts w:asciiTheme="minorHAnsi" w:hAnsiTheme="minorHAnsi" w:cstheme="minorHAnsi"/>
          <w:bCs/>
          <w:sz w:val="22"/>
          <w:szCs w:val="22"/>
        </w:rPr>
        <w:t>Approval for the Statement of Accounts</w:t>
      </w:r>
    </w:p>
    <w:p w:rsidR="006F32F4" w:rsidRDefault="006F32F4" w:rsidP="00453CB0">
      <w:pPr>
        <w:tabs>
          <w:tab w:val="left" w:pos="-1440"/>
          <w:tab w:val="left" w:pos="-720"/>
          <w:tab w:val="decimal" w:pos="0"/>
        </w:tabs>
        <w:spacing w:before="960"/>
        <w:rPr>
          <w:rFonts w:asciiTheme="minorHAnsi" w:hAnsiTheme="minorHAnsi" w:cstheme="minorHAnsi"/>
          <w:sz w:val="22"/>
          <w:szCs w:val="22"/>
        </w:rPr>
      </w:pPr>
    </w:p>
    <w:p w:rsidR="00183652" w:rsidRPr="004303D8" w:rsidRDefault="00741D6C" w:rsidP="00BD2C2B">
      <w:pPr>
        <w:tabs>
          <w:tab w:val="left" w:pos="5103"/>
        </w:tabs>
        <w:jc w:val="both"/>
        <w:rPr>
          <w:rFonts w:asciiTheme="minorHAnsi" w:hAnsiTheme="minorHAnsi" w:cstheme="minorHAnsi"/>
          <w:sz w:val="22"/>
          <w:szCs w:val="22"/>
        </w:rPr>
      </w:pPr>
      <w:r w:rsidRPr="007D16A7">
        <w:rPr>
          <w:rFonts w:asciiTheme="minorHAnsi" w:hAnsiTheme="minorHAnsi" w:cstheme="minorHAnsi"/>
          <w:b/>
          <w:bCs/>
          <w:sz w:val="22"/>
          <w:szCs w:val="22"/>
        </w:rPr>
        <w:t>Franc</w:t>
      </w:r>
      <w:r w:rsidR="00A14A81" w:rsidRPr="007D16A7">
        <w:rPr>
          <w:rFonts w:asciiTheme="minorHAnsi" w:hAnsiTheme="minorHAnsi" w:cstheme="minorHAnsi"/>
          <w:b/>
          <w:bCs/>
          <w:sz w:val="22"/>
          <w:szCs w:val="22"/>
        </w:rPr>
        <w:t>i</w:t>
      </w:r>
      <w:r w:rsidRPr="007D16A7">
        <w:rPr>
          <w:rFonts w:asciiTheme="minorHAnsi" w:hAnsiTheme="minorHAnsi" w:cstheme="minorHAnsi"/>
          <w:b/>
          <w:bCs/>
          <w:sz w:val="22"/>
          <w:szCs w:val="22"/>
        </w:rPr>
        <w:t>s</w:t>
      </w:r>
      <w:r w:rsidR="004336E7" w:rsidRPr="007D16A7">
        <w:rPr>
          <w:rFonts w:asciiTheme="minorHAnsi" w:hAnsiTheme="minorHAnsi" w:cstheme="minorHAnsi"/>
          <w:b/>
          <w:bCs/>
          <w:sz w:val="22"/>
          <w:szCs w:val="22"/>
        </w:rPr>
        <w:t xml:space="preserve"> </w:t>
      </w:r>
      <w:r>
        <w:rPr>
          <w:rFonts w:asciiTheme="minorHAnsi" w:hAnsiTheme="minorHAnsi" w:cstheme="minorHAnsi"/>
          <w:b/>
          <w:bCs/>
          <w:sz w:val="22"/>
          <w:szCs w:val="22"/>
        </w:rPr>
        <w:t>Hobbs</w:t>
      </w:r>
      <w:r w:rsidR="00BD2C2B">
        <w:rPr>
          <w:rFonts w:asciiTheme="minorHAnsi" w:hAnsiTheme="minorHAnsi" w:cstheme="minorHAnsi"/>
          <w:b/>
          <w:bCs/>
          <w:sz w:val="22"/>
          <w:szCs w:val="22"/>
        </w:rPr>
        <w:tab/>
      </w:r>
      <w:r w:rsidR="004A6511" w:rsidRPr="004303D8">
        <w:rPr>
          <w:rFonts w:asciiTheme="minorHAnsi" w:hAnsiTheme="minorHAnsi" w:cstheme="minorHAnsi"/>
          <w:b/>
          <w:bCs/>
          <w:sz w:val="22"/>
          <w:szCs w:val="22"/>
        </w:rPr>
        <w:t>Date</w:t>
      </w:r>
      <w:r w:rsidR="00BD2C2B">
        <w:rPr>
          <w:rFonts w:asciiTheme="minorHAnsi" w:hAnsiTheme="minorHAnsi" w:cstheme="minorHAnsi"/>
          <w:b/>
          <w:bCs/>
          <w:sz w:val="22"/>
          <w:szCs w:val="22"/>
        </w:rPr>
        <w:t xml:space="preserve"> </w:t>
      </w:r>
      <w:r w:rsidR="004303D8">
        <w:rPr>
          <w:rFonts w:asciiTheme="minorHAnsi" w:hAnsiTheme="minorHAnsi" w:cstheme="minorHAnsi"/>
          <w:b/>
          <w:bCs/>
          <w:sz w:val="22"/>
          <w:szCs w:val="22"/>
        </w:rPr>
        <w:t>26</w:t>
      </w:r>
      <w:r w:rsidR="008C78DF" w:rsidRPr="004303D8">
        <w:rPr>
          <w:rFonts w:asciiTheme="minorHAnsi" w:hAnsiTheme="minorHAnsi" w:cstheme="minorHAnsi"/>
          <w:b/>
          <w:bCs/>
          <w:sz w:val="22"/>
          <w:szCs w:val="22"/>
        </w:rPr>
        <w:t xml:space="preserve"> </w:t>
      </w:r>
      <w:r w:rsidR="007D16A7" w:rsidRPr="004303D8">
        <w:rPr>
          <w:rFonts w:asciiTheme="minorHAnsi" w:hAnsiTheme="minorHAnsi" w:cstheme="minorHAnsi"/>
          <w:b/>
          <w:bCs/>
          <w:sz w:val="22"/>
          <w:szCs w:val="22"/>
        </w:rPr>
        <w:t>November</w:t>
      </w:r>
      <w:r w:rsidR="008C78DF" w:rsidRPr="004303D8">
        <w:rPr>
          <w:rFonts w:asciiTheme="minorHAnsi" w:hAnsiTheme="minorHAnsi" w:cstheme="minorHAnsi"/>
          <w:b/>
          <w:bCs/>
          <w:sz w:val="22"/>
          <w:szCs w:val="22"/>
        </w:rPr>
        <w:t xml:space="preserve"> 20</w:t>
      </w:r>
      <w:r w:rsidR="00F80BE7" w:rsidRPr="004303D8">
        <w:rPr>
          <w:rFonts w:asciiTheme="minorHAnsi" w:hAnsiTheme="minorHAnsi" w:cstheme="minorHAnsi"/>
          <w:b/>
          <w:bCs/>
          <w:sz w:val="22"/>
          <w:szCs w:val="22"/>
        </w:rPr>
        <w:t>20</w:t>
      </w:r>
      <w:r w:rsidR="00822CFB" w:rsidRPr="004303D8">
        <w:rPr>
          <w:rFonts w:asciiTheme="minorHAnsi" w:hAnsiTheme="minorHAnsi" w:cstheme="minorHAnsi"/>
          <w:b/>
          <w:bCs/>
          <w:sz w:val="22"/>
          <w:szCs w:val="22"/>
        </w:rPr>
        <w:tab/>
      </w:r>
    </w:p>
    <w:p w:rsidR="00183652" w:rsidRPr="0068094B" w:rsidRDefault="004A6511" w:rsidP="009E4F88">
      <w:pPr>
        <w:pStyle w:val="BodyText1"/>
        <w:spacing w:before="0" w:after="0"/>
        <w:ind w:left="-709" w:firstLine="709"/>
        <w:rPr>
          <w:rFonts w:asciiTheme="minorHAnsi" w:hAnsiTheme="minorHAnsi" w:cstheme="minorHAnsi"/>
          <w:b/>
          <w:sz w:val="22"/>
          <w:szCs w:val="22"/>
        </w:rPr>
      </w:pPr>
      <w:r w:rsidRPr="004303D8">
        <w:rPr>
          <w:rFonts w:asciiTheme="minorHAnsi" w:hAnsiTheme="minorHAnsi" w:cstheme="minorHAnsi"/>
          <w:b/>
          <w:bCs/>
          <w:sz w:val="22"/>
          <w:szCs w:val="22"/>
        </w:rPr>
        <w:t>Chair</w:t>
      </w:r>
      <w:r w:rsidR="00C53286">
        <w:rPr>
          <w:rFonts w:asciiTheme="minorHAnsi" w:hAnsiTheme="minorHAnsi" w:cstheme="minorHAnsi"/>
          <w:b/>
          <w:bCs/>
          <w:sz w:val="22"/>
          <w:szCs w:val="22"/>
        </w:rPr>
        <w:t>man</w:t>
      </w:r>
      <w:r w:rsidRPr="004303D8">
        <w:rPr>
          <w:rFonts w:asciiTheme="minorHAnsi" w:hAnsiTheme="minorHAnsi" w:cstheme="minorHAnsi"/>
          <w:b/>
          <w:sz w:val="22"/>
          <w:szCs w:val="22"/>
        </w:rPr>
        <w:t xml:space="preserve"> of the Corporate Governance and Audit Committee</w:t>
      </w:r>
      <w:r w:rsidRPr="0068094B">
        <w:rPr>
          <w:rFonts w:asciiTheme="minorHAnsi" w:hAnsiTheme="minorHAnsi" w:cstheme="minorHAnsi"/>
          <w:b/>
          <w:sz w:val="22"/>
          <w:szCs w:val="22"/>
        </w:rPr>
        <w:t xml:space="preserve"> </w:t>
      </w:r>
    </w:p>
    <w:p w:rsidR="00650803" w:rsidRDefault="00650803">
      <w:pPr>
        <w:tabs>
          <w:tab w:val="left" w:pos="240"/>
          <w:tab w:val="left" w:pos="540"/>
          <w:tab w:val="left" w:pos="7110"/>
          <w:tab w:val="left" w:pos="7650"/>
          <w:tab w:val="left" w:pos="8550"/>
        </w:tabs>
        <w:rPr>
          <w:rFonts w:asciiTheme="minorHAnsi" w:hAnsiTheme="minorHAnsi" w:cstheme="minorHAnsi"/>
          <w:b/>
          <w:iCs/>
          <w:szCs w:val="24"/>
        </w:rPr>
      </w:pPr>
    </w:p>
    <w:p w:rsidR="00183652" w:rsidRPr="009B4521" w:rsidRDefault="004A6511">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lastRenderedPageBreak/>
        <w:t>Independent Auditor’s Report to the</w:t>
      </w:r>
    </w:p>
    <w:p w:rsidR="00183652" w:rsidRPr="00BD2C2B" w:rsidRDefault="004A6511">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t xml:space="preserve">Members of Chichester District </w:t>
      </w:r>
      <w:r w:rsidR="00E16274" w:rsidRPr="009B4521">
        <w:rPr>
          <w:rFonts w:asciiTheme="minorHAnsi" w:hAnsiTheme="minorHAnsi" w:cstheme="minorHAnsi"/>
          <w:b/>
          <w:iCs/>
          <w:szCs w:val="24"/>
        </w:rPr>
        <w:t>Council</w:t>
      </w:r>
    </w:p>
    <w:p w:rsidR="00C34B33" w:rsidRPr="00BD2C2B" w:rsidRDefault="00C34B33" w:rsidP="00BD2C2B">
      <w:pPr>
        <w:pStyle w:val="Heading2"/>
        <w:tabs>
          <w:tab w:val="clear" w:pos="1350"/>
          <w:tab w:val="clear" w:pos="2790"/>
          <w:tab w:val="clear" w:pos="3390"/>
          <w:tab w:val="clear" w:pos="4230"/>
          <w:tab w:val="clear" w:pos="4950"/>
          <w:tab w:val="clear" w:pos="5670"/>
          <w:tab w:val="clear" w:pos="6390"/>
          <w:tab w:val="clear" w:pos="6750"/>
          <w:tab w:val="clear" w:pos="7830"/>
          <w:tab w:val="left" w:pos="240"/>
          <w:tab w:val="left" w:pos="540"/>
          <w:tab w:val="left" w:pos="7110"/>
          <w:tab w:val="left" w:pos="7650"/>
        </w:tabs>
        <w:rPr>
          <w:rFonts w:asciiTheme="minorHAnsi" w:hAnsiTheme="minorHAnsi" w:cstheme="minorHAnsi"/>
          <w:bCs/>
          <w:sz w:val="22"/>
          <w:szCs w:val="22"/>
          <w:lang w:val="en-US"/>
        </w:rPr>
      </w:pPr>
    </w:p>
    <w:p w:rsidR="00F24AC9" w:rsidRPr="00B16D3D" w:rsidRDefault="00F24AC9" w:rsidP="00F24AC9">
      <w:pPr>
        <w:rPr>
          <w:rFonts w:asciiTheme="minorHAnsi" w:hAnsiTheme="minorHAnsi"/>
          <w:b/>
          <w:sz w:val="22"/>
          <w:szCs w:val="22"/>
        </w:rPr>
      </w:pPr>
      <w:r w:rsidRPr="00B16D3D">
        <w:rPr>
          <w:rFonts w:asciiTheme="minorHAnsi" w:hAnsiTheme="minorHAnsi"/>
          <w:b/>
          <w:sz w:val="22"/>
          <w:szCs w:val="22"/>
        </w:rPr>
        <w:t xml:space="preserve">Opinion </w:t>
      </w:r>
    </w:p>
    <w:p w:rsidR="00F24AC9" w:rsidRPr="00B16D3D" w:rsidRDefault="00F24AC9" w:rsidP="00F24AC9">
      <w:pPr>
        <w:rPr>
          <w:rFonts w:asciiTheme="minorHAnsi" w:hAnsiTheme="minorHAnsi"/>
          <w:b/>
          <w:sz w:val="22"/>
          <w:szCs w:val="22"/>
        </w:rPr>
      </w:pPr>
    </w:p>
    <w:p w:rsidR="00F24AC9" w:rsidRPr="00B16D3D" w:rsidRDefault="00F24AC9" w:rsidP="00F24AC9">
      <w:pPr>
        <w:rPr>
          <w:rFonts w:asciiTheme="minorHAnsi" w:hAnsiTheme="minorHAnsi"/>
          <w:sz w:val="22"/>
          <w:szCs w:val="22"/>
        </w:rPr>
      </w:pPr>
      <w:r w:rsidRPr="00B16D3D">
        <w:rPr>
          <w:rFonts w:asciiTheme="minorHAnsi" w:hAnsiTheme="minorHAnsi"/>
          <w:sz w:val="22"/>
          <w:szCs w:val="22"/>
        </w:rPr>
        <w:t>We have audited the financial statements of Chichester District Council for the year ended 31 March 20</w:t>
      </w:r>
      <w:r w:rsidR="00965C9A">
        <w:rPr>
          <w:rFonts w:asciiTheme="minorHAnsi" w:hAnsiTheme="minorHAnsi"/>
          <w:sz w:val="22"/>
          <w:szCs w:val="22"/>
        </w:rPr>
        <w:t>20</w:t>
      </w:r>
      <w:r w:rsidRPr="00B16D3D">
        <w:rPr>
          <w:rFonts w:asciiTheme="minorHAnsi" w:hAnsiTheme="minorHAnsi"/>
          <w:sz w:val="22"/>
          <w:szCs w:val="22"/>
        </w:rPr>
        <w:t xml:space="preserve"> under the Local Audit and Accountability Act 2014. The</w:t>
      </w:r>
      <w:r w:rsidRPr="00B16D3D">
        <w:rPr>
          <w:rFonts w:asciiTheme="minorHAnsi" w:hAnsiTheme="minorHAnsi" w:cs="Arial"/>
          <w:sz w:val="22"/>
          <w:szCs w:val="22"/>
        </w:rPr>
        <w:t xml:space="preserve"> </w:t>
      </w:r>
      <w:r w:rsidRPr="00B16D3D">
        <w:rPr>
          <w:rFonts w:asciiTheme="minorHAnsi" w:hAnsiTheme="minorHAnsi"/>
          <w:sz w:val="22"/>
          <w:szCs w:val="22"/>
        </w:rPr>
        <w:t>financial statements comprise the:</w:t>
      </w:r>
    </w:p>
    <w:p w:rsidR="00F24AC9" w:rsidRPr="00B16D3D" w:rsidRDefault="00F24AC9" w:rsidP="00F24AC9">
      <w:pPr>
        <w:rPr>
          <w:rFonts w:asciiTheme="minorHAnsi" w:hAnsiTheme="minorHAnsi"/>
          <w:sz w:val="22"/>
          <w:szCs w:val="22"/>
        </w:rPr>
      </w:pPr>
    </w:p>
    <w:p w:rsidR="00F24AC9" w:rsidRPr="00B16D3D" w:rsidRDefault="00F24AC9" w:rsidP="00F24AC9">
      <w:pPr>
        <w:widowControl/>
        <w:numPr>
          <w:ilvl w:val="0"/>
          <w:numId w:val="65"/>
        </w:numPr>
        <w:suppressAutoHyphens w:val="0"/>
        <w:rPr>
          <w:rFonts w:asciiTheme="minorHAnsi" w:hAnsiTheme="minorHAnsi" w:cs="Arial"/>
          <w:sz w:val="22"/>
          <w:szCs w:val="22"/>
        </w:rPr>
      </w:pPr>
      <w:r w:rsidRPr="00B16D3D">
        <w:rPr>
          <w:rFonts w:asciiTheme="minorHAnsi" w:hAnsiTheme="minorHAnsi" w:cs="Arial"/>
          <w:sz w:val="22"/>
          <w:szCs w:val="22"/>
        </w:rPr>
        <w:t xml:space="preserve">Comprehensive Income and Expenditure Statement, </w:t>
      </w:r>
    </w:p>
    <w:p w:rsidR="00F24AC9" w:rsidRPr="00B16D3D" w:rsidRDefault="00F24AC9" w:rsidP="00F24AC9">
      <w:pPr>
        <w:widowControl/>
        <w:numPr>
          <w:ilvl w:val="0"/>
          <w:numId w:val="65"/>
        </w:numPr>
        <w:suppressAutoHyphens w:val="0"/>
        <w:rPr>
          <w:rFonts w:asciiTheme="minorHAnsi" w:hAnsiTheme="minorHAnsi" w:cs="Arial"/>
          <w:sz w:val="22"/>
          <w:szCs w:val="22"/>
        </w:rPr>
      </w:pPr>
      <w:r w:rsidRPr="00B16D3D">
        <w:rPr>
          <w:rFonts w:asciiTheme="minorHAnsi" w:hAnsiTheme="minorHAnsi" w:cs="Arial"/>
          <w:sz w:val="22"/>
          <w:szCs w:val="22"/>
        </w:rPr>
        <w:t xml:space="preserve">Balance Sheet, </w:t>
      </w:r>
    </w:p>
    <w:p w:rsidR="00F24AC9" w:rsidRPr="00B16D3D" w:rsidRDefault="00F24AC9" w:rsidP="00F24AC9">
      <w:pPr>
        <w:widowControl/>
        <w:numPr>
          <w:ilvl w:val="0"/>
          <w:numId w:val="65"/>
        </w:numPr>
        <w:suppressAutoHyphens w:val="0"/>
        <w:rPr>
          <w:rFonts w:asciiTheme="minorHAnsi" w:hAnsiTheme="minorHAnsi" w:cs="Arial"/>
          <w:sz w:val="22"/>
          <w:szCs w:val="22"/>
        </w:rPr>
      </w:pPr>
      <w:r w:rsidRPr="00B16D3D">
        <w:rPr>
          <w:rFonts w:asciiTheme="minorHAnsi" w:hAnsiTheme="minorHAnsi" w:cs="Arial"/>
          <w:sz w:val="22"/>
          <w:szCs w:val="22"/>
        </w:rPr>
        <w:t xml:space="preserve">Movement in Reserves Statement, </w:t>
      </w:r>
    </w:p>
    <w:p w:rsidR="00F24AC9" w:rsidRPr="00B16D3D" w:rsidRDefault="00F24AC9" w:rsidP="00F24AC9">
      <w:pPr>
        <w:widowControl/>
        <w:numPr>
          <w:ilvl w:val="0"/>
          <w:numId w:val="65"/>
        </w:numPr>
        <w:suppressAutoHyphens w:val="0"/>
        <w:rPr>
          <w:rFonts w:asciiTheme="minorHAnsi" w:hAnsiTheme="minorHAnsi"/>
          <w:sz w:val="22"/>
          <w:szCs w:val="22"/>
        </w:rPr>
      </w:pPr>
      <w:r w:rsidRPr="00B16D3D">
        <w:rPr>
          <w:rFonts w:asciiTheme="minorHAnsi" w:hAnsiTheme="minorHAnsi" w:cs="Arial"/>
          <w:sz w:val="22"/>
          <w:szCs w:val="22"/>
        </w:rPr>
        <w:t>Cash Flow</w:t>
      </w:r>
      <w:r w:rsidRPr="00B16D3D">
        <w:rPr>
          <w:rFonts w:asciiTheme="minorHAnsi" w:hAnsiTheme="minorHAnsi"/>
          <w:sz w:val="22"/>
          <w:szCs w:val="22"/>
        </w:rPr>
        <w:t xml:space="preserve"> Statement, </w:t>
      </w:r>
    </w:p>
    <w:p w:rsidR="00F24AC9" w:rsidRPr="00B16D3D" w:rsidRDefault="00F24AC9" w:rsidP="00F24AC9">
      <w:pPr>
        <w:widowControl/>
        <w:numPr>
          <w:ilvl w:val="0"/>
          <w:numId w:val="65"/>
        </w:numPr>
        <w:suppressAutoHyphens w:val="0"/>
        <w:rPr>
          <w:rFonts w:asciiTheme="minorHAnsi" w:hAnsiTheme="minorHAnsi"/>
          <w:sz w:val="22"/>
          <w:szCs w:val="22"/>
        </w:rPr>
      </w:pPr>
      <w:r w:rsidRPr="00B16D3D">
        <w:rPr>
          <w:rFonts w:asciiTheme="minorHAnsi" w:hAnsiTheme="minorHAnsi" w:cs="Arial"/>
          <w:sz w:val="22"/>
          <w:szCs w:val="22"/>
        </w:rPr>
        <w:t xml:space="preserve">the related notes 1 to 31, and </w:t>
      </w:r>
    </w:p>
    <w:p w:rsidR="00F24AC9" w:rsidRPr="00B16D3D" w:rsidRDefault="00F24AC9" w:rsidP="00F24AC9">
      <w:pPr>
        <w:widowControl/>
        <w:numPr>
          <w:ilvl w:val="0"/>
          <w:numId w:val="65"/>
        </w:numPr>
        <w:suppressAutoHyphens w:val="0"/>
        <w:rPr>
          <w:rFonts w:asciiTheme="minorHAnsi" w:hAnsiTheme="minorHAnsi" w:cs="Arial"/>
          <w:sz w:val="22"/>
          <w:szCs w:val="22"/>
        </w:rPr>
      </w:pPr>
      <w:r w:rsidRPr="00B16D3D">
        <w:rPr>
          <w:rFonts w:asciiTheme="minorHAnsi" w:hAnsiTheme="minorHAnsi"/>
          <w:sz w:val="22"/>
          <w:szCs w:val="22"/>
        </w:rPr>
        <w:t>Collection Fund and related notes 1 to 4.</w:t>
      </w:r>
    </w:p>
    <w:p w:rsidR="00F24AC9" w:rsidRPr="00B16D3D" w:rsidRDefault="00F24AC9" w:rsidP="00F24AC9">
      <w:pPr>
        <w:rPr>
          <w:rFonts w:asciiTheme="minorHAnsi" w:hAnsiTheme="minorHAnsi" w:cs="Arial"/>
          <w:sz w:val="22"/>
          <w:szCs w:val="22"/>
        </w:rPr>
      </w:pPr>
    </w:p>
    <w:p w:rsidR="00F24AC9" w:rsidRPr="00B16D3D" w:rsidRDefault="00F24AC9" w:rsidP="00F24AC9">
      <w:pPr>
        <w:rPr>
          <w:rFonts w:asciiTheme="minorHAnsi" w:hAnsiTheme="minorHAnsi"/>
          <w:sz w:val="22"/>
          <w:szCs w:val="22"/>
        </w:rPr>
      </w:pPr>
      <w:r w:rsidRPr="00B16D3D">
        <w:rPr>
          <w:rFonts w:asciiTheme="minorHAnsi" w:hAnsiTheme="minorHAnsi"/>
          <w:sz w:val="22"/>
          <w:szCs w:val="22"/>
        </w:rPr>
        <w:t>The financial reporting framework that has been applied in their preparation is applicable law and the CIPFA/LASAAC Code of Practice on Local Authority Accounting in the United Kingdom 201</w:t>
      </w:r>
      <w:r w:rsidR="00C22498">
        <w:rPr>
          <w:rFonts w:asciiTheme="minorHAnsi" w:hAnsiTheme="minorHAnsi"/>
          <w:sz w:val="22"/>
          <w:szCs w:val="22"/>
        </w:rPr>
        <w:t>9</w:t>
      </w:r>
      <w:r>
        <w:rPr>
          <w:rFonts w:asciiTheme="minorHAnsi" w:hAnsiTheme="minorHAnsi"/>
          <w:sz w:val="22"/>
          <w:szCs w:val="22"/>
        </w:rPr>
        <w:t>-</w:t>
      </w:r>
      <w:r w:rsidR="00C22498">
        <w:rPr>
          <w:rFonts w:asciiTheme="minorHAnsi" w:hAnsiTheme="minorHAnsi"/>
          <w:sz w:val="22"/>
          <w:szCs w:val="22"/>
        </w:rPr>
        <w:t>20</w:t>
      </w:r>
      <w:r w:rsidRPr="00B16D3D">
        <w:rPr>
          <w:rFonts w:asciiTheme="minorHAnsi" w:hAnsiTheme="minorHAnsi"/>
          <w:sz w:val="22"/>
          <w:szCs w:val="22"/>
        </w:rPr>
        <w:t>.</w:t>
      </w:r>
    </w:p>
    <w:p w:rsidR="00F24AC9" w:rsidRPr="00B16D3D" w:rsidRDefault="00F24AC9" w:rsidP="00F24AC9">
      <w:pPr>
        <w:rPr>
          <w:rFonts w:asciiTheme="minorHAnsi" w:hAnsiTheme="minorHAnsi"/>
          <w:sz w:val="22"/>
          <w:szCs w:val="22"/>
        </w:rPr>
      </w:pPr>
    </w:p>
    <w:p w:rsidR="00F24AC9" w:rsidRPr="00B16D3D" w:rsidRDefault="00F24AC9" w:rsidP="00F24AC9">
      <w:pPr>
        <w:autoSpaceDE w:val="0"/>
        <w:autoSpaceDN w:val="0"/>
        <w:adjustRightInd w:val="0"/>
        <w:rPr>
          <w:rFonts w:asciiTheme="minorHAnsi" w:hAnsiTheme="minorHAnsi" w:cs="Arial"/>
          <w:sz w:val="22"/>
          <w:szCs w:val="22"/>
        </w:rPr>
      </w:pPr>
      <w:r w:rsidRPr="00B16D3D">
        <w:rPr>
          <w:rFonts w:asciiTheme="minorHAnsi" w:hAnsiTheme="minorHAnsi" w:cs="Arial"/>
          <w:sz w:val="22"/>
          <w:szCs w:val="22"/>
        </w:rPr>
        <w:t>In our opinion the financial statements:</w:t>
      </w:r>
    </w:p>
    <w:p w:rsidR="00F24AC9" w:rsidRPr="00B16D3D" w:rsidRDefault="00F24AC9" w:rsidP="00F24AC9">
      <w:pPr>
        <w:widowControl/>
        <w:numPr>
          <w:ilvl w:val="0"/>
          <w:numId w:val="63"/>
        </w:numPr>
        <w:tabs>
          <w:tab w:val="clear" w:pos="965"/>
          <w:tab w:val="num" w:pos="757"/>
        </w:tabs>
        <w:suppressAutoHyphens w:val="0"/>
        <w:autoSpaceDE w:val="0"/>
        <w:autoSpaceDN w:val="0"/>
        <w:adjustRightInd w:val="0"/>
        <w:ind w:left="757"/>
        <w:rPr>
          <w:rFonts w:asciiTheme="minorHAnsi" w:hAnsiTheme="minorHAnsi" w:cs="Arial"/>
          <w:sz w:val="22"/>
          <w:szCs w:val="22"/>
        </w:rPr>
      </w:pPr>
      <w:r w:rsidRPr="00B16D3D">
        <w:rPr>
          <w:rFonts w:asciiTheme="minorHAnsi" w:hAnsiTheme="minorHAnsi" w:cs="Arial"/>
          <w:sz w:val="22"/>
          <w:szCs w:val="22"/>
        </w:rPr>
        <w:t xml:space="preserve">give a true and fair view of the financial position of </w:t>
      </w:r>
      <w:r w:rsidRPr="00B16D3D">
        <w:rPr>
          <w:rFonts w:asciiTheme="minorHAnsi" w:hAnsiTheme="minorHAnsi"/>
          <w:sz w:val="22"/>
          <w:szCs w:val="22"/>
        </w:rPr>
        <w:t>Chichester District Council as at 31 March 20</w:t>
      </w:r>
      <w:r w:rsidR="00965C9A">
        <w:rPr>
          <w:rFonts w:asciiTheme="minorHAnsi" w:hAnsiTheme="minorHAnsi"/>
          <w:sz w:val="22"/>
          <w:szCs w:val="22"/>
        </w:rPr>
        <w:t>20</w:t>
      </w:r>
      <w:r w:rsidRPr="00B16D3D">
        <w:rPr>
          <w:rFonts w:asciiTheme="minorHAnsi" w:hAnsiTheme="minorHAnsi"/>
          <w:sz w:val="22"/>
          <w:szCs w:val="22"/>
        </w:rPr>
        <w:t xml:space="preserve"> and of its expenditure and income for the year then ended; </w:t>
      </w:r>
      <w:r w:rsidRPr="00B16D3D">
        <w:rPr>
          <w:rFonts w:asciiTheme="minorHAnsi" w:hAnsiTheme="minorHAnsi" w:cs="Arial"/>
          <w:sz w:val="22"/>
          <w:szCs w:val="22"/>
        </w:rPr>
        <w:t>and</w:t>
      </w:r>
    </w:p>
    <w:p w:rsidR="00F24AC9" w:rsidRPr="00B16D3D" w:rsidRDefault="00F24AC9" w:rsidP="00F24AC9">
      <w:pPr>
        <w:widowControl/>
        <w:numPr>
          <w:ilvl w:val="0"/>
          <w:numId w:val="63"/>
        </w:numPr>
        <w:tabs>
          <w:tab w:val="clear" w:pos="965"/>
          <w:tab w:val="num" w:pos="757"/>
        </w:tabs>
        <w:suppressAutoHyphens w:val="0"/>
        <w:autoSpaceDE w:val="0"/>
        <w:autoSpaceDN w:val="0"/>
        <w:adjustRightInd w:val="0"/>
        <w:ind w:left="757"/>
        <w:rPr>
          <w:rFonts w:asciiTheme="minorHAnsi" w:hAnsiTheme="minorHAnsi" w:cs="Arial"/>
          <w:sz w:val="22"/>
          <w:szCs w:val="22"/>
        </w:rPr>
      </w:pPr>
      <w:r w:rsidRPr="00B16D3D">
        <w:rPr>
          <w:rFonts w:asciiTheme="minorHAnsi" w:hAnsiTheme="minorHAnsi" w:cs="Arial"/>
          <w:sz w:val="22"/>
          <w:szCs w:val="22"/>
        </w:rPr>
        <w:t xml:space="preserve">have been prepared properly in accordance with the CIPFA/LASAAC </w:t>
      </w:r>
      <w:r w:rsidRPr="00B16D3D">
        <w:rPr>
          <w:rFonts w:asciiTheme="minorHAnsi" w:hAnsiTheme="minorHAnsi" w:cs="Arial"/>
          <w:iCs/>
          <w:sz w:val="22"/>
          <w:szCs w:val="22"/>
        </w:rPr>
        <w:t>Code of Practice on Local Authority Accounting in the United Kingdom 201</w:t>
      </w:r>
      <w:r w:rsidR="00965C9A">
        <w:rPr>
          <w:rFonts w:asciiTheme="minorHAnsi" w:hAnsiTheme="minorHAnsi" w:cs="Arial"/>
          <w:iCs/>
          <w:sz w:val="22"/>
          <w:szCs w:val="22"/>
        </w:rPr>
        <w:t>9</w:t>
      </w:r>
      <w:r>
        <w:rPr>
          <w:rFonts w:asciiTheme="minorHAnsi" w:hAnsiTheme="minorHAnsi" w:cs="Arial"/>
          <w:iCs/>
          <w:sz w:val="22"/>
          <w:szCs w:val="22"/>
        </w:rPr>
        <w:t>-</w:t>
      </w:r>
      <w:r w:rsidR="00965C9A">
        <w:rPr>
          <w:rFonts w:asciiTheme="minorHAnsi" w:hAnsiTheme="minorHAnsi" w:cs="Arial"/>
          <w:iCs/>
          <w:sz w:val="22"/>
          <w:szCs w:val="22"/>
        </w:rPr>
        <w:t>20</w:t>
      </w:r>
      <w:r w:rsidRPr="00B16D3D">
        <w:rPr>
          <w:rFonts w:asciiTheme="minorHAnsi" w:hAnsiTheme="minorHAnsi" w:cs="Arial"/>
          <w:iCs/>
          <w:sz w:val="22"/>
          <w:szCs w:val="22"/>
        </w:rPr>
        <w:t>.</w:t>
      </w:r>
    </w:p>
    <w:p w:rsidR="00F24AC9" w:rsidRPr="00B16D3D" w:rsidRDefault="00F24AC9" w:rsidP="00F24AC9">
      <w:pPr>
        <w:rPr>
          <w:rFonts w:asciiTheme="minorHAnsi" w:hAnsiTheme="minorHAnsi"/>
          <w:sz w:val="22"/>
          <w:szCs w:val="22"/>
        </w:rPr>
      </w:pPr>
    </w:p>
    <w:p w:rsidR="00F24AC9" w:rsidRPr="00B16D3D" w:rsidRDefault="00F24AC9" w:rsidP="00F24AC9">
      <w:pPr>
        <w:tabs>
          <w:tab w:val="num" w:pos="794"/>
        </w:tabs>
        <w:autoSpaceDE w:val="0"/>
        <w:autoSpaceDN w:val="0"/>
        <w:adjustRightInd w:val="0"/>
        <w:rPr>
          <w:rFonts w:asciiTheme="minorHAnsi" w:hAnsiTheme="minorHAnsi" w:cs="Arial"/>
          <w:b/>
          <w:iCs/>
          <w:sz w:val="22"/>
          <w:szCs w:val="22"/>
        </w:rPr>
      </w:pPr>
      <w:r w:rsidRPr="00B16D3D">
        <w:rPr>
          <w:rFonts w:asciiTheme="minorHAnsi" w:hAnsiTheme="minorHAnsi" w:cs="Arial"/>
          <w:b/>
          <w:sz w:val="22"/>
          <w:szCs w:val="22"/>
        </w:rPr>
        <w:t>Basis for opinion</w:t>
      </w:r>
    </w:p>
    <w:p w:rsidR="00F24AC9" w:rsidRPr="00B16D3D" w:rsidRDefault="00F24AC9" w:rsidP="00F24AC9">
      <w:pPr>
        <w:rPr>
          <w:rFonts w:asciiTheme="minorHAnsi" w:hAnsiTheme="minorHAnsi"/>
          <w:b/>
          <w:sz w:val="22"/>
          <w:szCs w:val="22"/>
        </w:rPr>
      </w:pPr>
    </w:p>
    <w:p w:rsidR="00F24AC9" w:rsidRPr="00B16D3D" w:rsidRDefault="00F24AC9" w:rsidP="00F24AC9">
      <w:pPr>
        <w:pStyle w:val="EYBodytextwithparaspace"/>
        <w:rPr>
          <w:rFonts w:asciiTheme="minorHAnsi" w:hAnsiTheme="minorHAnsi"/>
          <w:kern w:val="0"/>
          <w:sz w:val="22"/>
          <w:szCs w:val="22"/>
          <w:lang w:eastAsia="en-GB"/>
        </w:rPr>
      </w:pPr>
      <w:r w:rsidRPr="00B16D3D">
        <w:rPr>
          <w:rFonts w:asciiTheme="minorHAnsi" w:hAnsiTheme="minorHAnsi"/>
          <w:kern w:val="0"/>
          <w:sz w:val="22"/>
          <w:szCs w:val="22"/>
          <w:lang w:eastAsia="en-GB"/>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below. We are independent of the authority in accordance with the ethical requirements that are relevant to our audit of the financial statements in the UK, including the FRC’s Ethical Standard and the Comptroller and Auditor General’s (C&amp;AG) AGN01, and we have fulfilled our other ethical responsibilities in accordance with these requirements. </w:t>
      </w:r>
    </w:p>
    <w:p w:rsidR="00F24AC9" w:rsidRPr="00B16D3D" w:rsidRDefault="00F24AC9" w:rsidP="00F24AC9">
      <w:pPr>
        <w:rPr>
          <w:rFonts w:asciiTheme="minorHAnsi" w:hAnsiTheme="minorHAnsi"/>
          <w:sz w:val="22"/>
          <w:szCs w:val="22"/>
        </w:rPr>
      </w:pPr>
      <w:r w:rsidRPr="00B16D3D">
        <w:rPr>
          <w:rFonts w:asciiTheme="minorHAnsi" w:hAnsiTheme="minorHAnsi"/>
          <w:sz w:val="22"/>
          <w:szCs w:val="22"/>
        </w:rPr>
        <w:t>We believe that the audit evidence we have obtained is sufficient and appropriate to provide a basis for our opinion.</w:t>
      </w:r>
    </w:p>
    <w:p w:rsidR="00F24AC9" w:rsidRPr="00B16D3D" w:rsidRDefault="00F24AC9" w:rsidP="00F24AC9">
      <w:pPr>
        <w:rPr>
          <w:rFonts w:asciiTheme="minorHAnsi" w:hAnsiTheme="minorHAnsi"/>
          <w:sz w:val="22"/>
          <w:szCs w:val="22"/>
        </w:rPr>
      </w:pPr>
    </w:p>
    <w:p w:rsidR="00F24AC9" w:rsidRPr="00B16D3D" w:rsidRDefault="00F24AC9" w:rsidP="00F24AC9">
      <w:pPr>
        <w:pStyle w:val="EYBodytextwithparaspace"/>
        <w:rPr>
          <w:rFonts w:asciiTheme="minorHAnsi" w:hAnsiTheme="minorHAnsi"/>
          <w:b/>
          <w:kern w:val="0"/>
          <w:sz w:val="22"/>
          <w:szCs w:val="22"/>
          <w:lang w:eastAsia="en-GB"/>
        </w:rPr>
      </w:pPr>
      <w:r w:rsidRPr="00B16D3D">
        <w:rPr>
          <w:rFonts w:asciiTheme="minorHAnsi" w:hAnsiTheme="minorHAnsi"/>
          <w:b/>
          <w:kern w:val="0"/>
          <w:sz w:val="22"/>
          <w:szCs w:val="22"/>
          <w:lang w:eastAsia="en-GB"/>
        </w:rPr>
        <w:t>Conclusions relating to going concern</w:t>
      </w:r>
    </w:p>
    <w:p w:rsidR="00F24AC9" w:rsidRPr="00B16D3D" w:rsidRDefault="00F24AC9" w:rsidP="00F24AC9">
      <w:pPr>
        <w:pStyle w:val="EYBodytextwithparaspace"/>
        <w:rPr>
          <w:rFonts w:asciiTheme="minorHAnsi" w:hAnsiTheme="minorHAnsi" w:cs="Arial"/>
          <w:sz w:val="22"/>
          <w:szCs w:val="22"/>
        </w:rPr>
      </w:pPr>
      <w:r w:rsidRPr="00B16D3D">
        <w:rPr>
          <w:rFonts w:asciiTheme="minorHAnsi" w:hAnsiTheme="minorHAnsi" w:cs="Arial"/>
          <w:sz w:val="22"/>
          <w:szCs w:val="22"/>
        </w:rPr>
        <w:t xml:space="preserve">We have nothing to report in respect of the following matters in relation to which the ISAs (UK) require us to report to you </w:t>
      </w:r>
      <w:proofErr w:type="spellStart"/>
      <w:r w:rsidRPr="00B16D3D">
        <w:rPr>
          <w:rFonts w:asciiTheme="minorHAnsi" w:hAnsiTheme="minorHAnsi" w:cs="Arial"/>
          <w:sz w:val="22"/>
          <w:szCs w:val="22"/>
        </w:rPr>
        <w:t>where</w:t>
      </w:r>
      <w:proofErr w:type="spellEnd"/>
      <w:r w:rsidRPr="00B16D3D">
        <w:rPr>
          <w:rFonts w:asciiTheme="minorHAnsi" w:hAnsiTheme="minorHAnsi" w:cs="Arial"/>
          <w:sz w:val="22"/>
          <w:szCs w:val="22"/>
        </w:rPr>
        <w:t>:</w:t>
      </w:r>
    </w:p>
    <w:p w:rsidR="00F24AC9" w:rsidRPr="00B16D3D" w:rsidRDefault="00F24AC9" w:rsidP="00F24AC9">
      <w:pPr>
        <w:pStyle w:val="ListParagraph"/>
        <w:numPr>
          <w:ilvl w:val="0"/>
          <w:numId w:val="66"/>
        </w:numPr>
        <w:suppressAutoHyphens w:val="0"/>
        <w:overflowPunct/>
        <w:autoSpaceDN w:val="0"/>
        <w:adjustRightInd w:val="0"/>
        <w:contextualSpacing/>
        <w:textAlignment w:val="auto"/>
        <w:rPr>
          <w:rFonts w:asciiTheme="minorHAnsi" w:hAnsiTheme="minorHAnsi" w:cs="Arial"/>
          <w:kern w:val="12"/>
          <w:szCs w:val="22"/>
        </w:rPr>
      </w:pPr>
      <w:r w:rsidRPr="00B16D3D">
        <w:rPr>
          <w:rFonts w:asciiTheme="minorHAnsi" w:hAnsiTheme="minorHAnsi" w:cs="Arial"/>
          <w:kern w:val="12"/>
          <w:szCs w:val="22"/>
        </w:rPr>
        <w:t>the Director of Corporate Services</w:t>
      </w:r>
      <w:r>
        <w:rPr>
          <w:rFonts w:asciiTheme="minorHAnsi" w:hAnsiTheme="minorHAnsi" w:cs="Arial"/>
          <w:kern w:val="12"/>
          <w:szCs w:val="22"/>
        </w:rPr>
        <w:t>’</w:t>
      </w:r>
      <w:r w:rsidRPr="00B16D3D">
        <w:rPr>
          <w:rFonts w:asciiTheme="minorHAnsi" w:hAnsiTheme="minorHAnsi" w:cs="Arial"/>
          <w:kern w:val="12"/>
          <w:szCs w:val="22"/>
        </w:rPr>
        <w:t xml:space="preserve"> use of the going concern basis of accounting in the preparation of the financial statements is not appropriate; or</w:t>
      </w:r>
    </w:p>
    <w:p w:rsidR="00F24AC9" w:rsidRPr="00B16D3D" w:rsidRDefault="00F24AC9" w:rsidP="00F24AC9">
      <w:pPr>
        <w:pStyle w:val="ListParagraph"/>
        <w:numPr>
          <w:ilvl w:val="0"/>
          <w:numId w:val="66"/>
        </w:numPr>
        <w:suppressAutoHyphens w:val="0"/>
        <w:overflowPunct/>
        <w:autoSpaceDN w:val="0"/>
        <w:adjustRightInd w:val="0"/>
        <w:contextualSpacing/>
        <w:textAlignment w:val="auto"/>
        <w:rPr>
          <w:rFonts w:asciiTheme="minorHAnsi" w:hAnsiTheme="minorHAnsi" w:cs="Arial"/>
          <w:kern w:val="12"/>
          <w:szCs w:val="22"/>
        </w:rPr>
      </w:pPr>
      <w:r w:rsidRPr="00B16D3D">
        <w:rPr>
          <w:rFonts w:asciiTheme="minorHAnsi" w:hAnsiTheme="minorHAnsi" w:cs="Arial"/>
          <w:kern w:val="12"/>
          <w:szCs w:val="22"/>
        </w:rPr>
        <w:t>the Director of Corporate Services has not disclosed in the financial statements any identified material uncertainties that may cast significant doubt about the Authority’s ability to continue to adopt the going concern basis of accounting for a period of at least twelve months from the date when the financial statements are authorised for issue.</w:t>
      </w:r>
    </w:p>
    <w:p w:rsidR="00F24AC9" w:rsidRPr="00B16D3D" w:rsidRDefault="00F24AC9" w:rsidP="00F24AC9">
      <w:pPr>
        <w:autoSpaceDE w:val="0"/>
        <w:autoSpaceDN w:val="0"/>
        <w:adjustRightInd w:val="0"/>
        <w:rPr>
          <w:rFonts w:asciiTheme="minorHAnsi" w:hAnsiTheme="minorHAnsi" w:cs="Arial"/>
          <w:kern w:val="12"/>
          <w:sz w:val="22"/>
          <w:szCs w:val="22"/>
        </w:rPr>
      </w:pPr>
      <w:r w:rsidRPr="00B16D3D">
        <w:rPr>
          <w:rFonts w:asciiTheme="minorHAnsi" w:hAnsiTheme="minorHAnsi" w:cs="Arial"/>
          <w:b/>
          <w:kern w:val="12"/>
          <w:sz w:val="22"/>
          <w:szCs w:val="22"/>
        </w:rPr>
        <w:t>Other information</w:t>
      </w:r>
    </w:p>
    <w:p w:rsidR="00F24AC9" w:rsidRPr="00B16D3D" w:rsidRDefault="00F24AC9" w:rsidP="00F24AC9">
      <w:pPr>
        <w:rPr>
          <w:rFonts w:asciiTheme="minorHAnsi" w:hAnsiTheme="minorHAnsi"/>
          <w:sz w:val="22"/>
          <w:szCs w:val="22"/>
        </w:rPr>
      </w:pPr>
    </w:p>
    <w:p w:rsidR="00F24AC9" w:rsidRPr="00B16D3D" w:rsidRDefault="00F24AC9" w:rsidP="00F24AC9">
      <w:pPr>
        <w:autoSpaceDE w:val="0"/>
        <w:autoSpaceDN w:val="0"/>
        <w:adjustRightInd w:val="0"/>
        <w:rPr>
          <w:rFonts w:asciiTheme="minorHAnsi" w:hAnsiTheme="minorHAnsi" w:cs="Arial"/>
          <w:kern w:val="12"/>
          <w:sz w:val="22"/>
          <w:szCs w:val="22"/>
        </w:rPr>
      </w:pPr>
      <w:r w:rsidRPr="00B16D3D">
        <w:rPr>
          <w:rFonts w:asciiTheme="minorHAnsi" w:hAnsiTheme="minorHAnsi" w:cs="Arial"/>
          <w:kern w:val="12"/>
          <w:sz w:val="22"/>
          <w:szCs w:val="22"/>
        </w:rPr>
        <w:t xml:space="preserve">The other information comprises the information included in the Statement of Accounts </w:t>
      </w:r>
      <w:r w:rsidR="0001236C">
        <w:rPr>
          <w:rFonts w:asciiTheme="minorHAnsi" w:hAnsiTheme="minorHAnsi" w:cs="Arial"/>
          <w:kern w:val="12"/>
          <w:sz w:val="22"/>
          <w:szCs w:val="22"/>
        </w:rPr>
        <w:t xml:space="preserve">for the </w:t>
      </w:r>
      <w:r w:rsidR="0001236C">
        <w:rPr>
          <w:rFonts w:asciiTheme="minorHAnsi" w:hAnsiTheme="minorHAnsi" w:cs="Arial"/>
          <w:kern w:val="12"/>
          <w:sz w:val="22"/>
          <w:szCs w:val="22"/>
        </w:rPr>
        <w:lastRenderedPageBreak/>
        <w:t xml:space="preserve">year </w:t>
      </w:r>
      <w:r w:rsidRPr="00B16D3D">
        <w:rPr>
          <w:rFonts w:asciiTheme="minorHAnsi" w:hAnsiTheme="minorHAnsi" w:cs="Arial"/>
          <w:kern w:val="12"/>
          <w:sz w:val="22"/>
          <w:szCs w:val="22"/>
        </w:rPr>
        <w:t>201</w:t>
      </w:r>
      <w:r w:rsidR="0001236C">
        <w:rPr>
          <w:rFonts w:asciiTheme="minorHAnsi" w:hAnsiTheme="minorHAnsi" w:cs="Arial"/>
          <w:kern w:val="12"/>
          <w:sz w:val="22"/>
          <w:szCs w:val="22"/>
        </w:rPr>
        <w:t>9</w:t>
      </w:r>
      <w:r>
        <w:rPr>
          <w:rFonts w:asciiTheme="minorHAnsi" w:hAnsiTheme="minorHAnsi" w:cs="Arial"/>
          <w:kern w:val="12"/>
          <w:sz w:val="22"/>
          <w:szCs w:val="22"/>
        </w:rPr>
        <w:t>-</w:t>
      </w:r>
      <w:r w:rsidR="0001236C">
        <w:rPr>
          <w:rFonts w:asciiTheme="minorHAnsi" w:hAnsiTheme="minorHAnsi" w:cs="Arial"/>
          <w:kern w:val="12"/>
          <w:sz w:val="22"/>
          <w:szCs w:val="22"/>
        </w:rPr>
        <w:t>20</w:t>
      </w:r>
      <w:r w:rsidRPr="00B16D3D">
        <w:rPr>
          <w:rFonts w:asciiTheme="minorHAnsi" w:hAnsiTheme="minorHAnsi" w:cs="Arial"/>
          <w:kern w:val="12"/>
          <w:sz w:val="22"/>
          <w:szCs w:val="22"/>
        </w:rPr>
        <w:t>, other than the financial statements and our auditor’s report thereon.  The Director of Corporate Services is responsible for the other information.</w:t>
      </w:r>
    </w:p>
    <w:p w:rsidR="00F24AC9" w:rsidRPr="00B16D3D" w:rsidRDefault="00F24AC9" w:rsidP="00F24AC9">
      <w:pPr>
        <w:autoSpaceDE w:val="0"/>
        <w:autoSpaceDN w:val="0"/>
        <w:adjustRightInd w:val="0"/>
        <w:rPr>
          <w:rFonts w:asciiTheme="minorHAnsi" w:hAnsiTheme="minorHAnsi" w:cs="Arial"/>
          <w:kern w:val="12"/>
          <w:sz w:val="22"/>
          <w:szCs w:val="22"/>
        </w:rPr>
      </w:pPr>
    </w:p>
    <w:p w:rsidR="00F24AC9" w:rsidRPr="00B16D3D" w:rsidRDefault="00F24AC9" w:rsidP="00F24AC9">
      <w:pPr>
        <w:autoSpaceDE w:val="0"/>
        <w:autoSpaceDN w:val="0"/>
        <w:adjustRightInd w:val="0"/>
        <w:rPr>
          <w:rFonts w:asciiTheme="minorHAnsi" w:hAnsiTheme="minorHAnsi" w:cs="Arial"/>
          <w:kern w:val="12"/>
          <w:sz w:val="22"/>
          <w:szCs w:val="22"/>
        </w:rPr>
      </w:pPr>
      <w:r w:rsidRPr="00B16D3D">
        <w:rPr>
          <w:rFonts w:asciiTheme="minorHAnsi" w:hAnsiTheme="minorHAnsi" w:cs="Arial"/>
          <w:kern w:val="12"/>
          <w:sz w:val="22"/>
          <w:szCs w:val="22"/>
        </w:rPr>
        <w:t xml:space="preserve">Our opinion on the financial statements does not cover the other information and, except to the extent otherwise explicitly stated in this report, we do not express any form of assurance conclusion thereon. </w:t>
      </w:r>
    </w:p>
    <w:p w:rsidR="00F24AC9" w:rsidRPr="00B16D3D" w:rsidRDefault="00F24AC9" w:rsidP="00F24AC9">
      <w:pPr>
        <w:autoSpaceDE w:val="0"/>
        <w:autoSpaceDN w:val="0"/>
        <w:adjustRightInd w:val="0"/>
        <w:rPr>
          <w:rFonts w:asciiTheme="minorHAnsi" w:hAnsiTheme="minorHAnsi" w:cs="Arial"/>
          <w:kern w:val="12"/>
          <w:sz w:val="22"/>
          <w:szCs w:val="22"/>
        </w:rPr>
      </w:pPr>
    </w:p>
    <w:p w:rsidR="00F24AC9" w:rsidRPr="00B16D3D" w:rsidRDefault="00F24AC9" w:rsidP="00F24AC9">
      <w:pPr>
        <w:autoSpaceDE w:val="0"/>
        <w:autoSpaceDN w:val="0"/>
        <w:adjustRightInd w:val="0"/>
        <w:rPr>
          <w:rFonts w:asciiTheme="minorHAnsi" w:hAnsiTheme="minorHAnsi" w:cs="Arial"/>
          <w:kern w:val="12"/>
          <w:sz w:val="22"/>
          <w:szCs w:val="22"/>
        </w:rPr>
      </w:pPr>
      <w:r w:rsidRPr="00B16D3D">
        <w:rPr>
          <w:rFonts w:asciiTheme="minorHAnsi" w:hAnsiTheme="minorHAnsi" w:cs="Arial"/>
          <w:kern w:val="12"/>
          <w:sz w:val="22"/>
          <w:szCs w:val="22"/>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the other information, we are required to report that fact.</w:t>
      </w:r>
    </w:p>
    <w:p w:rsidR="00F24AC9" w:rsidRPr="00B16D3D" w:rsidRDefault="00F24AC9" w:rsidP="00F24AC9">
      <w:pPr>
        <w:autoSpaceDE w:val="0"/>
        <w:autoSpaceDN w:val="0"/>
        <w:adjustRightInd w:val="0"/>
        <w:rPr>
          <w:rFonts w:asciiTheme="minorHAnsi" w:hAnsiTheme="minorHAnsi" w:cs="Arial"/>
          <w:kern w:val="12"/>
          <w:sz w:val="22"/>
          <w:szCs w:val="22"/>
        </w:rPr>
      </w:pPr>
    </w:p>
    <w:p w:rsidR="00F24AC9" w:rsidRPr="00B16D3D" w:rsidRDefault="00F24AC9" w:rsidP="00F24AC9">
      <w:pPr>
        <w:autoSpaceDE w:val="0"/>
        <w:autoSpaceDN w:val="0"/>
        <w:adjustRightInd w:val="0"/>
        <w:rPr>
          <w:rFonts w:asciiTheme="minorHAnsi" w:hAnsiTheme="minorHAnsi" w:cs="Arial"/>
          <w:kern w:val="12"/>
          <w:sz w:val="22"/>
          <w:szCs w:val="22"/>
        </w:rPr>
      </w:pPr>
      <w:r w:rsidRPr="00B16D3D">
        <w:rPr>
          <w:rFonts w:asciiTheme="minorHAnsi" w:hAnsiTheme="minorHAnsi" w:cs="Arial"/>
          <w:kern w:val="12"/>
          <w:sz w:val="22"/>
          <w:szCs w:val="22"/>
        </w:rPr>
        <w:t>We have nothing to report in this regard.</w:t>
      </w:r>
    </w:p>
    <w:p w:rsidR="00F24AC9" w:rsidRPr="00B16D3D" w:rsidRDefault="00F24AC9" w:rsidP="00F24AC9">
      <w:pPr>
        <w:autoSpaceDE w:val="0"/>
        <w:autoSpaceDN w:val="0"/>
        <w:adjustRightInd w:val="0"/>
        <w:rPr>
          <w:rFonts w:asciiTheme="minorHAnsi" w:hAnsiTheme="minorHAnsi" w:cs="Arial"/>
          <w:kern w:val="12"/>
          <w:sz w:val="22"/>
          <w:szCs w:val="22"/>
        </w:rPr>
      </w:pPr>
    </w:p>
    <w:p w:rsidR="00F24AC9" w:rsidRPr="00B16D3D" w:rsidRDefault="00F24AC9" w:rsidP="00F24AC9">
      <w:pPr>
        <w:autoSpaceDE w:val="0"/>
        <w:autoSpaceDN w:val="0"/>
        <w:adjustRightInd w:val="0"/>
        <w:rPr>
          <w:rFonts w:asciiTheme="minorHAnsi" w:hAnsiTheme="minorHAnsi"/>
          <w:b/>
          <w:sz w:val="22"/>
          <w:szCs w:val="22"/>
        </w:rPr>
      </w:pPr>
      <w:r w:rsidRPr="00B16D3D">
        <w:rPr>
          <w:rFonts w:asciiTheme="minorHAnsi" w:hAnsiTheme="minorHAnsi" w:cs="Arial"/>
          <w:b/>
          <w:kern w:val="12"/>
          <w:sz w:val="22"/>
          <w:szCs w:val="22"/>
        </w:rPr>
        <w:t xml:space="preserve">Opinion on other matters prescribed by </w:t>
      </w:r>
      <w:r w:rsidRPr="00B16D3D">
        <w:rPr>
          <w:rFonts w:asciiTheme="minorHAnsi" w:hAnsiTheme="minorHAnsi"/>
          <w:b/>
          <w:sz w:val="22"/>
          <w:szCs w:val="22"/>
        </w:rPr>
        <w:t>the Local Audit and Accountability Act 2014</w:t>
      </w:r>
    </w:p>
    <w:p w:rsidR="00F24AC9" w:rsidRPr="00B16D3D" w:rsidRDefault="00F24AC9" w:rsidP="00F24AC9">
      <w:pPr>
        <w:autoSpaceDE w:val="0"/>
        <w:autoSpaceDN w:val="0"/>
        <w:adjustRightInd w:val="0"/>
        <w:rPr>
          <w:rFonts w:asciiTheme="minorHAnsi" w:hAnsiTheme="minorHAnsi" w:cs="Arial"/>
          <w:b/>
          <w:kern w:val="12"/>
          <w:sz w:val="22"/>
          <w:szCs w:val="22"/>
        </w:rPr>
      </w:pPr>
    </w:p>
    <w:p w:rsidR="00F24AC9" w:rsidRPr="00D313F2" w:rsidRDefault="00F24AC9" w:rsidP="00F24AC9">
      <w:pPr>
        <w:autoSpaceDE w:val="0"/>
        <w:autoSpaceDN w:val="0"/>
        <w:adjustRightInd w:val="0"/>
        <w:rPr>
          <w:rFonts w:asciiTheme="minorHAnsi" w:hAnsiTheme="minorHAnsi" w:cs="Arial"/>
          <w:b/>
          <w:i/>
          <w:kern w:val="12"/>
          <w:sz w:val="22"/>
          <w:szCs w:val="22"/>
        </w:rPr>
      </w:pPr>
      <w:r w:rsidRPr="00D313F2">
        <w:rPr>
          <w:rStyle w:val="Emphasis"/>
          <w:rFonts w:asciiTheme="minorHAnsi" w:hAnsiTheme="minorHAnsi"/>
          <w:b/>
          <w:i w:val="0"/>
          <w:sz w:val="22"/>
          <w:szCs w:val="22"/>
        </w:rPr>
        <w:t>Arrangements to secure economy, efficiency and effectiveness in the use of resources</w:t>
      </w:r>
    </w:p>
    <w:p w:rsidR="00F24AC9" w:rsidRPr="00B16D3D" w:rsidRDefault="00F24AC9" w:rsidP="00F24AC9">
      <w:pPr>
        <w:rPr>
          <w:rFonts w:asciiTheme="minorHAnsi" w:hAnsiTheme="minorHAnsi"/>
          <w:sz w:val="22"/>
          <w:szCs w:val="22"/>
        </w:rPr>
      </w:pPr>
    </w:p>
    <w:p w:rsidR="00F24AC9" w:rsidRPr="00B16D3D" w:rsidRDefault="00F24AC9" w:rsidP="00F24AC9">
      <w:pPr>
        <w:rPr>
          <w:rFonts w:asciiTheme="minorHAnsi" w:hAnsiTheme="minorHAnsi"/>
          <w:sz w:val="22"/>
          <w:szCs w:val="22"/>
        </w:rPr>
      </w:pPr>
      <w:r w:rsidRPr="00B16D3D">
        <w:rPr>
          <w:rFonts w:asciiTheme="minorHAnsi" w:hAnsiTheme="minorHAnsi"/>
          <w:sz w:val="22"/>
          <w:szCs w:val="22"/>
        </w:rPr>
        <w:t xml:space="preserve">In our opinion, based on the work undertaken in the course of the audit, having regard to the guidance issued by the </w:t>
      </w:r>
      <w:r w:rsidRPr="00B16D3D">
        <w:rPr>
          <w:rFonts w:asciiTheme="minorHAnsi" w:hAnsiTheme="minorHAnsi" w:cs="Arial"/>
          <w:sz w:val="22"/>
          <w:szCs w:val="22"/>
        </w:rPr>
        <w:t xml:space="preserve">Comptroller and Auditor General </w:t>
      </w:r>
      <w:r>
        <w:rPr>
          <w:rFonts w:asciiTheme="minorHAnsi" w:hAnsiTheme="minorHAnsi" w:cs="Arial"/>
          <w:sz w:val="22"/>
          <w:szCs w:val="22"/>
        </w:rPr>
        <w:t>(</w:t>
      </w:r>
      <w:r w:rsidRPr="00B16D3D">
        <w:rPr>
          <w:rFonts w:asciiTheme="minorHAnsi" w:hAnsiTheme="minorHAnsi"/>
          <w:sz w:val="22"/>
          <w:szCs w:val="22"/>
        </w:rPr>
        <w:t>C&amp;AG</w:t>
      </w:r>
      <w:r>
        <w:rPr>
          <w:rFonts w:asciiTheme="minorHAnsi" w:hAnsiTheme="minorHAnsi"/>
          <w:sz w:val="22"/>
          <w:szCs w:val="22"/>
        </w:rPr>
        <w:t>)</w:t>
      </w:r>
      <w:r w:rsidRPr="00B16D3D">
        <w:rPr>
          <w:rFonts w:asciiTheme="minorHAnsi" w:hAnsiTheme="minorHAnsi"/>
          <w:sz w:val="22"/>
          <w:szCs w:val="22"/>
        </w:rPr>
        <w:t xml:space="preserve"> in </w:t>
      </w:r>
      <w:r w:rsidR="0001236C">
        <w:rPr>
          <w:rFonts w:asciiTheme="minorHAnsi" w:hAnsiTheme="minorHAnsi"/>
          <w:sz w:val="22"/>
          <w:szCs w:val="22"/>
        </w:rPr>
        <w:t>April</w:t>
      </w:r>
      <w:r w:rsidRPr="00B16D3D">
        <w:rPr>
          <w:rFonts w:asciiTheme="minorHAnsi" w:hAnsiTheme="minorHAnsi"/>
          <w:sz w:val="22"/>
          <w:szCs w:val="22"/>
        </w:rPr>
        <w:t xml:space="preserve"> 20</w:t>
      </w:r>
      <w:r w:rsidR="0001236C">
        <w:rPr>
          <w:rFonts w:asciiTheme="minorHAnsi" w:hAnsiTheme="minorHAnsi"/>
          <w:sz w:val="22"/>
          <w:szCs w:val="22"/>
        </w:rPr>
        <w:t>20</w:t>
      </w:r>
      <w:r w:rsidRPr="00B16D3D">
        <w:rPr>
          <w:rFonts w:asciiTheme="minorHAnsi" w:hAnsiTheme="minorHAnsi"/>
          <w:sz w:val="22"/>
          <w:szCs w:val="22"/>
        </w:rPr>
        <w:t>, we are satisfied that, in all significant respects, Chichester District Council put in place proper arrangements to secure economy, efficiency and effectiveness in its use of resources for the year ended 31 March 20</w:t>
      </w:r>
      <w:r w:rsidR="0001236C">
        <w:rPr>
          <w:rFonts w:asciiTheme="minorHAnsi" w:hAnsiTheme="minorHAnsi"/>
          <w:sz w:val="22"/>
          <w:szCs w:val="22"/>
        </w:rPr>
        <w:t>20</w:t>
      </w:r>
      <w:r w:rsidRPr="00B16D3D">
        <w:rPr>
          <w:rFonts w:asciiTheme="minorHAnsi" w:hAnsiTheme="minorHAnsi"/>
          <w:sz w:val="22"/>
          <w:szCs w:val="22"/>
        </w:rPr>
        <w:t xml:space="preserve">. </w:t>
      </w:r>
    </w:p>
    <w:p w:rsidR="00F24AC9" w:rsidRPr="00B16D3D" w:rsidRDefault="00F24AC9" w:rsidP="00F24AC9">
      <w:pPr>
        <w:rPr>
          <w:rFonts w:asciiTheme="minorHAnsi" w:hAnsiTheme="minorHAnsi"/>
          <w:sz w:val="22"/>
          <w:szCs w:val="22"/>
        </w:rPr>
      </w:pPr>
    </w:p>
    <w:p w:rsidR="00F24AC9" w:rsidRPr="00B16D3D" w:rsidRDefault="00F24AC9" w:rsidP="00F24AC9">
      <w:pPr>
        <w:autoSpaceDE w:val="0"/>
        <w:autoSpaceDN w:val="0"/>
        <w:adjustRightInd w:val="0"/>
        <w:rPr>
          <w:rFonts w:asciiTheme="minorHAnsi" w:hAnsiTheme="minorHAnsi" w:cs="Arial"/>
          <w:b/>
          <w:iCs/>
          <w:sz w:val="22"/>
          <w:szCs w:val="22"/>
        </w:rPr>
      </w:pPr>
      <w:r w:rsidRPr="00B16D3D">
        <w:rPr>
          <w:rFonts w:asciiTheme="minorHAnsi" w:hAnsiTheme="minorHAnsi" w:cs="Arial"/>
          <w:b/>
          <w:iCs/>
          <w:sz w:val="22"/>
          <w:szCs w:val="22"/>
        </w:rPr>
        <w:t>Matters on which we report by exception</w:t>
      </w:r>
    </w:p>
    <w:p w:rsidR="00F24AC9" w:rsidRPr="00B16D3D" w:rsidRDefault="00F24AC9" w:rsidP="00F24AC9">
      <w:pPr>
        <w:autoSpaceDE w:val="0"/>
        <w:autoSpaceDN w:val="0"/>
        <w:adjustRightInd w:val="0"/>
        <w:rPr>
          <w:rFonts w:asciiTheme="minorHAnsi" w:hAnsiTheme="minorHAnsi" w:cs="Arial"/>
          <w:b/>
          <w:iCs/>
          <w:sz w:val="22"/>
          <w:szCs w:val="22"/>
        </w:rPr>
      </w:pPr>
    </w:p>
    <w:p w:rsidR="00F24AC9" w:rsidRPr="00B16D3D" w:rsidRDefault="00F24AC9" w:rsidP="00F24AC9">
      <w:pPr>
        <w:autoSpaceDE w:val="0"/>
        <w:autoSpaceDN w:val="0"/>
        <w:adjustRightInd w:val="0"/>
        <w:rPr>
          <w:rFonts w:asciiTheme="minorHAnsi" w:hAnsiTheme="minorHAnsi" w:cs="Arial"/>
          <w:iCs/>
          <w:sz w:val="22"/>
          <w:szCs w:val="22"/>
        </w:rPr>
      </w:pPr>
      <w:r w:rsidRPr="00B16D3D">
        <w:rPr>
          <w:rFonts w:asciiTheme="minorHAnsi" w:hAnsiTheme="minorHAnsi" w:cs="Arial"/>
          <w:iCs/>
          <w:sz w:val="22"/>
          <w:szCs w:val="22"/>
        </w:rPr>
        <w:t>We report to you if:</w:t>
      </w:r>
    </w:p>
    <w:p w:rsidR="00F24AC9" w:rsidRPr="00B16D3D" w:rsidRDefault="00F24AC9" w:rsidP="00F24AC9">
      <w:pPr>
        <w:widowControl/>
        <w:numPr>
          <w:ilvl w:val="0"/>
          <w:numId w:val="64"/>
        </w:numPr>
        <w:suppressAutoHyphens w:val="0"/>
        <w:autoSpaceDE w:val="0"/>
        <w:autoSpaceDN w:val="0"/>
        <w:rPr>
          <w:rFonts w:asciiTheme="minorHAnsi" w:hAnsiTheme="minorHAnsi"/>
          <w:sz w:val="22"/>
          <w:szCs w:val="22"/>
        </w:rPr>
      </w:pPr>
      <w:r w:rsidRPr="00B16D3D">
        <w:rPr>
          <w:rFonts w:asciiTheme="minorHAnsi" w:hAnsiTheme="minorHAnsi"/>
          <w:sz w:val="22"/>
          <w:szCs w:val="22"/>
        </w:rPr>
        <w:t>in our opinion the annual governance statement is misleading or inconsistent with other information forthcoming from the audit or our knowledge of the Council</w:t>
      </w:r>
      <w:r w:rsidRPr="00B16D3D">
        <w:rPr>
          <w:rFonts w:asciiTheme="minorHAnsi" w:hAnsiTheme="minorHAnsi" w:cs="Arial"/>
          <w:sz w:val="22"/>
          <w:szCs w:val="22"/>
        </w:rPr>
        <w:t>;</w:t>
      </w:r>
    </w:p>
    <w:p w:rsidR="00F24AC9" w:rsidRPr="00B16D3D" w:rsidRDefault="00F24AC9" w:rsidP="00F24AC9">
      <w:pPr>
        <w:widowControl/>
        <w:numPr>
          <w:ilvl w:val="0"/>
          <w:numId w:val="64"/>
        </w:numPr>
        <w:suppressAutoHyphens w:val="0"/>
        <w:autoSpaceDE w:val="0"/>
        <w:autoSpaceDN w:val="0"/>
        <w:adjustRightInd w:val="0"/>
        <w:rPr>
          <w:rFonts w:asciiTheme="minorHAnsi" w:hAnsiTheme="minorHAnsi" w:cs="Arial"/>
          <w:sz w:val="22"/>
          <w:szCs w:val="22"/>
        </w:rPr>
      </w:pPr>
      <w:r w:rsidRPr="00B16D3D">
        <w:rPr>
          <w:rFonts w:asciiTheme="minorHAnsi" w:hAnsiTheme="minorHAnsi" w:cs="Arial"/>
          <w:sz w:val="22"/>
          <w:szCs w:val="22"/>
        </w:rPr>
        <w:t>we issue a report in the public interest under section 24 of the Local Audit and Accountability Act 2014;</w:t>
      </w:r>
    </w:p>
    <w:p w:rsidR="00F24AC9" w:rsidRPr="00B16D3D" w:rsidRDefault="00F24AC9" w:rsidP="00F24AC9">
      <w:pPr>
        <w:widowControl/>
        <w:numPr>
          <w:ilvl w:val="0"/>
          <w:numId w:val="64"/>
        </w:numPr>
        <w:suppressAutoHyphens w:val="0"/>
        <w:autoSpaceDE w:val="0"/>
        <w:autoSpaceDN w:val="0"/>
        <w:adjustRightInd w:val="0"/>
        <w:rPr>
          <w:rFonts w:asciiTheme="minorHAnsi" w:hAnsiTheme="minorHAnsi" w:cs="Arial"/>
          <w:sz w:val="22"/>
          <w:szCs w:val="22"/>
        </w:rPr>
      </w:pPr>
      <w:r w:rsidRPr="00B16D3D">
        <w:rPr>
          <w:rFonts w:asciiTheme="minorHAnsi" w:hAnsiTheme="minorHAnsi" w:cs="Arial"/>
          <w:sz w:val="22"/>
          <w:szCs w:val="22"/>
        </w:rPr>
        <w:t xml:space="preserve">we make written recommendations to the audited body under Section 24 of the Local Audit and Accountability Act 2014; </w:t>
      </w:r>
    </w:p>
    <w:p w:rsidR="00F24AC9" w:rsidRPr="00B16D3D" w:rsidRDefault="00F24AC9" w:rsidP="00F24AC9">
      <w:pPr>
        <w:widowControl/>
        <w:numPr>
          <w:ilvl w:val="0"/>
          <w:numId w:val="64"/>
        </w:numPr>
        <w:suppressAutoHyphens w:val="0"/>
        <w:autoSpaceDE w:val="0"/>
        <w:autoSpaceDN w:val="0"/>
        <w:adjustRightInd w:val="0"/>
        <w:rPr>
          <w:rFonts w:asciiTheme="minorHAnsi" w:hAnsiTheme="minorHAnsi" w:cs="Arial"/>
          <w:sz w:val="22"/>
          <w:szCs w:val="22"/>
        </w:rPr>
      </w:pPr>
      <w:r w:rsidRPr="00B16D3D">
        <w:rPr>
          <w:rFonts w:asciiTheme="minorHAnsi" w:hAnsiTheme="minorHAnsi" w:cs="Arial"/>
          <w:sz w:val="22"/>
          <w:szCs w:val="22"/>
        </w:rPr>
        <w:t>we make an application to the court for a declaration that an item of account is contrary to law under Section 28 of the Local Audit and Accountability Act 2014;</w:t>
      </w:r>
    </w:p>
    <w:p w:rsidR="00F24AC9" w:rsidRPr="00B16D3D" w:rsidRDefault="00F24AC9" w:rsidP="00F24AC9">
      <w:pPr>
        <w:widowControl/>
        <w:numPr>
          <w:ilvl w:val="0"/>
          <w:numId w:val="64"/>
        </w:numPr>
        <w:suppressAutoHyphens w:val="0"/>
        <w:autoSpaceDE w:val="0"/>
        <w:autoSpaceDN w:val="0"/>
        <w:adjustRightInd w:val="0"/>
        <w:rPr>
          <w:rFonts w:asciiTheme="minorHAnsi" w:hAnsiTheme="minorHAnsi" w:cs="Arial"/>
          <w:sz w:val="22"/>
          <w:szCs w:val="22"/>
        </w:rPr>
      </w:pPr>
      <w:r w:rsidRPr="00B16D3D">
        <w:rPr>
          <w:rFonts w:asciiTheme="minorHAnsi" w:hAnsiTheme="minorHAnsi" w:cs="Arial"/>
          <w:sz w:val="22"/>
          <w:szCs w:val="22"/>
        </w:rPr>
        <w:t>we issue an advisory notice under Section 29 of the Local Audit and Accountability Act 2014; or</w:t>
      </w:r>
    </w:p>
    <w:p w:rsidR="00F24AC9" w:rsidRPr="00B16D3D" w:rsidRDefault="00F24AC9" w:rsidP="00F24AC9">
      <w:pPr>
        <w:widowControl/>
        <w:numPr>
          <w:ilvl w:val="0"/>
          <w:numId w:val="64"/>
        </w:numPr>
        <w:suppressAutoHyphens w:val="0"/>
        <w:autoSpaceDE w:val="0"/>
        <w:autoSpaceDN w:val="0"/>
        <w:adjustRightInd w:val="0"/>
        <w:rPr>
          <w:rFonts w:asciiTheme="minorHAnsi" w:hAnsiTheme="minorHAnsi" w:cs="Arial"/>
          <w:sz w:val="22"/>
          <w:szCs w:val="22"/>
        </w:rPr>
      </w:pPr>
      <w:r w:rsidRPr="00B16D3D">
        <w:rPr>
          <w:rFonts w:asciiTheme="minorHAnsi" w:hAnsiTheme="minorHAnsi" w:cs="Arial"/>
          <w:sz w:val="22"/>
          <w:szCs w:val="22"/>
        </w:rPr>
        <w:t>we make an application for judicial review under Section 31 of the Local Audit and Accountability Act 2014.</w:t>
      </w:r>
    </w:p>
    <w:p w:rsidR="00F24AC9" w:rsidRPr="00B16D3D" w:rsidRDefault="00F24AC9" w:rsidP="00F24AC9">
      <w:pPr>
        <w:autoSpaceDE w:val="0"/>
        <w:autoSpaceDN w:val="0"/>
        <w:adjustRightInd w:val="0"/>
        <w:ind w:left="360"/>
        <w:rPr>
          <w:rFonts w:asciiTheme="minorHAnsi" w:hAnsiTheme="minorHAnsi" w:cs="Arial"/>
          <w:sz w:val="22"/>
          <w:szCs w:val="22"/>
        </w:rPr>
      </w:pPr>
    </w:p>
    <w:p w:rsidR="00F24AC9" w:rsidRPr="00B16D3D" w:rsidRDefault="00F24AC9" w:rsidP="00F24AC9">
      <w:pPr>
        <w:autoSpaceDE w:val="0"/>
        <w:autoSpaceDN w:val="0"/>
        <w:adjustRightInd w:val="0"/>
        <w:rPr>
          <w:rFonts w:asciiTheme="minorHAnsi" w:hAnsiTheme="minorHAnsi" w:cs="Arial"/>
          <w:iCs/>
          <w:sz w:val="22"/>
          <w:szCs w:val="22"/>
        </w:rPr>
      </w:pPr>
      <w:r w:rsidRPr="00B16D3D">
        <w:rPr>
          <w:rFonts w:asciiTheme="minorHAnsi" w:hAnsiTheme="minorHAnsi" w:cs="Arial"/>
          <w:iCs/>
          <w:sz w:val="22"/>
          <w:szCs w:val="22"/>
        </w:rPr>
        <w:t>We have nothing to report in these respects</w:t>
      </w:r>
      <w:r>
        <w:rPr>
          <w:rFonts w:asciiTheme="minorHAnsi" w:hAnsiTheme="minorHAnsi" w:cs="Arial"/>
          <w:iCs/>
          <w:sz w:val="22"/>
          <w:szCs w:val="22"/>
        </w:rPr>
        <w:t>.</w:t>
      </w:r>
      <w:r w:rsidRPr="00B16D3D">
        <w:rPr>
          <w:rFonts w:asciiTheme="minorHAnsi" w:hAnsiTheme="minorHAnsi" w:cs="Arial"/>
          <w:iCs/>
          <w:sz w:val="22"/>
          <w:szCs w:val="22"/>
        </w:rPr>
        <w:t xml:space="preserve"> </w:t>
      </w:r>
    </w:p>
    <w:p w:rsidR="00F24AC9" w:rsidRPr="00B16D3D" w:rsidRDefault="00F24AC9" w:rsidP="00F24AC9">
      <w:pPr>
        <w:autoSpaceDE w:val="0"/>
        <w:autoSpaceDN w:val="0"/>
        <w:adjustRightInd w:val="0"/>
        <w:rPr>
          <w:rFonts w:asciiTheme="minorHAnsi" w:hAnsiTheme="minorHAnsi" w:cs="Arial"/>
          <w:iCs/>
          <w:sz w:val="22"/>
          <w:szCs w:val="22"/>
        </w:rPr>
      </w:pPr>
    </w:p>
    <w:p w:rsidR="00F24AC9" w:rsidRPr="00B16D3D" w:rsidRDefault="00F24AC9" w:rsidP="00F24AC9">
      <w:pPr>
        <w:rPr>
          <w:rFonts w:asciiTheme="minorHAnsi" w:hAnsiTheme="minorHAnsi"/>
          <w:b/>
          <w:sz w:val="22"/>
          <w:szCs w:val="22"/>
        </w:rPr>
      </w:pPr>
      <w:r w:rsidRPr="00B16D3D">
        <w:rPr>
          <w:rFonts w:asciiTheme="minorHAnsi" w:hAnsiTheme="minorHAnsi"/>
          <w:b/>
          <w:sz w:val="22"/>
          <w:szCs w:val="22"/>
        </w:rPr>
        <w:t xml:space="preserve">Responsibility of the </w:t>
      </w:r>
      <w:r w:rsidRPr="00B16D3D">
        <w:rPr>
          <w:rFonts w:asciiTheme="minorHAnsi" w:hAnsiTheme="minorHAnsi"/>
          <w:b/>
          <w:bCs/>
          <w:sz w:val="22"/>
          <w:szCs w:val="22"/>
        </w:rPr>
        <w:t>Director of Corporate Services</w:t>
      </w:r>
    </w:p>
    <w:p w:rsidR="00F24AC9" w:rsidRPr="00B16D3D" w:rsidRDefault="00F24AC9" w:rsidP="00F24AC9">
      <w:pPr>
        <w:rPr>
          <w:rFonts w:asciiTheme="minorHAnsi" w:hAnsiTheme="minorHAnsi"/>
          <w:b/>
          <w:sz w:val="22"/>
          <w:szCs w:val="22"/>
        </w:rPr>
      </w:pPr>
    </w:p>
    <w:p w:rsidR="00F24AC9" w:rsidRPr="00B16D3D" w:rsidRDefault="00F24AC9" w:rsidP="00F24AC9">
      <w:pPr>
        <w:autoSpaceDE w:val="0"/>
        <w:autoSpaceDN w:val="0"/>
        <w:adjustRightInd w:val="0"/>
        <w:rPr>
          <w:rFonts w:asciiTheme="minorHAnsi" w:hAnsiTheme="minorHAnsi" w:cs="Arial"/>
          <w:iCs/>
          <w:sz w:val="22"/>
          <w:szCs w:val="22"/>
        </w:rPr>
      </w:pPr>
      <w:r w:rsidRPr="00B16D3D">
        <w:rPr>
          <w:rFonts w:asciiTheme="minorHAnsi" w:hAnsiTheme="minorHAnsi"/>
          <w:sz w:val="22"/>
          <w:szCs w:val="22"/>
        </w:rPr>
        <w:t>As explained more fully in the Statement of Responsibilities set out on page 1</w:t>
      </w:r>
      <w:r>
        <w:rPr>
          <w:rFonts w:asciiTheme="minorHAnsi" w:hAnsiTheme="minorHAnsi"/>
          <w:sz w:val="22"/>
          <w:szCs w:val="22"/>
        </w:rPr>
        <w:t>6,</w:t>
      </w:r>
      <w:r w:rsidRPr="00B16D3D">
        <w:rPr>
          <w:rFonts w:asciiTheme="minorHAnsi" w:hAnsiTheme="minorHAnsi"/>
          <w:sz w:val="22"/>
          <w:szCs w:val="22"/>
        </w:rPr>
        <w:t xml:space="preserve"> the Director of Corporate Services is </w:t>
      </w:r>
      <w:r w:rsidRPr="00B16D3D">
        <w:rPr>
          <w:rFonts w:asciiTheme="minorHAnsi" w:hAnsiTheme="minorHAnsi" w:cs="Arial"/>
          <w:sz w:val="22"/>
          <w:szCs w:val="22"/>
        </w:rPr>
        <w:t xml:space="preserve">responsible for the preparation of the Statement of Accounts, which includes the financial statements, in accordance with proper practices as set out in the CIPFA/LASAAC </w:t>
      </w:r>
      <w:r w:rsidRPr="00B16D3D">
        <w:rPr>
          <w:rFonts w:asciiTheme="minorHAnsi" w:hAnsiTheme="minorHAnsi" w:cs="Arial"/>
          <w:iCs/>
          <w:sz w:val="22"/>
          <w:szCs w:val="22"/>
        </w:rPr>
        <w:t>Code of Practice on Local Authority Accounting in the United Kingdom 201</w:t>
      </w:r>
      <w:r w:rsidR="009A72C5">
        <w:rPr>
          <w:rFonts w:asciiTheme="minorHAnsi" w:hAnsiTheme="minorHAnsi" w:cs="Arial"/>
          <w:iCs/>
          <w:sz w:val="22"/>
          <w:szCs w:val="22"/>
        </w:rPr>
        <w:t>9</w:t>
      </w:r>
      <w:r>
        <w:rPr>
          <w:rFonts w:asciiTheme="minorHAnsi" w:hAnsiTheme="minorHAnsi" w:cs="Arial"/>
          <w:iCs/>
          <w:sz w:val="22"/>
          <w:szCs w:val="22"/>
        </w:rPr>
        <w:t>-</w:t>
      </w:r>
      <w:r w:rsidR="009A72C5">
        <w:rPr>
          <w:rFonts w:asciiTheme="minorHAnsi" w:hAnsiTheme="minorHAnsi" w:cs="Arial"/>
          <w:iCs/>
          <w:sz w:val="22"/>
          <w:szCs w:val="22"/>
        </w:rPr>
        <w:t>20</w:t>
      </w:r>
      <w:r w:rsidRPr="00B16D3D">
        <w:rPr>
          <w:rFonts w:asciiTheme="minorHAnsi" w:hAnsiTheme="minorHAnsi" w:cs="Arial"/>
          <w:iCs/>
          <w:sz w:val="22"/>
          <w:szCs w:val="22"/>
        </w:rPr>
        <w:t xml:space="preserve">, </w:t>
      </w:r>
      <w:r w:rsidRPr="00B16D3D">
        <w:rPr>
          <w:rFonts w:asciiTheme="minorHAnsi" w:hAnsiTheme="minorHAnsi" w:cs="Arial"/>
          <w:sz w:val="22"/>
          <w:szCs w:val="22"/>
        </w:rPr>
        <w:t>and for being satisfied that they give a true and fair view</w:t>
      </w:r>
      <w:r w:rsidRPr="00B16D3D">
        <w:rPr>
          <w:rFonts w:asciiTheme="minorHAnsi" w:hAnsiTheme="minorHAnsi" w:cs="Arial"/>
          <w:iCs/>
          <w:sz w:val="22"/>
          <w:szCs w:val="22"/>
        </w:rPr>
        <w:t xml:space="preserve">. </w:t>
      </w:r>
    </w:p>
    <w:p w:rsidR="00F24AC9" w:rsidRPr="00B16D3D" w:rsidRDefault="00F24AC9" w:rsidP="00F24AC9">
      <w:pPr>
        <w:autoSpaceDE w:val="0"/>
        <w:autoSpaceDN w:val="0"/>
        <w:adjustRightInd w:val="0"/>
        <w:rPr>
          <w:rFonts w:asciiTheme="minorHAnsi" w:hAnsiTheme="minorHAnsi" w:cs="Arial"/>
          <w:iCs/>
          <w:sz w:val="22"/>
          <w:szCs w:val="22"/>
        </w:rPr>
      </w:pPr>
    </w:p>
    <w:p w:rsidR="00F24AC9" w:rsidRPr="00B16D3D" w:rsidRDefault="00F24AC9" w:rsidP="00F24AC9">
      <w:pPr>
        <w:spacing w:after="150"/>
        <w:rPr>
          <w:rFonts w:asciiTheme="minorHAnsi" w:hAnsiTheme="minorHAnsi" w:cs="Arial"/>
          <w:iCs/>
          <w:sz w:val="22"/>
          <w:szCs w:val="22"/>
        </w:rPr>
      </w:pPr>
      <w:r w:rsidRPr="00B16D3D">
        <w:rPr>
          <w:rFonts w:asciiTheme="minorHAnsi" w:hAnsiTheme="minorHAnsi" w:cs="Arial"/>
          <w:iCs/>
          <w:sz w:val="22"/>
          <w:szCs w:val="22"/>
        </w:rPr>
        <w:t xml:space="preserve">In preparing the financial statements, the </w:t>
      </w:r>
      <w:r w:rsidRPr="00B16D3D">
        <w:rPr>
          <w:rFonts w:asciiTheme="minorHAnsi" w:hAnsiTheme="minorHAnsi"/>
          <w:sz w:val="22"/>
          <w:szCs w:val="22"/>
        </w:rPr>
        <w:t xml:space="preserve">Director of Corporate Services </w:t>
      </w:r>
      <w:r w:rsidRPr="00B16D3D">
        <w:rPr>
          <w:rFonts w:asciiTheme="minorHAnsi" w:hAnsiTheme="minorHAnsi" w:cs="Arial"/>
          <w:iCs/>
          <w:sz w:val="22"/>
          <w:szCs w:val="22"/>
        </w:rPr>
        <w:t>is responsible for assessing the Authority’s ability to continue as a going concern, disclosing, as applicable, matters related to going concern and using the going concern basis of accounting unless the Authority either intends to cease operations, or have no realistic alternative but to do so.</w:t>
      </w:r>
    </w:p>
    <w:p w:rsidR="00F24AC9" w:rsidRPr="00B16D3D" w:rsidRDefault="00F24AC9" w:rsidP="00F24AC9">
      <w:pPr>
        <w:autoSpaceDE w:val="0"/>
        <w:autoSpaceDN w:val="0"/>
        <w:adjustRightInd w:val="0"/>
        <w:rPr>
          <w:rFonts w:asciiTheme="minorHAnsi" w:hAnsiTheme="minorHAnsi"/>
          <w:sz w:val="22"/>
          <w:szCs w:val="22"/>
        </w:rPr>
      </w:pPr>
      <w:r w:rsidRPr="00B16D3D">
        <w:rPr>
          <w:rFonts w:asciiTheme="minorHAnsi" w:hAnsiTheme="minorHAnsi"/>
          <w:sz w:val="22"/>
          <w:szCs w:val="22"/>
        </w:rPr>
        <w:t>The Authority is responsible for putting in place proper arrangements to secure economy,</w:t>
      </w:r>
      <w:r w:rsidRPr="00B16D3D">
        <w:rPr>
          <w:rFonts w:asciiTheme="minorHAnsi" w:hAnsiTheme="minorHAnsi" w:cs="Arial"/>
          <w:sz w:val="22"/>
          <w:szCs w:val="22"/>
        </w:rPr>
        <w:t xml:space="preserve"> </w:t>
      </w:r>
      <w:r w:rsidRPr="00B16D3D">
        <w:rPr>
          <w:rFonts w:asciiTheme="minorHAnsi" w:hAnsiTheme="minorHAnsi"/>
          <w:sz w:val="22"/>
          <w:szCs w:val="22"/>
        </w:rPr>
        <w:t xml:space="preserve">efficiency and effectiveness in its use of resources, to ensure proper stewardship and governance, and to review regularly the adequacy and effectiveness of these arrangements. </w:t>
      </w:r>
    </w:p>
    <w:p w:rsidR="00F24AC9" w:rsidRPr="00B16D3D" w:rsidRDefault="00F24AC9" w:rsidP="00F24AC9">
      <w:pPr>
        <w:autoSpaceDE w:val="0"/>
        <w:autoSpaceDN w:val="0"/>
        <w:adjustRightInd w:val="0"/>
        <w:rPr>
          <w:rFonts w:asciiTheme="minorHAnsi" w:hAnsiTheme="minorHAnsi" w:cs="Arial"/>
          <w:iCs/>
          <w:sz w:val="22"/>
          <w:szCs w:val="22"/>
        </w:rPr>
      </w:pPr>
    </w:p>
    <w:p w:rsidR="00F24AC9" w:rsidRPr="00B16D3D" w:rsidRDefault="00F24AC9" w:rsidP="00F24AC9">
      <w:pPr>
        <w:autoSpaceDE w:val="0"/>
        <w:autoSpaceDN w:val="0"/>
        <w:adjustRightInd w:val="0"/>
        <w:rPr>
          <w:rFonts w:asciiTheme="minorHAnsi" w:hAnsiTheme="minorHAnsi" w:cs="Arial"/>
          <w:b/>
          <w:iCs/>
          <w:sz w:val="22"/>
          <w:szCs w:val="22"/>
        </w:rPr>
      </w:pPr>
      <w:r w:rsidRPr="00B16D3D">
        <w:rPr>
          <w:rFonts w:asciiTheme="minorHAnsi" w:hAnsiTheme="minorHAnsi" w:cs="Arial"/>
          <w:b/>
          <w:iCs/>
          <w:sz w:val="22"/>
          <w:szCs w:val="22"/>
        </w:rPr>
        <w:t>Auditor’s responsibilities for the audit of the financial statements</w:t>
      </w:r>
    </w:p>
    <w:p w:rsidR="00F24AC9" w:rsidRPr="00B16D3D" w:rsidRDefault="00F24AC9" w:rsidP="00F24AC9">
      <w:pPr>
        <w:autoSpaceDE w:val="0"/>
        <w:autoSpaceDN w:val="0"/>
        <w:adjustRightInd w:val="0"/>
        <w:rPr>
          <w:rFonts w:asciiTheme="minorHAnsi" w:hAnsiTheme="minorHAnsi" w:cs="Arial"/>
          <w:b/>
          <w:iCs/>
          <w:sz w:val="22"/>
          <w:szCs w:val="22"/>
        </w:rPr>
      </w:pPr>
    </w:p>
    <w:p w:rsidR="00F24AC9" w:rsidRPr="00B16D3D" w:rsidRDefault="00F24AC9" w:rsidP="00F24AC9">
      <w:pPr>
        <w:spacing w:after="150"/>
        <w:rPr>
          <w:rFonts w:asciiTheme="minorHAnsi" w:hAnsiTheme="minorHAnsi" w:cs="Arial"/>
          <w:iCs/>
          <w:sz w:val="22"/>
          <w:szCs w:val="22"/>
        </w:rPr>
      </w:pPr>
      <w:r w:rsidRPr="00B16D3D">
        <w:rPr>
          <w:rFonts w:asciiTheme="minorHAnsi" w:hAnsiTheme="minorHAnsi" w:cs="Arial"/>
          <w:iCs/>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rsidR="00F24AC9" w:rsidRPr="00B16D3D" w:rsidRDefault="00F24AC9" w:rsidP="00F24AC9">
      <w:pPr>
        <w:autoSpaceDE w:val="0"/>
        <w:autoSpaceDN w:val="0"/>
        <w:adjustRightInd w:val="0"/>
        <w:rPr>
          <w:rFonts w:asciiTheme="minorHAnsi" w:hAnsiTheme="minorHAnsi" w:cs="Arial"/>
          <w:iCs/>
          <w:sz w:val="22"/>
          <w:szCs w:val="22"/>
        </w:rPr>
      </w:pPr>
      <w:r w:rsidRPr="00B16D3D">
        <w:rPr>
          <w:rFonts w:asciiTheme="minorHAnsi" w:hAnsiTheme="minorHAnsi" w:cs="Arial"/>
          <w:iCs/>
          <w:sz w:val="22"/>
          <w:szCs w:val="22"/>
        </w:rPr>
        <w:t xml:space="preserve">A further description of our responsibilities for the audit of the financial statements is located on the Financial Reporting Council’s website at </w:t>
      </w:r>
      <w:proofErr w:type="gramStart"/>
      <w:r w:rsidRPr="00B16D3D">
        <w:rPr>
          <w:rFonts w:asciiTheme="minorHAnsi" w:hAnsiTheme="minorHAnsi" w:cs="Arial"/>
          <w:iCs/>
          <w:sz w:val="22"/>
          <w:szCs w:val="22"/>
        </w:rPr>
        <w:t>https://www.frc.org.uk/auditorsresponsibilities</w:t>
      </w:r>
      <w:r>
        <w:rPr>
          <w:rFonts w:asciiTheme="minorHAnsi" w:hAnsiTheme="minorHAnsi" w:cs="Arial"/>
          <w:iCs/>
          <w:sz w:val="22"/>
          <w:szCs w:val="22"/>
        </w:rPr>
        <w:t xml:space="preserve"> </w:t>
      </w:r>
      <w:r w:rsidRPr="00B16D3D">
        <w:rPr>
          <w:rFonts w:asciiTheme="minorHAnsi" w:hAnsiTheme="minorHAnsi" w:cs="Arial"/>
          <w:iCs/>
          <w:sz w:val="22"/>
          <w:szCs w:val="22"/>
        </w:rPr>
        <w:t>.</w:t>
      </w:r>
      <w:proofErr w:type="gramEnd"/>
      <w:r w:rsidRPr="00B16D3D">
        <w:rPr>
          <w:rFonts w:asciiTheme="minorHAnsi" w:hAnsiTheme="minorHAnsi" w:cs="Arial"/>
          <w:iCs/>
          <w:sz w:val="22"/>
          <w:szCs w:val="22"/>
        </w:rPr>
        <w:t xml:space="preserve">  This description forms part of our auditor’s report.</w:t>
      </w:r>
    </w:p>
    <w:p w:rsidR="00F24AC9" w:rsidRPr="00B16D3D" w:rsidRDefault="00F24AC9" w:rsidP="00F24AC9">
      <w:pPr>
        <w:autoSpaceDE w:val="0"/>
        <w:autoSpaceDN w:val="0"/>
        <w:adjustRightInd w:val="0"/>
        <w:rPr>
          <w:rFonts w:asciiTheme="minorHAnsi" w:hAnsiTheme="minorHAnsi" w:cs="Arial"/>
          <w:iCs/>
          <w:sz w:val="22"/>
          <w:szCs w:val="22"/>
        </w:rPr>
      </w:pPr>
    </w:p>
    <w:p w:rsidR="00F24AC9" w:rsidRPr="00B16D3D" w:rsidRDefault="00F24AC9" w:rsidP="00F24AC9">
      <w:pPr>
        <w:pStyle w:val="inlinenormal"/>
        <w:rPr>
          <w:rStyle w:val="Emphasis"/>
          <w:rFonts w:asciiTheme="minorHAnsi" w:hAnsiTheme="minorHAnsi"/>
          <w:b/>
          <w:i w:val="0"/>
          <w:sz w:val="22"/>
          <w:szCs w:val="22"/>
        </w:rPr>
      </w:pPr>
      <w:r w:rsidRPr="00B16D3D">
        <w:rPr>
          <w:rStyle w:val="Emphasis"/>
          <w:rFonts w:asciiTheme="minorHAnsi" w:hAnsiTheme="minorHAnsi"/>
          <w:b/>
          <w:i w:val="0"/>
          <w:sz w:val="22"/>
          <w:szCs w:val="22"/>
        </w:rPr>
        <w:t>Scope of the review of arrangements for securing economy, efficiency and effectiveness in the use of resources</w:t>
      </w:r>
    </w:p>
    <w:p w:rsidR="00F24AC9" w:rsidRPr="00B16D3D" w:rsidRDefault="00F24AC9" w:rsidP="00F24AC9">
      <w:pPr>
        <w:rPr>
          <w:rFonts w:asciiTheme="minorHAnsi" w:hAnsiTheme="minorHAnsi" w:cs="Arial"/>
          <w:sz w:val="22"/>
          <w:szCs w:val="22"/>
        </w:rPr>
      </w:pPr>
      <w:r w:rsidRPr="00B16D3D">
        <w:rPr>
          <w:rFonts w:asciiTheme="minorHAnsi" w:hAnsiTheme="minorHAnsi" w:cs="Arial"/>
          <w:sz w:val="22"/>
          <w:szCs w:val="22"/>
        </w:rPr>
        <w:t xml:space="preserve">We have undertaken our review in accordance with the Code of Audit Practice, having regard to the guidance on the specified criterion issued by the Comptroller and Auditor General (C&amp;AG) in </w:t>
      </w:r>
      <w:r w:rsidR="00C504A3">
        <w:rPr>
          <w:rFonts w:asciiTheme="minorHAnsi" w:hAnsiTheme="minorHAnsi" w:cs="Arial"/>
          <w:sz w:val="22"/>
          <w:szCs w:val="22"/>
        </w:rPr>
        <w:t xml:space="preserve">April </w:t>
      </w:r>
      <w:r w:rsidRPr="00B16D3D">
        <w:rPr>
          <w:rFonts w:asciiTheme="minorHAnsi" w:hAnsiTheme="minorHAnsi" w:cs="Arial"/>
          <w:sz w:val="22"/>
          <w:szCs w:val="22"/>
        </w:rPr>
        <w:t>20</w:t>
      </w:r>
      <w:r w:rsidR="00C504A3">
        <w:rPr>
          <w:rFonts w:asciiTheme="minorHAnsi" w:hAnsiTheme="minorHAnsi" w:cs="Arial"/>
          <w:sz w:val="22"/>
          <w:szCs w:val="22"/>
        </w:rPr>
        <w:t>20</w:t>
      </w:r>
      <w:r w:rsidRPr="00B16D3D">
        <w:rPr>
          <w:rFonts w:asciiTheme="minorHAnsi" w:hAnsiTheme="minorHAnsi" w:cs="Arial"/>
          <w:sz w:val="22"/>
          <w:szCs w:val="22"/>
        </w:rPr>
        <w:t>, as to whether the Council had proper arrangements to ensure it took properly informed decisions and deployed resources to achieve planned and sustainable outcomes for taxpayers and local people. The Comptroller and Auditor General determined this criterion as that necessary for us to consider under the Code of Audit Practice in satisfying ourselves whether the Council put in place proper arrangements for securing economy, efficiency and effectiveness in its use of resources for the year ended 31 March 20</w:t>
      </w:r>
      <w:r w:rsidR="00C504A3">
        <w:rPr>
          <w:rFonts w:asciiTheme="minorHAnsi" w:hAnsiTheme="minorHAnsi" w:cs="Arial"/>
          <w:sz w:val="22"/>
          <w:szCs w:val="22"/>
        </w:rPr>
        <w:t>20</w:t>
      </w:r>
      <w:r w:rsidRPr="00B16D3D">
        <w:rPr>
          <w:rFonts w:asciiTheme="minorHAnsi" w:hAnsiTheme="minorHAnsi" w:cs="Arial"/>
          <w:sz w:val="22"/>
          <w:szCs w:val="22"/>
        </w:rPr>
        <w:t>.</w:t>
      </w:r>
    </w:p>
    <w:p w:rsidR="00F24AC9" w:rsidRPr="00B16D3D" w:rsidRDefault="00F24AC9" w:rsidP="00F24AC9">
      <w:pPr>
        <w:rPr>
          <w:rFonts w:asciiTheme="minorHAnsi" w:hAnsiTheme="minorHAnsi" w:cs="Arial"/>
          <w:sz w:val="22"/>
          <w:szCs w:val="22"/>
        </w:rPr>
      </w:pPr>
    </w:p>
    <w:p w:rsidR="00F24AC9" w:rsidRPr="00B16D3D" w:rsidRDefault="00F24AC9" w:rsidP="00F24AC9">
      <w:pPr>
        <w:rPr>
          <w:rFonts w:asciiTheme="minorHAnsi" w:hAnsiTheme="minorHAnsi" w:cs="Arial"/>
          <w:sz w:val="22"/>
          <w:szCs w:val="22"/>
        </w:rPr>
      </w:pPr>
      <w:r w:rsidRPr="00B16D3D">
        <w:rPr>
          <w:rFonts w:asciiTheme="minorHAnsi" w:hAnsiTheme="minorHAnsi" w:cs="Arial"/>
          <w:sz w:val="22"/>
          <w:szCs w:val="22"/>
        </w:rPr>
        <w:t>We planned our work in accordance with the Code of Audit Practice. Based on our risk assessment, we undertook such work as we considered necessary to form a view on whether, in all significant respects, the Council had put in place proper arrangements to secure economy, efficiency and effectiveness in its use of resources.</w:t>
      </w:r>
    </w:p>
    <w:p w:rsidR="00F24AC9" w:rsidRPr="00B16D3D" w:rsidRDefault="00F24AC9" w:rsidP="00F24AC9">
      <w:pPr>
        <w:pStyle w:val="inlinenormal"/>
        <w:spacing w:before="0" w:after="0"/>
        <w:rPr>
          <w:rFonts w:asciiTheme="minorHAnsi" w:hAnsiTheme="minorHAnsi"/>
          <w:iCs/>
          <w:sz w:val="22"/>
          <w:szCs w:val="22"/>
        </w:rPr>
      </w:pPr>
    </w:p>
    <w:p w:rsidR="00F24AC9" w:rsidRPr="00B16D3D" w:rsidRDefault="00F24AC9" w:rsidP="00F24AC9">
      <w:pPr>
        <w:rPr>
          <w:rFonts w:asciiTheme="minorHAnsi" w:hAnsiTheme="minorHAnsi"/>
          <w:sz w:val="22"/>
          <w:szCs w:val="22"/>
        </w:rPr>
      </w:pPr>
      <w:r w:rsidRPr="00B16D3D">
        <w:rPr>
          <w:rFonts w:asciiTheme="minorHAnsi" w:hAnsiTheme="minorHAnsi"/>
          <w:sz w:val="22"/>
          <w:szCs w:val="22"/>
        </w:rPr>
        <w:t>We are required under Section 20(1)</w:t>
      </w:r>
      <w:r w:rsidR="00140378">
        <w:rPr>
          <w:rFonts w:asciiTheme="minorHAnsi" w:hAnsiTheme="minorHAnsi"/>
          <w:sz w:val="22"/>
          <w:szCs w:val="22"/>
        </w:rPr>
        <w:t>(</w:t>
      </w:r>
      <w:r w:rsidRPr="00B16D3D">
        <w:rPr>
          <w:rFonts w:asciiTheme="minorHAnsi" w:hAnsiTheme="minorHAnsi"/>
          <w:sz w:val="22"/>
          <w:szCs w:val="22"/>
        </w:rPr>
        <w:t xml:space="preserve">c) of the Local Audit and Accountability Act 2014 to satisfy ourselves that the Authority has made proper arrangements for securing economy, efficiency and effectiveness in its use of resources. The Code of Audit Practice issued by the National Audit Office (NAO) requires us to report to you our conclusion relating to proper arrangements. </w:t>
      </w:r>
    </w:p>
    <w:p w:rsidR="00F24AC9" w:rsidRPr="00B16D3D" w:rsidRDefault="00F24AC9" w:rsidP="00F24AC9">
      <w:pPr>
        <w:rPr>
          <w:rFonts w:asciiTheme="minorHAnsi" w:hAnsiTheme="minorHAnsi" w:cs="Arial"/>
          <w:sz w:val="22"/>
          <w:szCs w:val="22"/>
        </w:rPr>
      </w:pPr>
    </w:p>
    <w:p w:rsidR="00F24AC9" w:rsidRPr="00B16D3D" w:rsidRDefault="00F24AC9" w:rsidP="00F24AC9">
      <w:pPr>
        <w:rPr>
          <w:rFonts w:asciiTheme="minorHAnsi" w:hAnsiTheme="minorHAnsi"/>
          <w:sz w:val="22"/>
          <w:szCs w:val="22"/>
        </w:rPr>
      </w:pPr>
      <w:r w:rsidRPr="00B16D3D">
        <w:rPr>
          <w:rFonts w:asciiTheme="minorHAnsi" w:hAnsiTheme="minorHAnsi"/>
          <w:sz w:val="22"/>
          <w:szCs w:val="22"/>
        </w:rPr>
        <w:t xml:space="preserve">We report if significant matters have come to our attention which prevent us from concluding that the Authority has put in place proper arrangements for securing economy, efficiency and effectiveness in its use of resources. We are not required to consider, nor have we considered, whether all aspects of the Authority’s arrangements for securing economy, efficiency and effectiveness in its use of resources are operating effectively. </w:t>
      </w:r>
    </w:p>
    <w:p w:rsidR="00F24AC9" w:rsidRPr="00B16D3D" w:rsidRDefault="00F24AC9" w:rsidP="00F24AC9">
      <w:pPr>
        <w:pStyle w:val="inlinenormal"/>
        <w:spacing w:before="0" w:after="0"/>
        <w:rPr>
          <w:rStyle w:val="Emphasis"/>
          <w:rFonts w:asciiTheme="minorHAnsi" w:hAnsiTheme="minorHAnsi"/>
          <w:b/>
          <w:i w:val="0"/>
          <w:sz w:val="22"/>
          <w:szCs w:val="22"/>
        </w:rPr>
      </w:pPr>
    </w:p>
    <w:p w:rsidR="00F24AC9" w:rsidRPr="00B16D3D" w:rsidRDefault="00F24AC9" w:rsidP="00F24AC9">
      <w:pPr>
        <w:autoSpaceDE w:val="0"/>
        <w:autoSpaceDN w:val="0"/>
        <w:adjustRightInd w:val="0"/>
        <w:rPr>
          <w:rFonts w:asciiTheme="minorHAnsi" w:hAnsiTheme="minorHAnsi" w:cs="Arial"/>
          <w:b/>
          <w:sz w:val="22"/>
          <w:szCs w:val="22"/>
        </w:rPr>
      </w:pPr>
      <w:r w:rsidRPr="00B16D3D">
        <w:rPr>
          <w:rFonts w:asciiTheme="minorHAnsi" w:hAnsiTheme="minorHAnsi" w:cs="Arial"/>
          <w:b/>
          <w:sz w:val="22"/>
          <w:szCs w:val="22"/>
        </w:rPr>
        <w:t>Certificate</w:t>
      </w:r>
    </w:p>
    <w:p w:rsidR="00F24AC9" w:rsidRPr="00B16D3D" w:rsidRDefault="00F24AC9" w:rsidP="00F24AC9">
      <w:pPr>
        <w:autoSpaceDE w:val="0"/>
        <w:autoSpaceDN w:val="0"/>
        <w:adjustRightInd w:val="0"/>
        <w:rPr>
          <w:rFonts w:asciiTheme="minorHAnsi" w:hAnsiTheme="minorHAnsi" w:cs="Arial"/>
          <w:b/>
          <w:sz w:val="22"/>
          <w:szCs w:val="22"/>
        </w:rPr>
      </w:pPr>
    </w:p>
    <w:p w:rsidR="00F24AC9" w:rsidRPr="00B16D3D" w:rsidRDefault="00F24AC9" w:rsidP="00F24AC9">
      <w:pPr>
        <w:autoSpaceDE w:val="0"/>
        <w:autoSpaceDN w:val="0"/>
        <w:adjustRightInd w:val="0"/>
        <w:rPr>
          <w:rFonts w:asciiTheme="minorHAnsi" w:hAnsiTheme="minorHAnsi" w:cs="Arial"/>
          <w:sz w:val="22"/>
          <w:szCs w:val="22"/>
        </w:rPr>
      </w:pPr>
      <w:r w:rsidRPr="00B16D3D">
        <w:rPr>
          <w:rFonts w:asciiTheme="minorHAnsi" w:hAnsiTheme="minorHAnsi" w:cs="Arial"/>
          <w:sz w:val="22"/>
          <w:szCs w:val="22"/>
        </w:rPr>
        <w:t xml:space="preserve">We certify that we have completed the audit of the accounts of Chichester District Council in </w:t>
      </w:r>
      <w:r w:rsidRPr="00B16D3D">
        <w:rPr>
          <w:rFonts w:asciiTheme="minorHAnsi" w:hAnsiTheme="minorHAnsi" w:cs="Arial"/>
          <w:sz w:val="22"/>
          <w:szCs w:val="22"/>
        </w:rPr>
        <w:lastRenderedPageBreak/>
        <w:t>accordance with the requirements of the Local Audit and Accountability Act 2014 and the Code of Audit Practice issued by the National Audit Office.</w:t>
      </w:r>
    </w:p>
    <w:p w:rsidR="00F24AC9" w:rsidRPr="00B16D3D" w:rsidRDefault="00F24AC9" w:rsidP="00F24AC9">
      <w:pPr>
        <w:pStyle w:val="BodyText2"/>
        <w:rPr>
          <w:rFonts w:asciiTheme="minorHAnsi" w:hAnsiTheme="minorHAnsi"/>
          <w:sz w:val="22"/>
          <w:szCs w:val="22"/>
        </w:rPr>
      </w:pPr>
    </w:p>
    <w:p w:rsidR="00F24AC9" w:rsidRPr="00B16D3D" w:rsidRDefault="00F24AC9" w:rsidP="00F24AC9">
      <w:pPr>
        <w:rPr>
          <w:rFonts w:asciiTheme="minorHAnsi" w:eastAsia="Swiss721BT-Italic" w:hAnsiTheme="minorHAnsi" w:cs="Calibri"/>
          <w:b/>
          <w:iCs/>
          <w:sz w:val="22"/>
          <w:szCs w:val="22"/>
        </w:rPr>
      </w:pPr>
      <w:r w:rsidRPr="00B16D3D">
        <w:rPr>
          <w:rFonts w:asciiTheme="minorHAnsi" w:eastAsia="Swiss721BT-Italic" w:hAnsiTheme="minorHAnsi" w:cs="Calibri"/>
          <w:b/>
          <w:iCs/>
          <w:sz w:val="22"/>
          <w:szCs w:val="22"/>
        </w:rPr>
        <w:t>Use of our report</w:t>
      </w:r>
    </w:p>
    <w:p w:rsidR="00F24AC9" w:rsidRPr="00B16D3D" w:rsidRDefault="00F24AC9" w:rsidP="00F24AC9">
      <w:pPr>
        <w:rPr>
          <w:rFonts w:asciiTheme="minorHAnsi" w:eastAsia="Swiss721BT-Italic" w:hAnsiTheme="minorHAnsi" w:cs="Calibri"/>
          <w:i/>
          <w:iCs/>
          <w:sz w:val="22"/>
          <w:szCs w:val="22"/>
        </w:rPr>
      </w:pPr>
    </w:p>
    <w:p w:rsidR="00F24AC9" w:rsidRPr="00B16D3D" w:rsidRDefault="00F24AC9" w:rsidP="00F24AC9">
      <w:pPr>
        <w:rPr>
          <w:rFonts w:asciiTheme="minorHAnsi" w:eastAsia="Swiss721BT-Italic" w:hAnsiTheme="minorHAnsi" w:cs="Calibri"/>
          <w:i/>
          <w:iCs/>
          <w:sz w:val="22"/>
          <w:szCs w:val="22"/>
        </w:rPr>
      </w:pPr>
      <w:r w:rsidRPr="00B16D3D">
        <w:rPr>
          <w:rFonts w:asciiTheme="minorHAnsi" w:hAnsiTheme="minorHAnsi"/>
          <w:sz w:val="22"/>
          <w:szCs w:val="22"/>
        </w:rPr>
        <w:t xml:space="preserve">This report is made solely to the members of Chichester District Council, as a body, in accordance with </w:t>
      </w:r>
      <w:r w:rsidRPr="00B16D3D">
        <w:rPr>
          <w:rFonts w:asciiTheme="minorHAnsi" w:hAnsiTheme="minorHAnsi" w:cs="Arial"/>
          <w:sz w:val="22"/>
          <w:szCs w:val="22"/>
        </w:rPr>
        <w:t xml:space="preserve">Part 5 of the Local Audit and Accountability Act 2014 </w:t>
      </w:r>
      <w:r w:rsidRPr="00B16D3D">
        <w:rPr>
          <w:rFonts w:asciiTheme="minorHAnsi" w:hAnsiTheme="minorHAnsi"/>
          <w:sz w:val="22"/>
          <w:szCs w:val="22"/>
        </w:rPr>
        <w:t xml:space="preserve">and for no other purpose, as set out in paragraph </w:t>
      </w:r>
      <w:r w:rsidRPr="00B16D3D">
        <w:rPr>
          <w:rFonts w:asciiTheme="minorHAnsi" w:hAnsiTheme="minorHAnsi" w:cs="Arial"/>
          <w:sz w:val="22"/>
          <w:szCs w:val="22"/>
        </w:rPr>
        <w:t>43 of the Statement of Responsibilities of Auditors and Audited Bodies published by Public Sector Audit Appointments Limited</w:t>
      </w:r>
      <w:r w:rsidRPr="00B16D3D">
        <w:rPr>
          <w:rFonts w:asciiTheme="minorHAnsi" w:hAnsiTheme="minorHAnsi"/>
          <w:sz w:val="22"/>
          <w:szCs w:val="22"/>
        </w:rPr>
        <w:t>. To the fullest extent permitted by law, we do not accept or assume responsibility to anyone other than the Council and the Council’s members as a body, for our audit work, for this report, or for the opinions we have formed.</w:t>
      </w:r>
      <w:r w:rsidR="00650803" w:rsidRPr="00B16D3D">
        <w:rPr>
          <w:rFonts w:asciiTheme="minorHAnsi" w:eastAsia="Swiss721BT-Italic" w:hAnsiTheme="minorHAnsi" w:cs="Calibri"/>
          <w:i/>
          <w:iCs/>
          <w:sz w:val="22"/>
          <w:szCs w:val="22"/>
        </w:rPr>
        <w:t xml:space="preserve"> </w:t>
      </w:r>
    </w:p>
    <w:p w:rsidR="006E44A9" w:rsidRDefault="006E44A9" w:rsidP="00650803">
      <w:pPr>
        <w:spacing w:before="360"/>
        <w:rPr>
          <w:rFonts w:asciiTheme="minorHAnsi" w:eastAsia="Swiss721BT-Italic" w:hAnsiTheme="minorHAnsi" w:cs="Calibri"/>
          <w:iCs/>
          <w:sz w:val="22"/>
          <w:szCs w:val="22"/>
        </w:rPr>
      </w:pPr>
    </w:p>
    <w:p w:rsidR="00F24AC9" w:rsidRPr="00B16D3D" w:rsidRDefault="00F24AC9" w:rsidP="00F24AC9">
      <w:pPr>
        <w:rPr>
          <w:rFonts w:asciiTheme="minorHAnsi" w:eastAsia="Swiss721BT-Italic" w:hAnsiTheme="minorHAnsi" w:cs="Calibri"/>
          <w:iCs/>
          <w:sz w:val="22"/>
          <w:szCs w:val="22"/>
        </w:rPr>
      </w:pPr>
      <w:r w:rsidRPr="00B16D3D">
        <w:rPr>
          <w:rFonts w:asciiTheme="minorHAnsi" w:eastAsia="Swiss721BT-Italic" w:hAnsiTheme="minorHAnsi" w:cs="Calibri"/>
          <w:iCs/>
          <w:sz w:val="22"/>
          <w:szCs w:val="22"/>
        </w:rPr>
        <w:t>Kevin Suter (</w:t>
      </w:r>
      <w:r w:rsidRPr="00874A31">
        <w:rPr>
          <w:rFonts w:asciiTheme="minorHAnsi" w:eastAsia="Swiss721BT-Italic" w:hAnsiTheme="minorHAnsi" w:cs="Calibri"/>
          <w:iCs/>
          <w:sz w:val="22"/>
          <w:szCs w:val="22"/>
        </w:rPr>
        <w:t>Key Audit Partner</w:t>
      </w:r>
      <w:r w:rsidRPr="00B16D3D">
        <w:rPr>
          <w:rFonts w:asciiTheme="minorHAnsi" w:eastAsia="Swiss721BT-Italic" w:hAnsiTheme="minorHAnsi" w:cs="Calibri"/>
          <w:iCs/>
          <w:sz w:val="22"/>
          <w:szCs w:val="22"/>
        </w:rPr>
        <w:t>)</w:t>
      </w:r>
    </w:p>
    <w:p w:rsidR="00F24AC9" w:rsidRPr="00B16D3D" w:rsidRDefault="00F24AC9" w:rsidP="00F24AC9">
      <w:pPr>
        <w:rPr>
          <w:rFonts w:asciiTheme="minorHAnsi" w:eastAsia="Swiss721BT-Italic" w:hAnsiTheme="minorHAnsi" w:cs="Calibri"/>
          <w:iCs/>
          <w:sz w:val="22"/>
          <w:szCs w:val="22"/>
        </w:rPr>
      </w:pPr>
      <w:r w:rsidRPr="00B16D3D">
        <w:rPr>
          <w:rFonts w:asciiTheme="minorHAnsi" w:eastAsia="Swiss721BT-Italic" w:hAnsiTheme="minorHAnsi" w:cs="Calibri"/>
          <w:iCs/>
          <w:sz w:val="22"/>
          <w:szCs w:val="22"/>
        </w:rPr>
        <w:t>Ernst &amp; Young LLP (Local Auditor)</w:t>
      </w:r>
    </w:p>
    <w:p w:rsidR="00F24AC9" w:rsidRPr="00B16D3D" w:rsidRDefault="00F24AC9" w:rsidP="00F24AC9">
      <w:pPr>
        <w:rPr>
          <w:rFonts w:asciiTheme="minorHAnsi" w:hAnsiTheme="minorHAnsi" w:cs="Calibri"/>
          <w:sz w:val="22"/>
          <w:szCs w:val="22"/>
        </w:rPr>
      </w:pPr>
      <w:r w:rsidRPr="00B16D3D">
        <w:rPr>
          <w:rFonts w:asciiTheme="minorHAnsi" w:hAnsiTheme="minorHAnsi" w:cs="Calibri"/>
          <w:sz w:val="22"/>
          <w:szCs w:val="22"/>
        </w:rPr>
        <w:t>Southampton</w:t>
      </w:r>
    </w:p>
    <w:p w:rsidR="00F24AC9" w:rsidRPr="00B16D3D" w:rsidRDefault="006F32F4" w:rsidP="00F24AC9">
      <w:pPr>
        <w:rPr>
          <w:rFonts w:asciiTheme="minorHAnsi" w:hAnsiTheme="minorHAnsi" w:cs="Calibri"/>
          <w:sz w:val="22"/>
          <w:szCs w:val="22"/>
        </w:rPr>
      </w:pPr>
      <w:r>
        <w:rPr>
          <w:rFonts w:asciiTheme="minorHAnsi" w:hAnsiTheme="minorHAnsi" w:cs="Calibri"/>
          <w:sz w:val="22"/>
          <w:szCs w:val="22"/>
        </w:rPr>
        <w:t>27</w:t>
      </w:r>
      <w:r w:rsidR="00F24AC9" w:rsidRPr="00B16D3D">
        <w:rPr>
          <w:rFonts w:asciiTheme="minorHAnsi" w:hAnsiTheme="minorHAnsi" w:cs="Calibri"/>
          <w:sz w:val="22"/>
          <w:szCs w:val="22"/>
        </w:rPr>
        <w:t xml:space="preserve"> </w:t>
      </w:r>
      <w:r w:rsidR="00505459">
        <w:rPr>
          <w:rFonts w:asciiTheme="minorHAnsi" w:hAnsiTheme="minorHAnsi" w:cs="Calibri"/>
          <w:sz w:val="22"/>
          <w:szCs w:val="22"/>
        </w:rPr>
        <w:t>November</w:t>
      </w:r>
      <w:r w:rsidR="00F24AC9" w:rsidRPr="00B16D3D">
        <w:rPr>
          <w:rFonts w:asciiTheme="minorHAnsi" w:hAnsiTheme="minorHAnsi" w:cs="Calibri"/>
          <w:sz w:val="22"/>
          <w:szCs w:val="22"/>
        </w:rPr>
        <w:t xml:space="preserve"> 20</w:t>
      </w:r>
      <w:r w:rsidR="00505459">
        <w:rPr>
          <w:rFonts w:asciiTheme="minorHAnsi" w:hAnsiTheme="minorHAnsi" w:cs="Calibri"/>
          <w:sz w:val="22"/>
          <w:szCs w:val="22"/>
        </w:rPr>
        <w:t>20</w:t>
      </w:r>
    </w:p>
    <w:p w:rsidR="00650803" w:rsidRDefault="00650803">
      <w:pPr>
        <w:widowControl/>
        <w:suppressAutoHyphens w:val="0"/>
        <w:rPr>
          <w:rFonts w:asciiTheme="minorHAnsi" w:hAnsiTheme="minorHAnsi" w:cs="Arial"/>
          <w:b/>
        </w:rPr>
      </w:pPr>
      <w:r>
        <w:rPr>
          <w:rFonts w:asciiTheme="minorHAnsi" w:hAnsiTheme="minorHAnsi" w:cs="Arial"/>
          <w:b/>
        </w:rPr>
        <w:br w:type="page"/>
      </w:r>
    </w:p>
    <w:p w:rsidR="00F47DE1" w:rsidRPr="0068094B" w:rsidRDefault="00F47DE1" w:rsidP="00F47DE1">
      <w:pPr>
        <w:widowControl/>
        <w:suppressAutoHyphens w:val="0"/>
        <w:rPr>
          <w:rFonts w:asciiTheme="minorHAnsi" w:hAnsiTheme="minorHAnsi" w:cstheme="minorHAnsi"/>
          <w:sz w:val="22"/>
          <w:szCs w:val="22"/>
        </w:rPr>
        <w:sectPr w:rsidR="00F47DE1" w:rsidRPr="0068094B" w:rsidSect="00420C36">
          <w:headerReference w:type="even" r:id="rId28"/>
          <w:headerReference w:type="default" r:id="rId29"/>
          <w:footerReference w:type="even" r:id="rId30"/>
          <w:footerReference w:type="default" r:id="rId31"/>
          <w:headerReference w:type="first" r:id="rId32"/>
          <w:footerReference w:type="first" r:id="rId33"/>
          <w:footnotePr>
            <w:pos w:val="beneathText"/>
          </w:footnotePr>
          <w:pgSz w:w="11906" w:h="16838"/>
          <w:pgMar w:top="851" w:right="1736" w:bottom="1418" w:left="1440" w:header="284" w:footer="576" w:gutter="0"/>
          <w:cols w:space="720"/>
          <w:docGrid w:linePitch="360"/>
        </w:sectPr>
      </w:pPr>
    </w:p>
    <w:p w:rsidR="00656629" w:rsidRPr="00650803" w:rsidRDefault="00CB6BFB" w:rsidP="00650803">
      <w:pPr>
        <w:pageBreakBefore/>
        <w:spacing w:after="720"/>
        <w:rPr>
          <w:rFonts w:asciiTheme="minorHAnsi" w:hAnsiTheme="minorHAnsi" w:cstheme="minorHAnsi"/>
          <w:b/>
          <w:bCs/>
          <w:szCs w:val="24"/>
        </w:rPr>
      </w:pPr>
      <w:r w:rsidRPr="009B4521">
        <w:rPr>
          <w:rFonts w:asciiTheme="minorHAnsi" w:hAnsiTheme="minorHAnsi" w:cstheme="minorHAnsi"/>
          <w:b/>
          <w:bCs/>
          <w:szCs w:val="24"/>
        </w:rPr>
        <w:lastRenderedPageBreak/>
        <w:t>C</w:t>
      </w:r>
      <w:r w:rsidR="004A6511" w:rsidRPr="009B4521">
        <w:rPr>
          <w:rFonts w:asciiTheme="minorHAnsi" w:hAnsiTheme="minorHAnsi" w:cstheme="minorHAnsi"/>
          <w:b/>
          <w:bCs/>
          <w:szCs w:val="24"/>
        </w:rPr>
        <w:t xml:space="preserve">omprehensive Income and Expenditure </w:t>
      </w:r>
      <w:r w:rsidR="005E6330" w:rsidRPr="009B4521">
        <w:rPr>
          <w:rFonts w:asciiTheme="minorHAnsi" w:hAnsiTheme="minorHAnsi" w:cstheme="minorHAnsi"/>
          <w:b/>
          <w:bCs/>
          <w:szCs w:val="24"/>
        </w:rPr>
        <w:t>Statement</w:t>
      </w:r>
      <w:r w:rsidR="00F76843" w:rsidRPr="009B4521">
        <w:rPr>
          <w:rFonts w:asciiTheme="minorHAnsi" w:hAnsiTheme="minorHAnsi" w:cstheme="minorHAnsi"/>
          <w:b/>
          <w:bCs/>
          <w:szCs w:val="24"/>
        </w:rPr>
        <w:br/>
      </w:r>
    </w:p>
    <w:p w:rsidR="00183652" w:rsidRDefault="004A6511">
      <w:pPr>
        <w:pStyle w:val="Header"/>
        <w:tabs>
          <w:tab w:val="clear" w:pos="4320"/>
          <w:tab w:val="clear" w:pos="8640"/>
          <w:tab w:val="left" w:pos="-1099"/>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This statement shows the accounting cost in the year of providing services in accordance with generally accepted accounting practices, rather than the am</w:t>
      </w:r>
      <w:r w:rsidR="00940FA8" w:rsidRPr="0068094B">
        <w:rPr>
          <w:rFonts w:asciiTheme="minorHAnsi" w:hAnsiTheme="minorHAnsi" w:cstheme="minorHAnsi"/>
          <w:sz w:val="22"/>
          <w:szCs w:val="22"/>
        </w:rPr>
        <w:t>ount to be funded from taxation</w:t>
      </w:r>
      <w:r w:rsidR="002C2E5A" w:rsidRPr="0068094B">
        <w:rPr>
          <w:rFonts w:asciiTheme="minorHAnsi" w:hAnsiTheme="minorHAnsi" w:cstheme="minorHAnsi"/>
          <w:sz w:val="22"/>
          <w:szCs w:val="22"/>
        </w:rPr>
        <w:t>.</w:t>
      </w:r>
      <w:r w:rsidR="00940FA8" w:rsidRPr="0068094B">
        <w:rPr>
          <w:rFonts w:asciiTheme="minorHAnsi" w:hAnsiTheme="minorHAnsi" w:cstheme="minorHAnsi"/>
          <w:sz w:val="22"/>
          <w:szCs w:val="22"/>
        </w:rPr>
        <w:t xml:space="preserve"> </w:t>
      </w:r>
      <w:r w:rsidR="008201A6" w:rsidRPr="0068094B">
        <w:rPr>
          <w:rFonts w:asciiTheme="minorHAnsi" w:hAnsiTheme="minorHAnsi" w:cstheme="minorHAnsi"/>
          <w:sz w:val="22"/>
          <w:szCs w:val="22"/>
        </w:rPr>
        <w:t xml:space="preserve"> </w:t>
      </w:r>
      <w:r w:rsidRPr="0068094B">
        <w:rPr>
          <w:rFonts w:asciiTheme="minorHAnsi" w:hAnsiTheme="minorHAnsi" w:cstheme="minorHAnsi"/>
          <w:sz w:val="22"/>
          <w:szCs w:val="22"/>
        </w:rPr>
        <w:t>Authorities raise taxation to cover expenditure in accordance with regulations; this may be different from the accounting cost. The taxation position is shown in the Movement in Reserves Statement.</w:t>
      </w:r>
    </w:p>
    <w:p w:rsidR="00602116" w:rsidRPr="0068094B" w:rsidRDefault="00602116">
      <w:pPr>
        <w:pStyle w:val="Header"/>
        <w:tabs>
          <w:tab w:val="clear" w:pos="4320"/>
          <w:tab w:val="clear" w:pos="8640"/>
          <w:tab w:val="left" w:pos="-1099"/>
          <w:tab w:val="left" w:pos="-720"/>
          <w:tab w:val="left" w:pos="0"/>
          <w:tab w:val="decimal" w:pos="780"/>
        </w:tabs>
        <w:rPr>
          <w:rFonts w:asciiTheme="minorHAnsi" w:hAnsiTheme="minorHAnsi" w:cstheme="minorHAnsi"/>
          <w:color w:val="00FFFF"/>
          <w:sz w:val="22"/>
          <w:szCs w:val="22"/>
        </w:rPr>
      </w:pPr>
    </w:p>
    <w:tbl>
      <w:tblPr>
        <w:tblW w:w="14176" w:type="dxa"/>
        <w:tblInd w:w="-176" w:type="dxa"/>
        <w:tblLayout w:type="fixed"/>
        <w:tblLook w:val="0000" w:firstRow="0" w:lastRow="0" w:firstColumn="0" w:lastColumn="0" w:noHBand="0" w:noVBand="0"/>
      </w:tblPr>
      <w:tblGrid>
        <w:gridCol w:w="1560"/>
        <w:gridCol w:w="1559"/>
        <w:gridCol w:w="1417"/>
        <w:gridCol w:w="5671"/>
        <w:gridCol w:w="1417"/>
        <w:gridCol w:w="1134"/>
        <w:gridCol w:w="1418"/>
      </w:tblGrid>
      <w:tr w:rsidR="00183652" w:rsidRPr="0068094B" w:rsidTr="00CB1F2D">
        <w:trPr>
          <w:trHeight w:val="340"/>
          <w:tblHeader/>
        </w:trPr>
        <w:tc>
          <w:tcPr>
            <w:tcW w:w="4536" w:type="dxa"/>
            <w:gridSpan w:val="3"/>
            <w:vAlign w:val="center"/>
          </w:tcPr>
          <w:p w:rsidR="00183652" w:rsidRPr="0068094B" w:rsidRDefault="00233918" w:rsidP="006651F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201</w:t>
            </w:r>
            <w:r w:rsidR="006651F6">
              <w:rPr>
                <w:rFonts w:asciiTheme="minorHAnsi" w:hAnsiTheme="minorHAnsi" w:cstheme="minorHAnsi"/>
                <w:sz w:val="22"/>
                <w:szCs w:val="22"/>
              </w:rPr>
              <w:t>8</w:t>
            </w:r>
            <w:r w:rsidRPr="0068094B">
              <w:rPr>
                <w:rFonts w:asciiTheme="minorHAnsi" w:hAnsiTheme="minorHAnsi" w:cstheme="minorHAnsi"/>
                <w:sz w:val="22"/>
                <w:szCs w:val="22"/>
              </w:rPr>
              <w:t>-1</w:t>
            </w:r>
            <w:r w:rsidR="006651F6">
              <w:rPr>
                <w:rFonts w:asciiTheme="minorHAnsi" w:hAnsiTheme="minorHAnsi" w:cstheme="minorHAnsi"/>
                <w:sz w:val="22"/>
                <w:szCs w:val="22"/>
              </w:rPr>
              <w:t>9</w:t>
            </w:r>
            <w:r w:rsidR="005E4E7D">
              <w:rPr>
                <w:rFonts w:asciiTheme="minorHAnsi" w:hAnsiTheme="minorHAnsi" w:cstheme="minorHAnsi"/>
                <w:sz w:val="22"/>
                <w:szCs w:val="22"/>
              </w:rPr>
              <w:t xml:space="preserve"> (Restated)</w:t>
            </w:r>
          </w:p>
        </w:tc>
        <w:tc>
          <w:tcPr>
            <w:tcW w:w="5671" w:type="dxa"/>
          </w:tcPr>
          <w:p w:rsidR="00183652" w:rsidRPr="0068094B" w:rsidRDefault="0018365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3969" w:type="dxa"/>
            <w:gridSpan w:val="3"/>
            <w:shd w:val="clear" w:color="auto" w:fill="D9D9D9" w:themeFill="background1" w:themeFillShade="D9"/>
            <w:vAlign w:val="center"/>
          </w:tcPr>
          <w:p w:rsidR="00183652" w:rsidRPr="0068094B" w:rsidRDefault="00233918" w:rsidP="006651F6">
            <w:pPr>
              <w:pStyle w:val="Heading1"/>
              <w:keepNext w:val="0"/>
              <w:tabs>
                <w:tab w:val="left" w:pos="3012"/>
              </w:tabs>
              <w:snapToGrid w:val="0"/>
              <w:jc w:val="center"/>
              <w:rPr>
                <w:rFonts w:asciiTheme="minorHAnsi" w:hAnsiTheme="minorHAnsi" w:cstheme="minorHAnsi"/>
                <w:sz w:val="22"/>
                <w:szCs w:val="22"/>
              </w:rPr>
            </w:pPr>
            <w:r w:rsidRPr="0068094B">
              <w:rPr>
                <w:rFonts w:asciiTheme="minorHAnsi" w:hAnsiTheme="minorHAnsi" w:cstheme="minorHAnsi"/>
                <w:sz w:val="22"/>
                <w:szCs w:val="22"/>
              </w:rPr>
              <w:t>201</w:t>
            </w:r>
            <w:r w:rsidR="006651F6">
              <w:rPr>
                <w:rFonts w:asciiTheme="minorHAnsi" w:hAnsiTheme="minorHAnsi" w:cstheme="minorHAnsi"/>
                <w:sz w:val="22"/>
                <w:szCs w:val="22"/>
              </w:rPr>
              <w:t>9</w:t>
            </w:r>
            <w:r w:rsidRPr="0068094B">
              <w:rPr>
                <w:rFonts w:asciiTheme="minorHAnsi" w:hAnsiTheme="minorHAnsi" w:cstheme="minorHAnsi"/>
                <w:sz w:val="22"/>
                <w:szCs w:val="22"/>
              </w:rPr>
              <w:t>-</w:t>
            </w:r>
            <w:r w:rsidR="006651F6">
              <w:rPr>
                <w:rFonts w:asciiTheme="minorHAnsi" w:hAnsiTheme="minorHAnsi" w:cstheme="minorHAnsi"/>
                <w:sz w:val="22"/>
                <w:szCs w:val="22"/>
              </w:rPr>
              <w:t>20</w:t>
            </w:r>
          </w:p>
        </w:tc>
      </w:tr>
      <w:tr w:rsidR="00183652" w:rsidRPr="0068094B" w:rsidTr="007B52E8">
        <w:trPr>
          <w:trHeight w:val="340"/>
          <w:tblHeader/>
        </w:trPr>
        <w:tc>
          <w:tcPr>
            <w:tcW w:w="1560" w:type="dxa"/>
            <w:shd w:val="clear" w:color="auto" w:fill="auto"/>
            <w:vAlign w:val="center"/>
          </w:tcPr>
          <w:p w:rsidR="00183652" w:rsidRPr="007B52E8" w:rsidRDefault="004A6511" w:rsidP="00CB1F2D">
            <w:pPr>
              <w:pStyle w:val="Heading1"/>
              <w:keepNext w:val="0"/>
              <w:snapToGrid w:val="0"/>
              <w:jc w:val="right"/>
              <w:rPr>
                <w:rFonts w:asciiTheme="minorHAnsi" w:hAnsiTheme="minorHAnsi" w:cstheme="minorHAnsi"/>
                <w:sz w:val="22"/>
                <w:szCs w:val="22"/>
              </w:rPr>
            </w:pPr>
            <w:r w:rsidRPr="007B52E8">
              <w:rPr>
                <w:rFonts w:asciiTheme="minorHAnsi" w:hAnsiTheme="minorHAnsi" w:cstheme="minorHAnsi"/>
                <w:sz w:val="22"/>
                <w:szCs w:val="22"/>
              </w:rPr>
              <w:t>Gross</w:t>
            </w:r>
          </w:p>
          <w:p w:rsidR="00C72621" w:rsidRPr="00045165" w:rsidRDefault="00832C1A" w:rsidP="00045165">
            <w:pPr>
              <w:pStyle w:val="Heading1"/>
              <w:keepNext w:val="0"/>
              <w:tabs>
                <w:tab w:val="left" w:pos="1310"/>
              </w:tabs>
              <w:snapToGrid w:val="0"/>
              <w:ind w:hanging="256"/>
              <w:jc w:val="right"/>
              <w:rPr>
                <w:rFonts w:asciiTheme="minorHAnsi" w:hAnsiTheme="minorHAnsi" w:cstheme="minorHAnsi"/>
                <w:sz w:val="22"/>
                <w:szCs w:val="22"/>
              </w:rPr>
            </w:pPr>
            <w:r>
              <w:rPr>
                <w:rFonts w:asciiTheme="minorHAnsi" w:hAnsiTheme="minorHAnsi" w:cstheme="minorHAnsi"/>
                <w:sz w:val="22"/>
                <w:szCs w:val="22"/>
              </w:rPr>
              <w:t>Expenditure</w:t>
            </w:r>
          </w:p>
        </w:tc>
        <w:tc>
          <w:tcPr>
            <w:tcW w:w="1559" w:type="dxa"/>
            <w:shd w:val="clear" w:color="auto" w:fill="auto"/>
            <w:vAlign w:val="center"/>
          </w:tcPr>
          <w:p w:rsidR="00C72621" w:rsidRPr="00045165" w:rsidRDefault="00CB1F2D" w:rsidP="00045165">
            <w:pPr>
              <w:pStyle w:val="Heading1"/>
              <w:keepNext w:val="0"/>
              <w:numPr>
                <w:ilvl w:val="0"/>
                <w:numId w:val="0"/>
              </w:numPr>
              <w:tabs>
                <w:tab w:val="left" w:pos="1310"/>
              </w:tabs>
              <w:snapToGrid w:val="0"/>
              <w:ind w:left="176"/>
              <w:jc w:val="right"/>
              <w:rPr>
                <w:rFonts w:asciiTheme="minorHAnsi" w:hAnsiTheme="minorHAnsi" w:cstheme="minorHAnsi"/>
                <w:sz w:val="22"/>
                <w:szCs w:val="22"/>
              </w:rPr>
            </w:pPr>
            <w:r w:rsidRPr="007B52E8">
              <w:rPr>
                <w:rFonts w:asciiTheme="minorHAnsi" w:hAnsiTheme="minorHAnsi" w:cstheme="minorHAnsi"/>
                <w:sz w:val="22"/>
                <w:szCs w:val="22"/>
              </w:rPr>
              <w:t xml:space="preserve">Gross Income </w:t>
            </w:r>
          </w:p>
        </w:tc>
        <w:tc>
          <w:tcPr>
            <w:tcW w:w="1417" w:type="dxa"/>
            <w:shd w:val="clear" w:color="auto" w:fill="auto"/>
            <w:vAlign w:val="center"/>
          </w:tcPr>
          <w:p w:rsidR="00183652" w:rsidRPr="00355B8E" w:rsidRDefault="004A6511" w:rsidP="00355B8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55B8E">
              <w:rPr>
                <w:rFonts w:asciiTheme="minorHAnsi" w:hAnsiTheme="minorHAnsi" w:cstheme="minorHAnsi"/>
                <w:sz w:val="22"/>
                <w:szCs w:val="22"/>
              </w:rPr>
              <w:t>Net</w:t>
            </w:r>
          </w:p>
          <w:p w:rsidR="00C72621" w:rsidRPr="00045165" w:rsidRDefault="004A6511" w:rsidP="0004516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55B8E">
              <w:rPr>
                <w:rFonts w:asciiTheme="minorHAnsi" w:hAnsiTheme="minorHAnsi" w:cstheme="minorHAnsi"/>
                <w:sz w:val="22"/>
                <w:szCs w:val="22"/>
              </w:rPr>
              <w:t>Expenditure</w:t>
            </w:r>
          </w:p>
        </w:tc>
        <w:tc>
          <w:tcPr>
            <w:tcW w:w="5671" w:type="dxa"/>
            <w:vAlign w:val="center"/>
          </w:tcPr>
          <w:p w:rsidR="00183652" w:rsidRPr="0068094B" w:rsidRDefault="0018365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417" w:type="dxa"/>
            <w:shd w:val="clear" w:color="auto" w:fill="D9D9D9" w:themeFill="background1" w:themeFillShade="D9"/>
            <w:vAlign w:val="center"/>
          </w:tcPr>
          <w:p w:rsidR="00183652" w:rsidRPr="0068094B" w:rsidRDefault="004A6511" w:rsidP="00CB1F2D">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rsidR="00C72621" w:rsidRPr="00045165" w:rsidRDefault="004A6511" w:rsidP="00C72621">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134" w:type="dxa"/>
            <w:shd w:val="clear" w:color="auto" w:fill="D9D9D9" w:themeFill="background1" w:themeFillShade="D9"/>
            <w:vAlign w:val="center"/>
          </w:tcPr>
          <w:p w:rsidR="00183652" w:rsidRPr="0068094B" w:rsidRDefault="004A6511" w:rsidP="00CB1F2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rsidR="00C72621" w:rsidRPr="00045165" w:rsidRDefault="004A6511" w:rsidP="00C726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418" w:type="dxa"/>
            <w:shd w:val="clear" w:color="auto" w:fill="D9D9D9" w:themeFill="background1" w:themeFillShade="D9"/>
            <w:vAlign w:val="center"/>
          </w:tcPr>
          <w:p w:rsidR="00183652" w:rsidRPr="0068094B" w:rsidRDefault="004A6511" w:rsidP="00CB1F2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rsidR="00C72621" w:rsidRPr="00045165" w:rsidRDefault="004A6511" w:rsidP="00C726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r>
      <w:tr w:rsidR="00A05CCF" w:rsidRPr="0068094B" w:rsidTr="007B52E8">
        <w:trPr>
          <w:trHeight w:val="415"/>
          <w:tblHeader/>
        </w:trPr>
        <w:tc>
          <w:tcPr>
            <w:tcW w:w="1560" w:type="dxa"/>
            <w:tcBorders>
              <w:bottom w:val="single" w:sz="4" w:space="0" w:color="auto"/>
            </w:tcBorders>
            <w:shd w:val="clear" w:color="auto" w:fill="auto"/>
            <w:vAlign w:val="center"/>
          </w:tcPr>
          <w:p w:rsidR="00183652" w:rsidRPr="007B52E8" w:rsidRDefault="00CB1F2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7B52E8">
              <w:rPr>
                <w:rFonts w:asciiTheme="minorHAnsi" w:hAnsiTheme="minorHAnsi" w:cstheme="minorHAnsi"/>
                <w:sz w:val="22"/>
                <w:szCs w:val="22"/>
              </w:rPr>
              <w:t>£</w:t>
            </w:r>
            <w:r w:rsidR="004A6511" w:rsidRPr="007B52E8">
              <w:rPr>
                <w:rFonts w:asciiTheme="minorHAnsi" w:hAnsiTheme="minorHAnsi" w:cstheme="minorHAnsi"/>
                <w:sz w:val="22"/>
                <w:szCs w:val="22"/>
              </w:rPr>
              <w:t>000</w:t>
            </w:r>
          </w:p>
        </w:tc>
        <w:tc>
          <w:tcPr>
            <w:tcW w:w="1559" w:type="dxa"/>
            <w:tcBorders>
              <w:bottom w:val="single" w:sz="4" w:space="0" w:color="auto"/>
            </w:tcBorders>
            <w:shd w:val="clear" w:color="auto" w:fill="auto"/>
            <w:vAlign w:val="center"/>
          </w:tcPr>
          <w:p w:rsidR="00183652" w:rsidRPr="007B52E8" w:rsidRDefault="00CB1F2D" w:rsidP="0076136F">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7B52E8">
              <w:rPr>
                <w:rFonts w:asciiTheme="minorHAnsi" w:hAnsiTheme="minorHAnsi" w:cstheme="minorHAnsi"/>
                <w:sz w:val="22"/>
                <w:szCs w:val="22"/>
              </w:rPr>
              <w:t>£</w:t>
            </w:r>
            <w:r w:rsidR="004A6511" w:rsidRPr="007B52E8">
              <w:rPr>
                <w:rFonts w:asciiTheme="minorHAnsi" w:hAnsiTheme="minorHAnsi" w:cstheme="minorHAnsi"/>
                <w:sz w:val="22"/>
                <w:szCs w:val="22"/>
              </w:rPr>
              <w:t>000</w:t>
            </w:r>
          </w:p>
        </w:tc>
        <w:tc>
          <w:tcPr>
            <w:tcW w:w="1417" w:type="dxa"/>
            <w:tcBorders>
              <w:bottom w:val="single" w:sz="4" w:space="0" w:color="auto"/>
            </w:tcBorders>
            <w:shd w:val="clear" w:color="auto" w:fill="auto"/>
            <w:vAlign w:val="center"/>
          </w:tcPr>
          <w:p w:rsidR="00183652" w:rsidRPr="007B52E8" w:rsidRDefault="004A65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7B52E8">
              <w:rPr>
                <w:rFonts w:asciiTheme="minorHAnsi" w:hAnsiTheme="minorHAnsi" w:cstheme="minorHAnsi"/>
                <w:sz w:val="22"/>
                <w:szCs w:val="22"/>
              </w:rPr>
              <w:t>£000</w:t>
            </w:r>
          </w:p>
        </w:tc>
        <w:tc>
          <w:tcPr>
            <w:tcW w:w="5671" w:type="dxa"/>
            <w:vAlign w:val="center"/>
          </w:tcPr>
          <w:p w:rsidR="00183652" w:rsidRPr="0068094B" w:rsidRDefault="0018365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417" w:type="dxa"/>
            <w:tcBorders>
              <w:bottom w:val="single" w:sz="4" w:space="0" w:color="auto"/>
            </w:tcBorders>
            <w:shd w:val="clear" w:color="auto" w:fill="D9D9D9" w:themeFill="background1" w:themeFillShade="D9"/>
            <w:vAlign w:val="center"/>
          </w:tcPr>
          <w:p w:rsidR="00183652" w:rsidRPr="0068094B" w:rsidRDefault="004A65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rsidR="00183652" w:rsidRPr="0068094B" w:rsidRDefault="004A65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418" w:type="dxa"/>
            <w:tcBorders>
              <w:bottom w:val="single" w:sz="4" w:space="0" w:color="auto"/>
            </w:tcBorders>
            <w:shd w:val="clear" w:color="auto" w:fill="D9D9D9" w:themeFill="background1" w:themeFillShade="D9"/>
            <w:vAlign w:val="center"/>
          </w:tcPr>
          <w:p w:rsidR="00183652" w:rsidRPr="0068094B" w:rsidRDefault="004A65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6651F6" w:rsidRPr="0068094B" w:rsidTr="003B1D1C">
        <w:trPr>
          <w:trHeight w:val="340"/>
        </w:trPr>
        <w:tc>
          <w:tcPr>
            <w:tcW w:w="1560" w:type="dxa"/>
            <w:tcBorders>
              <w:top w:val="single" w:sz="4" w:space="0" w:color="auto"/>
            </w:tcBorders>
            <w:shd w:val="clear" w:color="auto" w:fill="auto"/>
            <w:vAlign w:val="center"/>
          </w:tcPr>
          <w:p w:rsidR="006651F6" w:rsidRPr="007133CA" w:rsidRDefault="00A57E58" w:rsidP="00A57E5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2</w:t>
            </w:r>
            <w:r w:rsidR="006651F6" w:rsidRPr="007133CA">
              <w:rPr>
                <w:rFonts w:asciiTheme="minorHAnsi" w:hAnsiTheme="minorHAnsi" w:cstheme="minorHAnsi"/>
                <w:b w:val="0"/>
                <w:bCs/>
                <w:sz w:val="22"/>
                <w:szCs w:val="22"/>
              </w:rPr>
              <w:t>,</w:t>
            </w:r>
            <w:r w:rsidRPr="007133CA">
              <w:rPr>
                <w:rFonts w:asciiTheme="minorHAnsi" w:hAnsiTheme="minorHAnsi" w:cstheme="minorHAnsi"/>
                <w:b w:val="0"/>
                <w:bCs/>
                <w:sz w:val="22"/>
                <w:szCs w:val="22"/>
              </w:rPr>
              <w:t>054</w:t>
            </w:r>
          </w:p>
        </w:tc>
        <w:tc>
          <w:tcPr>
            <w:tcW w:w="1559" w:type="dxa"/>
            <w:tcBorders>
              <w:top w:val="single" w:sz="4" w:space="0" w:color="auto"/>
            </w:tcBorders>
            <w:shd w:val="clear" w:color="auto" w:fill="auto"/>
            <w:vAlign w:val="center"/>
          </w:tcPr>
          <w:p w:rsidR="006651F6" w:rsidRPr="007133CA" w:rsidRDefault="006651F6" w:rsidP="00A57E58">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w:t>
            </w:r>
            <w:r w:rsidR="00A57E58" w:rsidRPr="007133CA">
              <w:rPr>
                <w:rFonts w:asciiTheme="minorHAnsi" w:hAnsiTheme="minorHAnsi" w:cstheme="minorHAnsi"/>
                <w:b w:val="0"/>
                <w:bCs/>
                <w:sz w:val="22"/>
                <w:szCs w:val="22"/>
              </w:rPr>
              <w:t>8</w:t>
            </w:r>
            <w:r w:rsidRPr="007133CA">
              <w:rPr>
                <w:rFonts w:asciiTheme="minorHAnsi" w:hAnsiTheme="minorHAnsi" w:cstheme="minorHAnsi"/>
                <w:b w:val="0"/>
                <w:bCs/>
                <w:sz w:val="22"/>
                <w:szCs w:val="22"/>
              </w:rPr>
              <w:t>)</w:t>
            </w:r>
          </w:p>
        </w:tc>
        <w:tc>
          <w:tcPr>
            <w:tcW w:w="1417" w:type="dxa"/>
            <w:tcBorders>
              <w:top w:val="single" w:sz="4" w:space="0" w:color="auto"/>
            </w:tcBorders>
            <w:shd w:val="clear" w:color="auto" w:fill="auto"/>
            <w:vAlign w:val="center"/>
          </w:tcPr>
          <w:p w:rsidR="006651F6" w:rsidRPr="007133CA" w:rsidRDefault="00A57E58" w:rsidP="006B63F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2,046</w:t>
            </w:r>
          </w:p>
        </w:tc>
        <w:tc>
          <w:tcPr>
            <w:tcW w:w="5671" w:type="dxa"/>
          </w:tcPr>
          <w:p w:rsidR="006651F6" w:rsidRPr="007133CA" w:rsidRDefault="006651F6"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sz w:val="22"/>
                <w:szCs w:val="22"/>
              </w:rPr>
            </w:pPr>
            <w:r w:rsidRPr="007133CA">
              <w:rPr>
                <w:rFonts w:asciiTheme="minorHAnsi" w:hAnsiTheme="minorHAnsi" w:cstheme="minorHAnsi"/>
                <w:b w:val="0"/>
                <w:sz w:val="22"/>
                <w:szCs w:val="22"/>
              </w:rPr>
              <w:t>Leader</w:t>
            </w:r>
          </w:p>
        </w:tc>
        <w:tc>
          <w:tcPr>
            <w:tcW w:w="1417" w:type="dxa"/>
            <w:tcBorders>
              <w:top w:val="single" w:sz="4" w:space="0" w:color="auto"/>
            </w:tcBorders>
            <w:shd w:val="clear" w:color="auto" w:fill="D9D9D9" w:themeFill="background1" w:themeFillShade="D9"/>
            <w:vAlign w:val="center"/>
          </w:tcPr>
          <w:p w:rsidR="006651F6" w:rsidRPr="00C24975" w:rsidRDefault="000B35EF" w:rsidP="00CC4E5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1,204</w:t>
            </w:r>
          </w:p>
        </w:tc>
        <w:tc>
          <w:tcPr>
            <w:tcW w:w="1134" w:type="dxa"/>
            <w:tcBorders>
              <w:top w:val="single" w:sz="4" w:space="0" w:color="auto"/>
            </w:tcBorders>
            <w:shd w:val="clear" w:color="auto" w:fill="D9D9D9" w:themeFill="background1" w:themeFillShade="D9"/>
            <w:vAlign w:val="center"/>
          </w:tcPr>
          <w:p w:rsidR="006651F6" w:rsidRPr="00C24975" w:rsidRDefault="00DA6B67" w:rsidP="00A0276D">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w:t>
            </w:r>
          </w:p>
        </w:tc>
        <w:tc>
          <w:tcPr>
            <w:tcW w:w="1418" w:type="dxa"/>
            <w:tcBorders>
              <w:top w:val="single" w:sz="4" w:space="0" w:color="auto"/>
            </w:tcBorders>
            <w:shd w:val="clear" w:color="auto" w:fill="D9D9D9" w:themeFill="background1" w:themeFillShade="D9"/>
            <w:vAlign w:val="center"/>
          </w:tcPr>
          <w:p w:rsidR="006651F6" w:rsidRPr="00C24975" w:rsidRDefault="000B35EF" w:rsidP="00CC4E5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1,207</w:t>
            </w:r>
          </w:p>
        </w:tc>
      </w:tr>
      <w:tr w:rsidR="006651F6" w:rsidRPr="0068094B" w:rsidTr="007B52E8">
        <w:trPr>
          <w:trHeight w:val="340"/>
        </w:trPr>
        <w:tc>
          <w:tcPr>
            <w:tcW w:w="1560" w:type="dxa"/>
            <w:shd w:val="clear" w:color="auto" w:fill="auto"/>
            <w:vAlign w:val="center"/>
          </w:tcPr>
          <w:p w:rsidR="006651F6" w:rsidRPr="007133CA" w:rsidRDefault="006651F6" w:rsidP="00A57E5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5,</w:t>
            </w:r>
            <w:r w:rsidR="00A57E58" w:rsidRPr="007133CA">
              <w:rPr>
                <w:rFonts w:asciiTheme="minorHAnsi" w:hAnsiTheme="minorHAnsi" w:cstheme="minorHAnsi"/>
                <w:b w:val="0"/>
                <w:bCs/>
                <w:sz w:val="22"/>
                <w:szCs w:val="22"/>
              </w:rPr>
              <w:t>058</w:t>
            </w:r>
          </w:p>
        </w:tc>
        <w:tc>
          <w:tcPr>
            <w:tcW w:w="1559" w:type="dxa"/>
            <w:shd w:val="clear" w:color="auto" w:fill="auto"/>
            <w:vAlign w:val="center"/>
          </w:tcPr>
          <w:p w:rsidR="006651F6" w:rsidRPr="007133CA" w:rsidRDefault="006651F6" w:rsidP="00A57E58">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(2,</w:t>
            </w:r>
            <w:r w:rsidR="00A57E58" w:rsidRPr="007133CA">
              <w:rPr>
                <w:rFonts w:asciiTheme="minorHAnsi" w:hAnsiTheme="minorHAnsi" w:cstheme="minorHAnsi"/>
                <w:b w:val="0"/>
                <w:bCs/>
                <w:sz w:val="22"/>
                <w:szCs w:val="22"/>
              </w:rPr>
              <w:t>393</w:t>
            </w:r>
            <w:r w:rsidRPr="007133CA">
              <w:rPr>
                <w:rFonts w:asciiTheme="minorHAnsi" w:hAnsiTheme="minorHAnsi" w:cstheme="minorHAnsi"/>
                <w:b w:val="0"/>
                <w:bCs/>
                <w:sz w:val="22"/>
                <w:szCs w:val="22"/>
              </w:rPr>
              <w:t>)</w:t>
            </w:r>
          </w:p>
        </w:tc>
        <w:tc>
          <w:tcPr>
            <w:tcW w:w="1417" w:type="dxa"/>
            <w:shd w:val="clear" w:color="auto" w:fill="auto"/>
            <w:vAlign w:val="center"/>
          </w:tcPr>
          <w:p w:rsidR="006651F6" w:rsidRPr="007133CA" w:rsidRDefault="00A57E58" w:rsidP="00A57E58">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2</w:t>
            </w:r>
            <w:r w:rsidR="006651F6" w:rsidRPr="007133CA">
              <w:rPr>
                <w:rFonts w:asciiTheme="minorHAnsi" w:hAnsiTheme="minorHAnsi" w:cstheme="minorHAnsi"/>
                <w:b w:val="0"/>
                <w:bCs/>
                <w:sz w:val="22"/>
                <w:szCs w:val="22"/>
              </w:rPr>
              <w:t>,</w:t>
            </w:r>
            <w:r w:rsidRPr="007133CA">
              <w:rPr>
                <w:rFonts w:asciiTheme="minorHAnsi" w:hAnsiTheme="minorHAnsi" w:cstheme="minorHAnsi"/>
                <w:b w:val="0"/>
                <w:bCs/>
                <w:sz w:val="22"/>
                <w:szCs w:val="22"/>
              </w:rPr>
              <w:t>665</w:t>
            </w:r>
          </w:p>
        </w:tc>
        <w:tc>
          <w:tcPr>
            <w:tcW w:w="5671" w:type="dxa"/>
          </w:tcPr>
          <w:p w:rsidR="006651F6" w:rsidRPr="007133CA" w:rsidRDefault="00A57E58"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sz w:val="22"/>
                <w:szCs w:val="22"/>
              </w:rPr>
            </w:pPr>
            <w:r w:rsidRPr="007133CA">
              <w:rPr>
                <w:rFonts w:asciiTheme="minorHAnsi" w:hAnsiTheme="minorHAnsi" w:cstheme="minorHAnsi"/>
                <w:b w:val="0"/>
                <w:sz w:val="22"/>
                <w:szCs w:val="22"/>
              </w:rPr>
              <w:t>Planning Services</w:t>
            </w:r>
          </w:p>
        </w:tc>
        <w:tc>
          <w:tcPr>
            <w:tcW w:w="1417" w:type="dxa"/>
            <w:shd w:val="clear" w:color="auto" w:fill="D9D9D9" w:themeFill="background1" w:themeFillShade="D9"/>
            <w:vAlign w:val="center"/>
          </w:tcPr>
          <w:p w:rsidR="006651F6" w:rsidRPr="00C24975" w:rsidRDefault="00DA6B67" w:rsidP="00C860E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4,183</w:t>
            </w:r>
          </w:p>
        </w:tc>
        <w:tc>
          <w:tcPr>
            <w:tcW w:w="1134" w:type="dxa"/>
            <w:shd w:val="clear" w:color="auto" w:fill="D9D9D9" w:themeFill="background1" w:themeFillShade="D9"/>
            <w:vAlign w:val="center"/>
          </w:tcPr>
          <w:p w:rsidR="006651F6" w:rsidRPr="00C24975" w:rsidRDefault="00DA6B67" w:rsidP="000D757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(2,259)</w:t>
            </w:r>
          </w:p>
        </w:tc>
        <w:tc>
          <w:tcPr>
            <w:tcW w:w="1418" w:type="dxa"/>
            <w:shd w:val="clear" w:color="auto" w:fill="D9D9D9" w:themeFill="background1" w:themeFillShade="D9"/>
            <w:vAlign w:val="center"/>
          </w:tcPr>
          <w:p w:rsidR="006651F6" w:rsidRPr="00C24975" w:rsidRDefault="00DA6B67" w:rsidP="000D757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1,924</w:t>
            </w:r>
          </w:p>
        </w:tc>
      </w:tr>
      <w:tr w:rsidR="006651F6" w:rsidRPr="0068094B" w:rsidTr="007B52E8">
        <w:trPr>
          <w:trHeight w:val="340"/>
        </w:trPr>
        <w:tc>
          <w:tcPr>
            <w:tcW w:w="1560" w:type="dxa"/>
            <w:shd w:val="clear" w:color="auto" w:fill="auto"/>
            <w:vAlign w:val="center"/>
          </w:tcPr>
          <w:p w:rsidR="006651F6" w:rsidRPr="007133CA" w:rsidRDefault="00317760" w:rsidP="007D7B3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5,073</w:t>
            </w:r>
          </w:p>
        </w:tc>
        <w:tc>
          <w:tcPr>
            <w:tcW w:w="1559" w:type="dxa"/>
            <w:shd w:val="clear" w:color="auto" w:fill="auto"/>
            <w:vAlign w:val="center"/>
          </w:tcPr>
          <w:p w:rsidR="006651F6" w:rsidRPr="007133CA" w:rsidRDefault="00317760"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(1,990)</w:t>
            </w:r>
          </w:p>
        </w:tc>
        <w:tc>
          <w:tcPr>
            <w:tcW w:w="1417" w:type="dxa"/>
            <w:shd w:val="clear" w:color="auto" w:fill="auto"/>
            <w:vAlign w:val="center"/>
          </w:tcPr>
          <w:p w:rsidR="006651F6" w:rsidRPr="007133CA" w:rsidRDefault="00317760"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3,083</w:t>
            </w:r>
          </w:p>
        </w:tc>
        <w:tc>
          <w:tcPr>
            <w:tcW w:w="5671" w:type="dxa"/>
          </w:tcPr>
          <w:p w:rsidR="006651F6" w:rsidRPr="007133CA" w:rsidRDefault="006651F6" w:rsidP="00A57E58">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Co</w:t>
            </w:r>
            <w:r w:rsidR="00A57E58" w:rsidRPr="007133CA">
              <w:rPr>
                <w:rFonts w:asciiTheme="minorHAnsi" w:hAnsiTheme="minorHAnsi" w:cstheme="minorHAnsi"/>
                <w:b w:val="0"/>
                <w:sz w:val="22"/>
                <w:szCs w:val="22"/>
              </w:rPr>
              <w:t>mmunity Services and Culture</w:t>
            </w:r>
          </w:p>
        </w:tc>
        <w:tc>
          <w:tcPr>
            <w:tcW w:w="1417" w:type="dxa"/>
            <w:shd w:val="clear" w:color="auto" w:fill="D9D9D9" w:themeFill="background1" w:themeFillShade="D9"/>
            <w:vAlign w:val="center"/>
          </w:tcPr>
          <w:p w:rsidR="006651F6" w:rsidRPr="00C24975" w:rsidRDefault="00DA6B67" w:rsidP="00C860E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3,621</w:t>
            </w:r>
          </w:p>
        </w:tc>
        <w:tc>
          <w:tcPr>
            <w:tcW w:w="1134" w:type="dxa"/>
            <w:shd w:val="clear" w:color="auto" w:fill="D9D9D9" w:themeFill="background1" w:themeFillShade="D9"/>
            <w:vAlign w:val="center"/>
          </w:tcPr>
          <w:p w:rsidR="006651F6" w:rsidRPr="00C24975" w:rsidRDefault="00DA6B67" w:rsidP="006F6CE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(1,799)</w:t>
            </w:r>
          </w:p>
        </w:tc>
        <w:tc>
          <w:tcPr>
            <w:tcW w:w="1418" w:type="dxa"/>
            <w:shd w:val="clear" w:color="auto" w:fill="D9D9D9" w:themeFill="background1" w:themeFillShade="D9"/>
            <w:vAlign w:val="center"/>
          </w:tcPr>
          <w:p w:rsidR="006651F6" w:rsidRPr="00C24975" w:rsidRDefault="00DA6B67" w:rsidP="00C860E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1,822</w:t>
            </w:r>
          </w:p>
        </w:tc>
      </w:tr>
      <w:tr w:rsidR="006651F6" w:rsidRPr="0068094B" w:rsidTr="007B52E8">
        <w:trPr>
          <w:trHeight w:val="340"/>
        </w:trPr>
        <w:tc>
          <w:tcPr>
            <w:tcW w:w="1560" w:type="dxa"/>
            <w:shd w:val="clear" w:color="auto" w:fill="auto"/>
            <w:vAlign w:val="center"/>
          </w:tcPr>
          <w:p w:rsidR="006651F6" w:rsidRPr="007133CA" w:rsidRDefault="00317760" w:rsidP="007D7B3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6,636</w:t>
            </w:r>
          </w:p>
        </w:tc>
        <w:tc>
          <w:tcPr>
            <w:tcW w:w="1559" w:type="dxa"/>
            <w:shd w:val="clear" w:color="auto" w:fill="auto"/>
            <w:vAlign w:val="center"/>
          </w:tcPr>
          <w:p w:rsidR="006651F6" w:rsidRPr="007133CA" w:rsidRDefault="00317760"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(8,508)</w:t>
            </w:r>
          </w:p>
        </w:tc>
        <w:tc>
          <w:tcPr>
            <w:tcW w:w="1417" w:type="dxa"/>
            <w:shd w:val="clear" w:color="auto" w:fill="auto"/>
            <w:vAlign w:val="center"/>
          </w:tcPr>
          <w:p w:rsidR="006651F6" w:rsidRPr="007133CA" w:rsidRDefault="00317760"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(1,872)</w:t>
            </w:r>
          </w:p>
        </w:tc>
        <w:tc>
          <w:tcPr>
            <w:tcW w:w="5671" w:type="dxa"/>
          </w:tcPr>
          <w:p w:rsidR="006651F6" w:rsidRPr="007133CA" w:rsidRDefault="00A57E58"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Growth, Place and Regeneration</w:t>
            </w:r>
          </w:p>
        </w:tc>
        <w:tc>
          <w:tcPr>
            <w:tcW w:w="1417" w:type="dxa"/>
            <w:shd w:val="clear" w:color="auto" w:fill="D9D9D9" w:themeFill="background1" w:themeFillShade="D9"/>
            <w:vAlign w:val="center"/>
          </w:tcPr>
          <w:p w:rsidR="006651F6" w:rsidRPr="00C24975" w:rsidRDefault="00EA4CC1" w:rsidP="00EA4CC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5</w:t>
            </w:r>
            <w:r w:rsidR="003605D6" w:rsidRPr="00C24975">
              <w:rPr>
                <w:rFonts w:asciiTheme="minorHAnsi" w:hAnsiTheme="minorHAnsi" w:cstheme="minorHAnsi"/>
                <w:b w:val="0"/>
                <w:bCs/>
                <w:sz w:val="22"/>
                <w:szCs w:val="22"/>
              </w:rPr>
              <w:t>,</w:t>
            </w:r>
            <w:r w:rsidRPr="00C24975">
              <w:rPr>
                <w:rFonts w:asciiTheme="minorHAnsi" w:hAnsiTheme="minorHAnsi" w:cstheme="minorHAnsi"/>
                <w:b w:val="0"/>
                <w:bCs/>
                <w:sz w:val="22"/>
                <w:szCs w:val="22"/>
              </w:rPr>
              <w:t>017</w:t>
            </w:r>
          </w:p>
        </w:tc>
        <w:tc>
          <w:tcPr>
            <w:tcW w:w="1134" w:type="dxa"/>
            <w:shd w:val="clear" w:color="auto" w:fill="D9D9D9" w:themeFill="background1" w:themeFillShade="D9"/>
            <w:vAlign w:val="center"/>
          </w:tcPr>
          <w:p w:rsidR="006651F6" w:rsidRPr="00C24975" w:rsidRDefault="003605D6" w:rsidP="00741D6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(8,</w:t>
            </w:r>
            <w:r w:rsidR="00EA4CC1" w:rsidRPr="00C24975">
              <w:rPr>
                <w:rFonts w:asciiTheme="minorHAnsi" w:hAnsiTheme="minorHAnsi" w:cstheme="minorHAnsi"/>
                <w:b w:val="0"/>
                <w:bCs/>
                <w:sz w:val="22"/>
                <w:szCs w:val="22"/>
              </w:rPr>
              <w:t>4</w:t>
            </w:r>
            <w:r w:rsidR="00741D6C" w:rsidRPr="00C24975">
              <w:rPr>
                <w:rFonts w:asciiTheme="minorHAnsi" w:hAnsiTheme="minorHAnsi" w:cstheme="minorHAnsi"/>
                <w:b w:val="0"/>
                <w:bCs/>
                <w:sz w:val="22"/>
                <w:szCs w:val="22"/>
              </w:rPr>
              <w:t>15</w:t>
            </w:r>
            <w:r w:rsidRPr="00C24975">
              <w:rPr>
                <w:rFonts w:asciiTheme="minorHAnsi" w:hAnsiTheme="minorHAnsi" w:cstheme="minorHAnsi"/>
                <w:b w:val="0"/>
                <w:bCs/>
                <w:sz w:val="22"/>
                <w:szCs w:val="22"/>
              </w:rPr>
              <w:t>)</w:t>
            </w:r>
          </w:p>
        </w:tc>
        <w:tc>
          <w:tcPr>
            <w:tcW w:w="1418" w:type="dxa"/>
            <w:shd w:val="clear" w:color="auto" w:fill="D9D9D9" w:themeFill="background1" w:themeFillShade="D9"/>
            <w:vAlign w:val="center"/>
          </w:tcPr>
          <w:p w:rsidR="006651F6" w:rsidRPr="00C24975" w:rsidRDefault="003605D6" w:rsidP="00741D6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w:t>
            </w:r>
            <w:r w:rsidR="00741D6C" w:rsidRPr="00C24975">
              <w:rPr>
                <w:rFonts w:asciiTheme="minorHAnsi" w:hAnsiTheme="minorHAnsi" w:cstheme="minorHAnsi"/>
                <w:b w:val="0"/>
                <w:bCs/>
                <w:sz w:val="22"/>
                <w:szCs w:val="22"/>
              </w:rPr>
              <w:t>398</w:t>
            </w:r>
            <w:r w:rsidRPr="00C24975">
              <w:rPr>
                <w:rFonts w:asciiTheme="minorHAnsi" w:hAnsiTheme="minorHAnsi" w:cstheme="minorHAnsi"/>
                <w:b w:val="0"/>
                <w:bCs/>
                <w:sz w:val="22"/>
                <w:szCs w:val="22"/>
              </w:rPr>
              <w:t>)</w:t>
            </w:r>
          </w:p>
        </w:tc>
      </w:tr>
      <w:tr w:rsidR="006651F6" w:rsidRPr="0068094B" w:rsidTr="007B52E8">
        <w:trPr>
          <w:trHeight w:val="340"/>
        </w:trPr>
        <w:tc>
          <w:tcPr>
            <w:tcW w:w="1560" w:type="dxa"/>
            <w:shd w:val="clear" w:color="auto" w:fill="auto"/>
            <w:vAlign w:val="center"/>
          </w:tcPr>
          <w:p w:rsidR="006651F6" w:rsidRPr="007133CA" w:rsidRDefault="005A0451" w:rsidP="007D7B3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5,010</w:t>
            </w:r>
          </w:p>
        </w:tc>
        <w:tc>
          <w:tcPr>
            <w:tcW w:w="1559" w:type="dxa"/>
            <w:shd w:val="clear" w:color="auto" w:fill="auto"/>
            <w:vAlign w:val="center"/>
          </w:tcPr>
          <w:p w:rsidR="006651F6" w:rsidRPr="007133CA" w:rsidRDefault="005A0451"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(3,761)</w:t>
            </w:r>
          </w:p>
        </w:tc>
        <w:tc>
          <w:tcPr>
            <w:tcW w:w="1417" w:type="dxa"/>
            <w:shd w:val="clear" w:color="auto" w:fill="auto"/>
            <w:vAlign w:val="center"/>
          </w:tcPr>
          <w:p w:rsidR="006651F6" w:rsidRPr="007133CA" w:rsidRDefault="005A0451"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1,249</w:t>
            </w:r>
          </w:p>
        </w:tc>
        <w:tc>
          <w:tcPr>
            <w:tcW w:w="5671" w:type="dxa"/>
          </w:tcPr>
          <w:p w:rsidR="006651F6" w:rsidRPr="007133CA" w:rsidRDefault="006651F6" w:rsidP="00A57E58">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Housing</w:t>
            </w:r>
            <w:r w:rsidR="00A57E58" w:rsidRPr="007133CA">
              <w:rPr>
                <w:rFonts w:asciiTheme="minorHAnsi" w:hAnsiTheme="minorHAnsi" w:cstheme="minorHAnsi"/>
                <w:b w:val="0"/>
                <w:sz w:val="22"/>
                <w:szCs w:val="22"/>
              </w:rPr>
              <w:t>, Communications, Licensing and Events</w:t>
            </w:r>
          </w:p>
        </w:tc>
        <w:tc>
          <w:tcPr>
            <w:tcW w:w="1417" w:type="dxa"/>
            <w:shd w:val="clear" w:color="auto" w:fill="D9D9D9" w:themeFill="background1" w:themeFillShade="D9"/>
            <w:vAlign w:val="center"/>
          </w:tcPr>
          <w:p w:rsidR="006651F6" w:rsidRPr="00C24975" w:rsidRDefault="003605D6" w:rsidP="00E1147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5,46</w:t>
            </w:r>
            <w:r w:rsidR="00E11475" w:rsidRPr="00C24975">
              <w:rPr>
                <w:rFonts w:asciiTheme="minorHAnsi" w:hAnsiTheme="minorHAnsi" w:cstheme="minorHAnsi"/>
                <w:b w:val="0"/>
                <w:bCs/>
                <w:sz w:val="22"/>
                <w:szCs w:val="22"/>
              </w:rPr>
              <w:t>3</w:t>
            </w:r>
          </w:p>
        </w:tc>
        <w:tc>
          <w:tcPr>
            <w:tcW w:w="1134" w:type="dxa"/>
            <w:shd w:val="clear" w:color="auto" w:fill="D9D9D9" w:themeFill="background1" w:themeFillShade="D9"/>
            <w:vAlign w:val="center"/>
          </w:tcPr>
          <w:p w:rsidR="006651F6" w:rsidRPr="00C24975" w:rsidRDefault="003605D6" w:rsidP="00E11475">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(3,61</w:t>
            </w:r>
            <w:r w:rsidR="00E11475" w:rsidRPr="00C24975">
              <w:rPr>
                <w:rFonts w:asciiTheme="minorHAnsi" w:hAnsiTheme="minorHAnsi" w:cstheme="minorHAnsi"/>
                <w:b w:val="0"/>
                <w:bCs/>
                <w:sz w:val="22"/>
                <w:szCs w:val="22"/>
              </w:rPr>
              <w:t>3</w:t>
            </w:r>
            <w:r w:rsidRPr="00C24975">
              <w:rPr>
                <w:rFonts w:asciiTheme="minorHAnsi" w:hAnsiTheme="minorHAnsi" w:cstheme="minorHAnsi"/>
                <w:b w:val="0"/>
                <w:bCs/>
                <w:sz w:val="22"/>
                <w:szCs w:val="22"/>
              </w:rPr>
              <w:t>)</w:t>
            </w:r>
          </w:p>
        </w:tc>
        <w:tc>
          <w:tcPr>
            <w:tcW w:w="1418" w:type="dxa"/>
            <w:shd w:val="clear" w:color="auto" w:fill="D9D9D9" w:themeFill="background1" w:themeFillShade="D9"/>
            <w:vAlign w:val="center"/>
          </w:tcPr>
          <w:p w:rsidR="006651F6" w:rsidRPr="00C24975" w:rsidRDefault="003605D6" w:rsidP="00CB6BFB">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1,850</w:t>
            </w:r>
          </w:p>
        </w:tc>
      </w:tr>
      <w:tr w:rsidR="006651F6" w:rsidRPr="0068094B" w:rsidTr="007B52E8">
        <w:trPr>
          <w:trHeight w:val="340"/>
        </w:trPr>
        <w:tc>
          <w:tcPr>
            <w:tcW w:w="1560" w:type="dxa"/>
            <w:shd w:val="clear" w:color="auto" w:fill="auto"/>
            <w:vAlign w:val="center"/>
          </w:tcPr>
          <w:p w:rsidR="006651F6" w:rsidRPr="007133CA" w:rsidRDefault="005A0451" w:rsidP="007D7B3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11,157</w:t>
            </w:r>
          </w:p>
        </w:tc>
        <w:tc>
          <w:tcPr>
            <w:tcW w:w="1559" w:type="dxa"/>
            <w:shd w:val="clear" w:color="auto" w:fill="auto"/>
            <w:vAlign w:val="center"/>
          </w:tcPr>
          <w:p w:rsidR="006651F6" w:rsidRPr="007133CA" w:rsidRDefault="005A0451"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(5,235)</w:t>
            </w:r>
          </w:p>
        </w:tc>
        <w:tc>
          <w:tcPr>
            <w:tcW w:w="1417" w:type="dxa"/>
            <w:shd w:val="clear" w:color="auto" w:fill="auto"/>
            <w:vAlign w:val="center"/>
          </w:tcPr>
          <w:p w:rsidR="006651F6" w:rsidRPr="007133CA" w:rsidRDefault="005A0451"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5,922</w:t>
            </w:r>
          </w:p>
        </w:tc>
        <w:tc>
          <w:tcPr>
            <w:tcW w:w="5671" w:type="dxa"/>
          </w:tcPr>
          <w:p w:rsidR="006651F6" w:rsidRPr="007133CA" w:rsidRDefault="006651F6"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Environment Services</w:t>
            </w:r>
            <w:r w:rsidR="00A57E58" w:rsidRPr="007133CA">
              <w:rPr>
                <w:rFonts w:asciiTheme="minorHAnsi" w:hAnsiTheme="minorHAnsi" w:cstheme="minorHAnsi"/>
                <w:b w:val="0"/>
                <w:sz w:val="22"/>
                <w:szCs w:val="22"/>
              </w:rPr>
              <w:t xml:space="preserve"> and Chichester Contract Services</w:t>
            </w:r>
          </w:p>
        </w:tc>
        <w:tc>
          <w:tcPr>
            <w:tcW w:w="1417" w:type="dxa"/>
            <w:shd w:val="clear" w:color="auto" w:fill="D9D9D9" w:themeFill="background1" w:themeFillShade="D9"/>
            <w:vAlign w:val="center"/>
          </w:tcPr>
          <w:p w:rsidR="006651F6" w:rsidRPr="00C24975" w:rsidRDefault="003605D6" w:rsidP="00EA4CC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11,7</w:t>
            </w:r>
            <w:r w:rsidR="00EA4CC1" w:rsidRPr="00C24975">
              <w:rPr>
                <w:rFonts w:asciiTheme="minorHAnsi" w:hAnsiTheme="minorHAnsi" w:cstheme="minorHAnsi"/>
                <w:b w:val="0"/>
                <w:bCs/>
                <w:sz w:val="22"/>
                <w:szCs w:val="22"/>
              </w:rPr>
              <w:t>48</w:t>
            </w:r>
          </w:p>
        </w:tc>
        <w:tc>
          <w:tcPr>
            <w:tcW w:w="1134" w:type="dxa"/>
            <w:shd w:val="clear" w:color="auto" w:fill="D9D9D9" w:themeFill="background1" w:themeFillShade="D9"/>
            <w:vAlign w:val="center"/>
          </w:tcPr>
          <w:p w:rsidR="006651F6" w:rsidRPr="00C24975" w:rsidRDefault="003605D6" w:rsidP="00CB6BFB">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(5,126)</w:t>
            </w:r>
          </w:p>
        </w:tc>
        <w:tc>
          <w:tcPr>
            <w:tcW w:w="1418" w:type="dxa"/>
            <w:shd w:val="clear" w:color="auto" w:fill="D9D9D9" w:themeFill="background1" w:themeFillShade="D9"/>
            <w:vAlign w:val="center"/>
          </w:tcPr>
          <w:p w:rsidR="006651F6" w:rsidRPr="00C24975" w:rsidRDefault="003605D6" w:rsidP="00EA4CC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6,</w:t>
            </w:r>
            <w:r w:rsidR="00EA4CC1" w:rsidRPr="00C24975">
              <w:rPr>
                <w:rFonts w:asciiTheme="minorHAnsi" w:hAnsiTheme="minorHAnsi" w:cstheme="minorHAnsi"/>
                <w:b w:val="0"/>
                <w:bCs/>
                <w:sz w:val="22"/>
                <w:szCs w:val="22"/>
              </w:rPr>
              <w:t>622</w:t>
            </w:r>
          </w:p>
        </w:tc>
      </w:tr>
      <w:tr w:rsidR="006651F6" w:rsidRPr="0068094B" w:rsidTr="007B52E8">
        <w:trPr>
          <w:trHeight w:val="340"/>
        </w:trPr>
        <w:tc>
          <w:tcPr>
            <w:tcW w:w="1560" w:type="dxa"/>
            <w:shd w:val="clear" w:color="auto" w:fill="auto"/>
            <w:vAlign w:val="center"/>
          </w:tcPr>
          <w:p w:rsidR="006651F6" w:rsidRPr="007133CA" w:rsidRDefault="005A0451" w:rsidP="006B63F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41,15</w:t>
            </w:r>
            <w:r w:rsidR="006B63F0" w:rsidRPr="007133CA">
              <w:rPr>
                <w:rFonts w:asciiTheme="minorHAnsi" w:hAnsiTheme="minorHAnsi" w:cstheme="minorHAnsi"/>
                <w:b w:val="0"/>
                <w:bCs/>
                <w:sz w:val="22"/>
                <w:szCs w:val="22"/>
              </w:rPr>
              <w:t>3</w:t>
            </w:r>
          </w:p>
        </w:tc>
        <w:tc>
          <w:tcPr>
            <w:tcW w:w="1559" w:type="dxa"/>
            <w:shd w:val="clear" w:color="auto" w:fill="auto"/>
            <w:vAlign w:val="center"/>
          </w:tcPr>
          <w:p w:rsidR="006651F6" w:rsidRPr="007133CA" w:rsidRDefault="005A0451"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(34,286)</w:t>
            </w:r>
          </w:p>
        </w:tc>
        <w:tc>
          <w:tcPr>
            <w:tcW w:w="1417" w:type="dxa"/>
            <w:shd w:val="clear" w:color="auto" w:fill="auto"/>
            <w:vAlign w:val="center"/>
          </w:tcPr>
          <w:p w:rsidR="006651F6" w:rsidRPr="007133CA" w:rsidRDefault="005A0451" w:rsidP="006B63F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7133CA">
              <w:rPr>
                <w:rFonts w:asciiTheme="minorHAnsi" w:hAnsiTheme="minorHAnsi" w:cstheme="minorHAnsi"/>
                <w:b w:val="0"/>
                <w:bCs/>
                <w:sz w:val="22"/>
                <w:szCs w:val="22"/>
              </w:rPr>
              <w:t>6,86</w:t>
            </w:r>
            <w:r w:rsidR="006B63F0" w:rsidRPr="007133CA">
              <w:rPr>
                <w:rFonts w:asciiTheme="minorHAnsi" w:hAnsiTheme="minorHAnsi" w:cstheme="minorHAnsi"/>
                <w:b w:val="0"/>
                <w:bCs/>
                <w:sz w:val="22"/>
                <w:szCs w:val="22"/>
              </w:rPr>
              <w:t>7</w:t>
            </w:r>
          </w:p>
        </w:tc>
        <w:tc>
          <w:tcPr>
            <w:tcW w:w="5671" w:type="dxa"/>
          </w:tcPr>
          <w:p w:rsidR="006651F6" w:rsidRPr="007133CA" w:rsidRDefault="00A57E58"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Finance, Corporate Services and Revenues and Benefits</w:t>
            </w:r>
          </w:p>
        </w:tc>
        <w:tc>
          <w:tcPr>
            <w:tcW w:w="1417" w:type="dxa"/>
            <w:shd w:val="clear" w:color="auto" w:fill="D9D9D9" w:themeFill="background1" w:themeFillShade="D9"/>
            <w:vAlign w:val="center"/>
          </w:tcPr>
          <w:p w:rsidR="006651F6" w:rsidRPr="00C24975" w:rsidRDefault="003605D6" w:rsidP="00EA4CC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36,</w:t>
            </w:r>
            <w:r w:rsidR="00EA4CC1" w:rsidRPr="00C24975">
              <w:rPr>
                <w:rFonts w:asciiTheme="minorHAnsi" w:hAnsiTheme="minorHAnsi" w:cstheme="minorHAnsi"/>
                <w:b w:val="0"/>
                <w:bCs/>
                <w:sz w:val="22"/>
                <w:szCs w:val="22"/>
              </w:rPr>
              <w:t>807</w:t>
            </w:r>
          </w:p>
        </w:tc>
        <w:tc>
          <w:tcPr>
            <w:tcW w:w="1134" w:type="dxa"/>
            <w:shd w:val="clear" w:color="auto" w:fill="D9D9D9" w:themeFill="background1" w:themeFillShade="D9"/>
            <w:vAlign w:val="center"/>
          </w:tcPr>
          <w:p w:rsidR="006651F6" w:rsidRPr="00C24975" w:rsidRDefault="00E11475" w:rsidP="005F23A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(29,3</w:t>
            </w:r>
            <w:r w:rsidR="005F23AE" w:rsidRPr="00C24975">
              <w:rPr>
                <w:rFonts w:asciiTheme="minorHAnsi" w:hAnsiTheme="minorHAnsi" w:cstheme="minorHAnsi"/>
                <w:b w:val="0"/>
                <w:bCs/>
                <w:sz w:val="22"/>
                <w:szCs w:val="22"/>
              </w:rPr>
              <w:t>33</w:t>
            </w:r>
            <w:r w:rsidRPr="00C24975">
              <w:rPr>
                <w:rFonts w:asciiTheme="minorHAnsi" w:hAnsiTheme="minorHAnsi" w:cstheme="minorHAnsi"/>
                <w:b w:val="0"/>
                <w:bCs/>
                <w:sz w:val="22"/>
                <w:szCs w:val="22"/>
              </w:rPr>
              <w:t>)</w:t>
            </w:r>
          </w:p>
        </w:tc>
        <w:tc>
          <w:tcPr>
            <w:tcW w:w="1418" w:type="dxa"/>
            <w:shd w:val="clear" w:color="auto" w:fill="D9D9D9" w:themeFill="background1" w:themeFillShade="D9"/>
            <w:vAlign w:val="center"/>
          </w:tcPr>
          <w:p w:rsidR="006651F6" w:rsidRPr="00C24975" w:rsidRDefault="00E11475" w:rsidP="00EA4CC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7,4</w:t>
            </w:r>
            <w:r w:rsidR="00EA4CC1" w:rsidRPr="00C24975">
              <w:rPr>
                <w:rFonts w:asciiTheme="minorHAnsi" w:hAnsiTheme="minorHAnsi" w:cstheme="minorHAnsi"/>
                <w:b w:val="0"/>
                <w:bCs/>
                <w:sz w:val="22"/>
                <w:szCs w:val="22"/>
              </w:rPr>
              <w:t>74</w:t>
            </w:r>
          </w:p>
        </w:tc>
      </w:tr>
      <w:tr w:rsidR="006651F6" w:rsidRPr="0068094B" w:rsidTr="003B1D1C">
        <w:trPr>
          <w:trHeight w:val="340"/>
        </w:trPr>
        <w:tc>
          <w:tcPr>
            <w:tcW w:w="1560" w:type="dxa"/>
            <w:tcBorders>
              <w:top w:val="single" w:sz="4" w:space="0" w:color="000000"/>
              <w:bottom w:val="single" w:sz="4" w:space="0" w:color="000000"/>
            </w:tcBorders>
            <w:shd w:val="clear" w:color="auto" w:fill="auto"/>
            <w:vAlign w:val="center"/>
          </w:tcPr>
          <w:p w:rsidR="006651F6" w:rsidRPr="007B52E8" w:rsidRDefault="006651F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76,141</w:t>
            </w:r>
          </w:p>
        </w:tc>
        <w:tc>
          <w:tcPr>
            <w:tcW w:w="1559" w:type="dxa"/>
            <w:tcBorders>
              <w:top w:val="single" w:sz="4" w:space="0" w:color="000000"/>
              <w:bottom w:val="single" w:sz="4" w:space="0" w:color="000000"/>
            </w:tcBorders>
            <w:shd w:val="clear" w:color="auto" w:fill="auto"/>
            <w:vAlign w:val="center"/>
          </w:tcPr>
          <w:p w:rsidR="006651F6" w:rsidRPr="007B52E8" w:rsidRDefault="006651F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(56,181)</w:t>
            </w:r>
          </w:p>
        </w:tc>
        <w:tc>
          <w:tcPr>
            <w:tcW w:w="1417" w:type="dxa"/>
            <w:tcBorders>
              <w:top w:val="single" w:sz="4" w:space="0" w:color="000000"/>
              <w:bottom w:val="single" w:sz="4" w:space="0" w:color="000000"/>
            </w:tcBorders>
            <w:shd w:val="clear" w:color="auto" w:fill="auto"/>
            <w:vAlign w:val="center"/>
          </w:tcPr>
          <w:p w:rsidR="006651F6" w:rsidRPr="007B52E8" w:rsidRDefault="006651F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19,960</w:t>
            </w:r>
          </w:p>
        </w:tc>
        <w:tc>
          <w:tcPr>
            <w:tcW w:w="5671" w:type="dxa"/>
            <w:vAlign w:val="center"/>
          </w:tcPr>
          <w:p w:rsidR="006651F6" w:rsidRPr="0068094B" w:rsidRDefault="006651F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Cost of Services</w:t>
            </w:r>
          </w:p>
        </w:tc>
        <w:tc>
          <w:tcPr>
            <w:tcW w:w="1417" w:type="dxa"/>
            <w:tcBorders>
              <w:top w:val="single" w:sz="4" w:space="0" w:color="000000"/>
              <w:bottom w:val="single" w:sz="4" w:space="0" w:color="000000"/>
            </w:tcBorders>
            <w:shd w:val="clear" w:color="auto" w:fill="D9D9D9" w:themeFill="background1" w:themeFillShade="D9"/>
            <w:vAlign w:val="center"/>
          </w:tcPr>
          <w:p w:rsidR="006651F6" w:rsidRPr="00C24975" w:rsidRDefault="00BE3818" w:rsidP="000B35E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6</w:t>
            </w:r>
            <w:r w:rsidR="000B35EF" w:rsidRPr="00C24975">
              <w:rPr>
                <w:rFonts w:asciiTheme="minorHAnsi" w:hAnsiTheme="minorHAnsi" w:cstheme="minorHAnsi"/>
                <w:sz w:val="22"/>
                <w:szCs w:val="22"/>
              </w:rPr>
              <w:t>8</w:t>
            </w:r>
            <w:r w:rsidRPr="00C24975">
              <w:rPr>
                <w:rFonts w:asciiTheme="minorHAnsi" w:hAnsiTheme="minorHAnsi" w:cstheme="minorHAnsi"/>
                <w:sz w:val="22"/>
                <w:szCs w:val="22"/>
              </w:rPr>
              <w:t>,</w:t>
            </w:r>
            <w:r w:rsidR="000B35EF" w:rsidRPr="00C24975">
              <w:rPr>
                <w:rFonts w:asciiTheme="minorHAnsi" w:hAnsiTheme="minorHAnsi" w:cstheme="minorHAnsi"/>
                <w:sz w:val="22"/>
                <w:szCs w:val="22"/>
              </w:rPr>
              <w:t>043</w:t>
            </w:r>
          </w:p>
        </w:tc>
        <w:tc>
          <w:tcPr>
            <w:tcW w:w="1134" w:type="dxa"/>
            <w:tcBorders>
              <w:top w:val="single" w:sz="4" w:space="0" w:color="000000"/>
              <w:bottom w:val="single" w:sz="4" w:space="0" w:color="000000"/>
            </w:tcBorders>
            <w:shd w:val="clear" w:color="auto" w:fill="D9D9D9" w:themeFill="background1" w:themeFillShade="D9"/>
            <w:vAlign w:val="center"/>
          </w:tcPr>
          <w:p w:rsidR="006651F6" w:rsidRPr="00C24975" w:rsidRDefault="00BE3818" w:rsidP="00804C2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(50,</w:t>
            </w:r>
            <w:r w:rsidR="005F23AE" w:rsidRPr="00C24975">
              <w:rPr>
                <w:rFonts w:asciiTheme="minorHAnsi" w:hAnsiTheme="minorHAnsi" w:cstheme="minorHAnsi"/>
                <w:sz w:val="22"/>
                <w:szCs w:val="22"/>
              </w:rPr>
              <w:t>54</w:t>
            </w:r>
            <w:r w:rsidR="00804C2F" w:rsidRPr="00C24975">
              <w:rPr>
                <w:rFonts w:asciiTheme="minorHAnsi" w:hAnsiTheme="minorHAnsi" w:cstheme="minorHAnsi"/>
                <w:sz w:val="22"/>
                <w:szCs w:val="22"/>
              </w:rPr>
              <w:t>1</w:t>
            </w:r>
            <w:r w:rsidRPr="00C24975">
              <w:rPr>
                <w:rFonts w:asciiTheme="minorHAnsi" w:hAnsiTheme="minorHAnsi" w:cstheme="minorHAnsi"/>
                <w:sz w:val="22"/>
                <w:szCs w:val="22"/>
              </w:rPr>
              <w:t>)</w:t>
            </w:r>
          </w:p>
        </w:tc>
        <w:tc>
          <w:tcPr>
            <w:tcW w:w="1418" w:type="dxa"/>
            <w:tcBorders>
              <w:top w:val="single" w:sz="4" w:space="0" w:color="000000"/>
              <w:bottom w:val="single" w:sz="4" w:space="0" w:color="000000"/>
            </w:tcBorders>
            <w:shd w:val="clear" w:color="auto" w:fill="D9D9D9" w:themeFill="background1" w:themeFillShade="D9"/>
            <w:vAlign w:val="center"/>
          </w:tcPr>
          <w:p w:rsidR="006651F6" w:rsidRPr="00C24975" w:rsidRDefault="00BE3818" w:rsidP="000B35E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17,</w:t>
            </w:r>
            <w:r w:rsidR="000B35EF" w:rsidRPr="00C24975">
              <w:rPr>
                <w:rFonts w:asciiTheme="minorHAnsi" w:hAnsiTheme="minorHAnsi" w:cstheme="minorHAnsi"/>
                <w:sz w:val="22"/>
                <w:szCs w:val="22"/>
              </w:rPr>
              <w:t>502</w:t>
            </w:r>
          </w:p>
        </w:tc>
      </w:tr>
      <w:tr w:rsidR="006651F6" w:rsidRPr="0068094B" w:rsidTr="007B52E8">
        <w:trPr>
          <w:trHeight w:val="64"/>
        </w:trPr>
        <w:tc>
          <w:tcPr>
            <w:tcW w:w="1560" w:type="dxa"/>
            <w:shd w:val="clear" w:color="auto" w:fill="auto"/>
            <w:vAlign w:val="center"/>
          </w:tcPr>
          <w:p w:rsidR="006651F6" w:rsidRPr="007B52E8" w:rsidRDefault="006651F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shd w:val="clear" w:color="auto" w:fill="auto"/>
            <w:vAlign w:val="center"/>
          </w:tcPr>
          <w:p w:rsidR="006651F6" w:rsidRPr="007B52E8" w:rsidRDefault="006651F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shd w:val="clear" w:color="auto" w:fill="auto"/>
            <w:vAlign w:val="center"/>
          </w:tcPr>
          <w:p w:rsidR="006651F6" w:rsidRPr="007B52E8" w:rsidRDefault="006651F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rsidR="006651F6" w:rsidRPr="0068094B" w:rsidRDefault="006651F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Cs/>
                <w:sz w:val="22"/>
                <w:szCs w:val="22"/>
              </w:rPr>
            </w:pPr>
            <w:r w:rsidRPr="0068094B">
              <w:rPr>
                <w:rFonts w:asciiTheme="minorHAnsi" w:hAnsiTheme="minorHAnsi" w:cstheme="minorHAnsi"/>
                <w:bCs/>
                <w:sz w:val="22"/>
                <w:szCs w:val="22"/>
              </w:rPr>
              <w:t>Other operating Expenditure</w:t>
            </w:r>
          </w:p>
        </w:tc>
        <w:tc>
          <w:tcPr>
            <w:tcW w:w="1417" w:type="dxa"/>
            <w:shd w:val="clear" w:color="auto" w:fill="D9D9D9" w:themeFill="background1" w:themeFillShade="D9"/>
            <w:vAlign w:val="center"/>
          </w:tcPr>
          <w:p w:rsidR="006651F6" w:rsidRPr="00BD32CD" w:rsidRDefault="006651F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6651F6" w:rsidRPr="00BD32CD" w:rsidRDefault="006651F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6651F6" w:rsidRPr="00BD32CD" w:rsidRDefault="006651F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E11EFE" w:rsidRPr="0068094B" w:rsidTr="007B52E8">
        <w:trPr>
          <w:trHeight w:val="340"/>
        </w:trPr>
        <w:tc>
          <w:tcPr>
            <w:tcW w:w="1560" w:type="dxa"/>
            <w:shd w:val="clear" w:color="auto" w:fill="auto"/>
            <w:vAlign w:val="center"/>
          </w:tcPr>
          <w:p w:rsidR="00E11EFE" w:rsidRPr="007B52E8"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3,071</w:t>
            </w:r>
          </w:p>
        </w:tc>
        <w:tc>
          <w:tcPr>
            <w:tcW w:w="1559" w:type="dxa"/>
            <w:shd w:val="clear" w:color="auto" w:fill="auto"/>
            <w:vAlign w:val="center"/>
          </w:tcPr>
          <w:p w:rsidR="00E11EFE" w:rsidRPr="007B52E8"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417" w:type="dxa"/>
            <w:shd w:val="clear" w:color="auto" w:fill="auto"/>
            <w:vAlign w:val="center"/>
          </w:tcPr>
          <w:p w:rsidR="00E11EFE" w:rsidRPr="007B52E8"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3,071</w:t>
            </w:r>
          </w:p>
        </w:tc>
        <w:tc>
          <w:tcPr>
            <w:tcW w:w="5671" w:type="dxa"/>
            <w:vAlign w:val="center"/>
          </w:tcPr>
          <w:p w:rsidR="00E11EFE" w:rsidRPr="0068094B" w:rsidRDefault="00E11EF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Parish Council Precepts</w:t>
            </w:r>
          </w:p>
        </w:tc>
        <w:tc>
          <w:tcPr>
            <w:tcW w:w="1417" w:type="dxa"/>
            <w:shd w:val="clear" w:color="auto" w:fill="D9D9D9" w:themeFill="background1" w:themeFillShade="D9"/>
            <w:vAlign w:val="center"/>
          </w:tcPr>
          <w:p w:rsidR="00E11EFE" w:rsidRPr="00BD32CD" w:rsidRDefault="00934D22"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3,174</w:t>
            </w:r>
          </w:p>
        </w:tc>
        <w:tc>
          <w:tcPr>
            <w:tcW w:w="1134" w:type="dxa"/>
            <w:shd w:val="clear" w:color="auto" w:fill="D9D9D9" w:themeFill="background1" w:themeFillShade="D9"/>
            <w:vAlign w:val="center"/>
          </w:tcPr>
          <w:p w:rsidR="00E11EFE" w:rsidRPr="00BD32CD" w:rsidRDefault="00934D22"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rsidR="00E11EFE" w:rsidRPr="00BD32CD" w:rsidRDefault="00934D22"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3,174</w:t>
            </w:r>
          </w:p>
        </w:tc>
      </w:tr>
      <w:tr w:rsidR="00E11EFE" w:rsidRPr="0068094B" w:rsidTr="007B52E8">
        <w:trPr>
          <w:trHeight w:val="340"/>
        </w:trPr>
        <w:tc>
          <w:tcPr>
            <w:tcW w:w="1560" w:type="dxa"/>
            <w:shd w:val="clear" w:color="auto" w:fill="auto"/>
            <w:vAlign w:val="center"/>
          </w:tcPr>
          <w:p w:rsidR="00E11EFE" w:rsidRPr="007B52E8"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559" w:type="dxa"/>
            <w:shd w:val="clear" w:color="auto" w:fill="auto"/>
            <w:vAlign w:val="center"/>
          </w:tcPr>
          <w:p w:rsidR="00E11EFE" w:rsidRPr="007B52E8"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417" w:type="dxa"/>
            <w:shd w:val="clear" w:color="auto" w:fill="auto"/>
            <w:vAlign w:val="center"/>
          </w:tcPr>
          <w:p w:rsidR="00E11EFE" w:rsidRPr="007B52E8"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5671" w:type="dxa"/>
            <w:vAlign w:val="center"/>
          </w:tcPr>
          <w:p w:rsidR="00E11EFE" w:rsidRPr="0068094B" w:rsidRDefault="00E11EF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Levies Payable</w:t>
            </w:r>
          </w:p>
        </w:tc>
        <w:tc>
          <w:tcPr>
            <w:tcW w:w="1417" w:type="dxa"/>
            <w:shd w:val="clear" w:color="auto" w:fill="D9D9D9" w:themeFill="background1" w:themeFillShade="D9"/>
            <w:vAlign w:val="center"/>
          </w:tcPr>
          <w:p w:rsidR="00E11EFE" w:rsidRPr="00BD32CD" w:rsidRDefault="00934D22"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rsidR="00E11EFE" w:rsidRPr="00BD32CD" w:rsidRDefault="00934D22"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rsidR="00E11EFE" w:rsidRPr="00BD32CD" w:rsidRDefault="00934D22"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r>
      <w:tr w:rsidR="00E11EFE" w:rsidRPr="0068094B" w:rsidTr="007B52E8">
        <w:trPr>
          <w:trHeight w:val="74"/>
        </w:trPr>
        <w:tc>
          <w:tcPr>
            <w:tcW w:w="1560" w:type="dxa"/>
            <w:tcBorders>
              <w:bottom w:val="single" w:sz="4" w:space="0" w:color="000000"/>
            </w:tcBorders>
            <w:shd w:val="clear" w:color="auto" w:fill="auto"/>
            <w:vAlign w:val="center"/>
          </w:tcPr>
          <w:p w:rsidR="00E11EFE" w:rsidRPr="007B52E8"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559" w:type="dxa"/>
            <w:tcBorders>
              <w:bottom w:val="single" w:sz="4" w:space="0" w:color="000000"/>
            </w:tcBorders>
            <w:shd w:val="clear" w:color="auto" w:fill="auto"/>
            <w:vAlign w:val="center"/>
          </w:tcPr>
          <w:p w:rsidR="00E11EFE" w:rsidRPr="007B52E8" w:rsidRDefault="00E11EFE" w:rsidP="00B02B6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(1,249)</w:t>
            </w:r>
          </w:p>
        </w:tc>
        <w:tc>
          <w:tcPr>
            <w:tcW w:w="1417" w:type="dxa"/>
            <w:tcBorders>
              <w:bottom w:val="single" w:sz="4" w:space="0" w:color="000000"/>
            </w:tcBorders>
            <w:shd w:val="clear" w:color="auto" w:fill="auto"/>
            <w:vAlign w:val="center"/>
          </w:tcPr>
          <w:p w:rsidR="00E11EFE" w:rsidRPr="007B52E8"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(1,249)</w:t>
            </w:r>
          </w:p>
        </w:tc>
        <w:tc>
          <w:tcPr>
            <w:tcW w:w="5671" w:type="dxa"/>
            <w:vAlign w:val="center"/>
          </w:tcPr>
          <w:p w:rsidR="00E11EFE" w:rsidRPr="0068094B" w:rsidRDefault="00E11EFE" w:rsidP="00B37095">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Gain (-)/or loss on the disposal of Non-Current Assets</w:t>
            </w:r>
          </w:p>
        </w:tc>
        <w:tc>
          <w:tcPr>
            <w:tcW w:w="1417" w:type="dxa"/>
            <w:tcBorders>
              <w:bottom w:val="single" w:sz="4" w:space="0" w:color="000000"/>
            </w:tcBorders>
            <w:shd w:val="clear" w:color="auto" w:fill="D9D9D9" w:themeFill="background1" w:themeFillShade="D9"/>
            <w:vAlign w:val="center"/>
          </w:tcPr>
          <w:p w:rsidR="00E11EFE" w:rsidRPr="00BD32CD" w:rsidRDefault="00934D22"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rsidR="00E11EFE" w:rsidRPr="00BD32CD" w:rsidRDefault="00934D22"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(239)</w:t>
            </w:r>
          </w:p>
        </w:tc>
        <w:tc>
          <w:tcPr>
            <w:tcW w:w="1418" w:type="dxa"/>
            <w:tcBorders>
              <w:bottom w:val="single" w:sz="4" w:space="0" w:color="000000"/>
            </w:tcBorders>
            <w:shd w:val="clear" w:color="auto" w:fill="D9D9D9" w:themeFill="background1" w:themeFillShade="D9"/>
            <w:vAlign w:val="center"/>
          </w:tcPr>
          <w:p w:rsidR="00E11EFE" w:rsidRPr="00BD32CD" w:rsidRDefault="00934D22"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(239)</w:t>
            </w:r>
          </w:p>
        </w:tc>
      </w:tr>
      <w:tr w:rsidR="00E11EFE" w:rsidRPr="0068094B" w:rsidTr="007B52E8">
        <w:trPr>
          <w:trHeight w:val="340"/>
        </w:trPr>
        <w:tc>
          <w:tcPr>
            <w:tcW w:w="1560" w:type="dxa"/>
            <w:tcBorders>
              <w:top w:val="single" w:sz="4" w:space="0" w:color="000000"/>
              <w:bottom w:val="single" w:sz="4" w:space="0" w:color="000000"/>
            </w:tcBorders>
            <w:shd w:val="clear" w:color="auto" w:fill="auto"/>
            <w:vAlign w:val="center"/>
          </w:tcPr>
          <w:p w:rsidR="00E11EFE" w:rsidRPr="007B52E8"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D32CD">
              <w:rPr>
                <w:rFonts w:asciiTheme="minorHAnsi" w:hAnsiTheme="minorHAnsi" w:cstheme="minorHAnsi"/>
                <w:sz w:val="22"/>
                <w:szCs w:val="22"/>
              </w:rPr>
              <w:t>3,071</w:t>
            </w:r>
          </w:p>
        </w:tc>
        <w:tc>
          <w:tcPr>
            <w:tcW w:w="1559" w:type="dxa"/>
            <w:tcBorders>
              <w:top w:val="single" w:sz="4" w:space="0" w:color="000000"/>
              <w:bottom w:val="single" w:sz="4" w:space="0" w:color="000000"/>
            </w:tcBorders>
            <w:shd w:val="clear" w:color="auto" w:fill="auto"/>
            <w:vAlign w:val="center"/>
          </w:tcPr>
          <w:p w:rsidR="00E11EFE" w:rsidRPr="007B52E8" w:rsidRDefault="00E11EFE" w:rsidP="00B02B6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D32CD">
              <w:rPr>
                <w:rFonts w:asciiTheme="minorHAnsi" w:hAnsiTheme="minorHAnsi" w:cstheme="minorHAnsi"/>
                <w:sz w:val="22"/>
                <w:szCs w:val="22"/>
              </w:rPr>
              <w:t>(1,249)</w:t>
            </w:r>
          </w:p>
        </w:tc>
        <w:tc>
          <w:tcPr>
            <w:tcW w:w="1417" w:type="dxa"/>
            <w:tcBorders>
              <w:top w:val="single" w:sz="4" w:space="0" w:color="000000"/>
              <w:bottom w:val="single" w:sz="4" w:space="0" w:color="000000"/>
            </w:tcBorders>
            <w:shd w:val="clear" w:color="auto" w:fill="auto"/>
            <w:vAlign w:val="center"/>
          </w:tcPr>
          <w:p w:rsidR="00E11EFE" w:rsidRPr="007B52E8"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D32CD">
              <w:rPr>
                <w:rFonts w:asciiTheme="minorHAnsi" w:hAnsiTheme="minorHAnsi" w:cstheme="minorHAnsi"/>
                <w:sz w:val="22"/>
                <w:szCs w:val="22"/>
              </w:rPr>
              <w:t>1,822</w:t>
            </w:r>
          </w:p>
        </w:tc>
        <w:tc>
          <w:tcPr>
            <w:tcW w:w="5671" w:type="dxa"/>
            <w:vAlign w:val="center"/>
          </w:tcPr>
          <w:p w:rsidR="00E11EFE" w:rsidRPr="0068094B" w:rsidRDefault="00E11EF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rsidR="00E11EFE" w:rsidRPr="00BD32CD" w:rsidRDefault="00934D22"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3,174</w:t>
            </w:r>
          </w:p>
        </w:tc>
        <w:tc>
          <w:tcPr>
            <w:tcW w:w="1134" w:type="dxa"/>
            <w:tcBorders>
              <w:top w:val="single" w:sz="4" w:space="0" w:color="000000"/>
              <w:bottom w:val="single" w:sz="4" w:space="0" w:color="000000"/>
            </w:tcBorders>
            <w:shd w:val="clear" w:color="auto" w:fill="D9D9D9" w:themeFill="background1" w:themeFillShade="D9"/>
            <w:vAlign w:val="center"/>
          </w:tcPr>
          <w:p w:rsidR="00E11EFE" w:rsidRPr="00BD32CD" w:rsidRDefault="00934D22"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(239)</w:t>
            </w:r>
          </w:p>
        </w:tc>
        <w:tc>
          <w:tcPr>
            <w:tcW w:w="1418" w:type="dxa"/>
            <w:tcBorders>
              <w:top w:val="single" w:sz="4" w:space="0" w:color="000000"/>
              <w:bottom w:val="single" w:sz="4" w:space="0" w:color="000000"/>
            </w:tcBorders>
            <w:shd w:val="clear" w:color="auto" w:fill="D9D9D9" w:themeFill="background1" w:themeFillShade="D9"/>
            <w:vAlign w:val="center"/>
          </w:tcPr>
          <w:p w:rsidR="00E11EFE" w:rsidRPr="00BD32CD" w:rsidRDefault="00934D22" w:rsidP="005B097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2,935</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rsidR="00E11EFE" w:rsidRPr="0068094B" w:rsidRDefault="00E11EFE">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Cs/>
                <w:sz w:val="22"/>
                <w:szCs w:val="22"/>
              </w:rPr>
            </w:pPr>
            <w:r w:rsidRPr="0068094B">
              <w:rPr>
                <w:rFonts w:asciiTheme="minorHAnsi" w:hAnsiTheme="minorHAnsi" w:cstheme="minorHAnsi"/>
                <w:bCs/>
                <w:sz w:val="22"/>
                <w:szCs w:val="22"/>
              </w:rPr>
              <w:t>Financing and Investment Income and Expenditure</w:t>
            </w:r>
          </w:p>
        </w:tc>
        <w:tc>
          <w:tcPr>
            <w:tcW w:w="1417" w:type="dxa"/>
            <w:shd w:val="clear" w:color="auto" w:fill="D9D9D9" w:themeFill="background1" w:themeFillShade="D9"/>
            <w:vAlign w:val="center"/>
          </w:tcPr>
          <w:p w:rsidR="00E11EFE" w:rsidRPr="00BD32CD"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BD32CD"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BD32CD"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E11EFE" w:rsidRPr="0068094B" w:rsidTr="00CB1F2D">
        <w:trPr>
          <w:trHeight w:val="340"/>
        </w:trPr>
        <w:tc>
          <w:tcPr>
            <w:tcW w:w="1560" w:type="dxa"/>
            <w:vAlign w:val="center"/>
          </w:tcPr>
          <w:p w:rsidR="00E11EFE" w:rsidRPr="0068094B" w:rsidRDefault="00E11EFE" w:rsidP="0042399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58</w:t>
            </w: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417" w:type="dxa"/>
            <w:vAlign w:val="center"/>
          </w:tcPr>
          <w:p w:rsidR="00E11EFE" w:rsidRPr="0068094B" w:rsidRDefault="00E11EFE" w:rsidP="0042399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58</w:t>
            </w:r>
          </w:p>
        </w:tc>
        <w:tc>
          <w:tcPr>
            <w:tcW w:w="5671" w:type="dxa"/>
            <w:vAlign w:val="center"/>
          </w:tcPr>
          <w:p w:rsidR="00E11EFE" w:rsidRPr="0068094B" w:rsidRDefault="00E11EFE">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payable and similar charges</w:t>
            </w:r>
          </w:p>
        </w:tc>
        <w:tc>
          <w:tcPr>
            <w:tcW w:w="1417" w:type="dxa"/>
            <w:shd w:val="clear" w:color="auto" w:fill="D9D9D9" w:themeFill="background1" w:themeFillShade="D9"/>
            <w:vAlign w:val="center"/>
          </w:tcPr>
          <w:p w:rsidR="00E11EFE" w:rsidRPr="00BD32CD" w:rsidRDefault="000B6DEE"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60</w:t>
            </w:r>
          </w:p>
        </w:tc>
        <w:tc>
          <w:tcPr>
            <w:tcW w:w="1134" w:type="dxa"/>
            <w:shd w:val="clear" w:color="auto" w:fill="D9D9D9" w:themeFill="background1" w:themeFillShade="D9"/>
            <w:vAlign w:val="center"/>
          </w:tcPr>
          <w:p w:rsidR="00E11EFE" w:rsidRPr="00BD32CD" w:rsidRDefault="000B6DEE" w:rsidP="00791C45">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rsidR="00E11EFE" w:rsidRPr="00BD32CD" w:rsidRDefault="000B6DEE"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60</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559"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(40)</w:t>
            </w:r>
          </w:p>
        </w:tc>
        <w:tc>
          <w:tcPr>
            <w:tcW w:w="1417"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(40)</w:t>
            </w:r>
          </w:p>
        </w:tc>
        <w:tc>
          <w:tcPr>
            <w:tcW w:w="5671" w:type="dxa"/>
            <w:vAlign w:val="center"/>
          </w:tcPr>
          <w:p w:rsidR="00E11EFE" w:rsidRPr="0068094B" w:rsidRDefault="00E11EFE" w:rsidP="000C7E16">
            <w:pPr>
              <w:rPr>
                <w:rFonts w:asciiTheme="minorHAnsi" w:hAnsiTheme="minorHAnsi" w:cstheme="minorHAnsi"/>
                <w:sz w:val="22"/>
                <w:szCs w:val="22"/>
              </w:rPr>
            </w:pPr>
            <w:r w:rsidRPr="0068094B">
              <w:rPr>
                <w:rFonts w:asciiTheme="minorHAnsi" w:hAnsiTheme="minorHAnsi" w:cstheme="minorHAnsi"/>
                <w:sz w:val="22"/>
                <w:szCs w:val="22"/>
              </w:rPr>
              <w:t>Net interest on the net defined Pension liability (asset)</w:t>
            </w:r>
          </w:p>
        </w:tc>
        <w:tc>
          <w:tcPr>
            <w:tcW w:w="1417" w:type="dxa"/>
            <w:shd w:val="clear" w:color="auto" w:fill="D9D9D9" w:themeFill="background1" w:themeFillShade="D9"/>
            <w:vAlign w:val="center"/>
          </w:tcPr>
          <w:p w:rsidR="00E11EFE" w:rsidRPr="00BD32CD" w:rsidRDefault="001C7161"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198</w:t>
            </w:r>
          </w:p>
        </w:tc>
        <w:tc>
          <w:tcPr>
            <w:tcW w:w="1134" w:type="dxa"/>
            <w:shd w:val="clear" w:color="auto" w:fill="D9D9D9" w:themeFill="background1" w:themeFillShade="D9"/>
            <w:vAlign w:val="center"/>
          </w:tcPr>
          <w:p w:rsidR="00E11EFE" w:rsidRPr="00CC4E5A" w:rsidRDefault="001C7161" w:rsidP="00CC4E5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cyan"/>
              </w:rPr>
            </w:pPr>
            <w:r w:rsidRPr="001C7161">
              <w:rPr>
                <w:rFonts w:asciiTheme="minorHAnsi" w:hAnsiTheme="minorHAnsi" w:cstheme="minorHAnsi"/>
                <w:b w:val="0"/>
                <w:bCs/>
                <w:sz w:val="22"/>
                <w:szCs w:val="22"/>
              </w:rPr>
              <w:t>0</w:t>
            </w:r>
          </w:p>
        </w:tc>
        <w:tc>
          <w:tcPr>
            <w:tcW w:w="1418" w:type="dxa"/>
            <w:shd w:val="clear" w:color="auto" w:fill="D9D9D9" w:themeFill="background1" w:themeFillShade="D9"/>
            <w:vAlign w:val="center"/>
          </w:tcPr>
          <w:p w:rsidR="00E11EFE" w:rsidRPr="00CC4E5A" w:rsidRDefault="001C7161" w:rsidP="00CC4E5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cyan"/>
              </w:rPr>
            </w:pPr>
            <w:r w:rsidRPr="001C7161">
              <w:rPr>
                <w:rFonts w:asciiTheme="minorHAnsi" w:hAnsiTheme="minorHAnsi" w:cstheme="minorHAnsi"/>
                <w:b w:val="0"/>
                <w:bCs/>
                <w:sz w:val="22"/>
                <w:szCs w:val="22"/>
              </w:rPr>
              <w:t>198</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559"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(1,212)</w:t>
            </w:r>
          </w:p>
        </w:tc>
        <w:tc>
          <w:tcPr>
            <w:tcW w:w="1417"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(1,212)</w:t>
            </w:r>
          </w:p>
        </w:tc>
        <w:tc>
          <w:tcPr>
            <w:tcW w:w="5671" w:type="dxa"/>
            <w:vAlign w:val="center"/>
          </w:tcPr>
          <w:p w:rsidR="00E11EFE" w:rsidRPr="0068094B" w:rsidRDefault="00E11EFE" w:rsidP="00AF739C">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receivable and similar income</w:t>
            </w:r>
          </w:p>
        </w:tc>
        <w:tc>
          <w:tcPr>
            <w:tcW w:w="1417" w:type="dxa"/>
            <w:shd w:val="clear" w:color="auto" w:fill="D9D9D9" w:themeFill="background1" w:themeFillShade="D9"/>
            <w:vAlign w:val="center"/>
          </w:tcPr>
          <w:p w:rsidR="00E11EFE" w:rsidRPr="00BD32CD" w:rsidRDefault="000B6DEE"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rsidR="00E11EFE" w:rsidRPr="00BD32CD" w:rsidRDefault="000B6DEE"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(1,498)</w:t>
            </w:r>
          </w:p>
        </w:tc>
        <w:tc>
          <w:tcPr>
            <w:tcW w:w="1418" w:type="dxa"/>
            <w:shd w:val="clear" w:color="auto" w:fill="D9D9D9" w:themeFill="background1" w:themeFillShade="D9"/>
            <w:vAlign w:val="center"/>
          </w:tcPr>
          <w:p w:rsidR="00E11EFE" w:rsidRPr="00BD32CD" w:rsidRDefault="000B6DEE"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(1,498)</w:t>
            </w:r>
          </w:p>
        </w:tc>
      </w:tr>
      <w:tr w:rsidR="00E11EFE" w:rsidRPr="0068094B" w:rsidTr="0044393D">
        <w:trPr>
          <w:trHeight w:val="8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lastRenderedPageBreak/>
              <w:t>(3,092)</w:t>
            </w:r>
          </w:p>
        </w:tc>
        <w:tc>
          <w:tcPr>
            <w:tcW w:w="1559" w:type="dxa"/>
            <w:shd w:val="clear" w:color="auto" w:fill="auto"/>
            <w:vAlign w:val="center"/>
          </w:tcPr>
          <w:p w:rsidR="00E11EFE" w:rsidRPr="0068094B" w:rsidRDefault="00E11EFE" w:rsidP="007A146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(976)</w:t>
            </w:r>
          </w:p>
        </w:tc>
        <w:tc>
          <w:tcPr>
            <w:tcW w:w="1417" w:type="dxa"/>
            <w:vAlign w:val="center"/>
          </w:tcPr>
          <w:p w:rsidR="00E11EFE" w:rsidRPr="0068094B" w:rsidRDefault="00E11EFE" w:rsidP="0042399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(4,068)</w:t>
            </w:r>
          </w:p>
        </w:tc>
        <w:tc>
          <w:tcPr>
            <w:tcW w:w="5671" w:type="dxa"/>
            <w:vAlign w:val="center"/>
          </w:tcPr>
          <w:p w:rsidR="00E11EFE" w:rsidRPr="0068094B" w:rsidRDefault="00E11EFE" w:rsidP="005E4E7D">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Income and Expenditure in relation to investment Properties and changes in their fair value</w:t>
            </w:r>
          </w:p>
        </w:tc>
        <w:tc>
          <w:tcPr>
            <w:tcW w:w="1417" w:type="dxa"/>
            <w:shd w:val="clear" w:color="auto" w:fill="D9D9D9" w:themeFill="background1" w:themeFillShade="D9"/>
            <w:vAlign w:val="center"/>
          </w:tcPr>
          <w:p w:rsidR="00E11EFE" w:rsidRPr="00BD32CD" w:rsidRDefault="000B6DEE" w:rsidP="00E964B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1,510</w:t>
            </w:r>
          </w:p>
        </w:tc>
        <w:tc>
          <w:tcPr>
            <w:tcW w:w="1134" w:type="dxa"/>
            <w:shd w:val="clear" w:color="auto" w:fill="D9D9D9" w:themeFill="background1" w:themeFillShade="D9"/>
            <w:vAlign w:val="center"/>
          </w:tcPr>
          <w:p w:rsidR="00E11EFE" w:rsidRPr="00BD32CD" w:rsidRDefault="000B6DEE"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(1,062)</w:t>
            </w:r>
          </w:p>
        </w:tc>
        <w:tc>
          <w:tcPr>
            <w:tcW w:w="1418" w:type="dxa"/>
            <w:shd w:val="clear" w:color="auto" w:fill="D9D9D9" w:themeFill="background1" w:themeFillShade="D9"/>
            <w:vAlign w:val="center"/>
          </w:tcPr>
          <w:p w:rsidR="00E11EFE" w:rsidRPr="00BD32CD" w:rsidRDefault="000B6DEE"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448</w:t>
            </w:r>
          </w:p>
        </w:tc>
      </w:tr>
      <w:tr w:rsidR="00E11EFE" w:rsidRPr="0068094B" w:rsidTr="00990424">
        <w:trPr>
          <w:trHeight w:val="80"/>
        </w:trPr>
        <w:tc>
          <w:tcPr>
            <w:tcW w:w="1560" w:type="dxa"/>
            <w:vAlign w:val="center"/>
          </w:tcPr>
          <w:p w:rsidR="00E11EFE"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559" w:type="dxa"/>
            <w:shd w:val="clear" w:color="auto" w:fill="auto"/>
            <w:vAlign w:val="center"/>
          </w:tcPr>
          <w:p w:rsidR="00E11EFE" w:rsidRDefault="00E11EFE" w:rsidP="007A146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(20)</w:t>
            </w:r>
          </w:p>
        </w:tc>
        <w:tc>
          <w:tcPr>
            <w:tcW w:w="1417" w:type="dxa"/>
            <w:vAlign w:val="center"/>
          </w:tcPr>
          <w:p w:rsidR="00E11EFE" w:rsidRDefault="00E11EFE" w:rsidP="0042399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(20)</w:t>
            </w:r>
          </w:p>
        </w:tc>
        <w:tc>
          <w:tcPr>
            <w:tcW w:w="5671" w:type="dxa"/>
            <w:vAlign w:val="center"/>
          </w:tcPr>
          <w:p w:rsidR="00E11EFE" w:rsidRPr="0068094B" w:rsidRDefault="00E11EFE" w:rsidP="00CF4EB9">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Pr>
                <w:rFonts w:asciiTheme="minorHAnsi" w:hAnsiTheme="minorHAnsi" w:cstheme="minorHAnsi"/>
                <w:b w:val="0"/>
                <w:sz w:val="22"/>
                <w:szCs w:val="22"/>
                <w:lang w:val="en-US"/>
              </w:rPr>
              <w:t>Changes in the fair value of investments</w:t>
            </w:r>
          </w:p>
        </w:tc>
        <w:tc>
          <w:tcPr>
            <w:tcW w:w="1417" w:type="dxa"/>
            <w:shd w:val="clear" w:color="auto" w:fill="D9D9D9" w:themeFill="background1" w:themeFillShade="D9"/>
            <w:vAlign w:val="center"/>
          </w:tcPr>
          <w:p w:rsidR="00E11EFE" w:rsidRPr="00BD32CD" w:rsidRDefault="000B6DEE" w:rsidP="00E964B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3,906</w:t>
            </w:r>
          </w:p>
        </w:tc>
        <w:tc>
          <w:tcPr>
            <w:tcW w:w="1134" w:type="dxa"/>
            <w:shd w:val="clear" w:color="auto" w:fill="D9D9D9" w:themeFill="background1" w:themeFillShade="D9"/>
            <w:vAlign w:val="center"/>
          </w:tcPr>
          <w:p w:rsidR="00E11EFE" w:rsidRPr="00BD32CD" w:rsidRDefault="000B6DEE" w:rsidP="00AA2D4B">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rsidR="00E11EFE" w:rsidRPr="00BD32CD" w:rsidRDefault="000B6DEE"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3,906</w:t>
            </w:r>
          </w:p>
        </w:tc>
      </w:tr>
      <w:tr w:rsidR="00070120" w:rsidRPr="0068094B" w:rsidTr="00CB1F2D">
        <w:trPr>
          <w:trHeight w:val="340"/>
        </w:trPr>
        <w:tc>
          <w:tcPr>
            <w:tcW w:w="1560" w:type="dxa"/>
            <w:vAlign w:val="center"/>
          </w:tcPr>
          <w:p w:rsidR="00070120" w:rsidRPr="00BD32CD" w:rsidRDefault="00070120"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rsidR="00070120" w:rsidRPr="00BD32CD" w:rsidRDefault="00070120"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7" w:type="dxa"/>
            <w:vAlign w:val="center"/>
          </w:tcPr>
          <w:p w:rsidR="00070120" w:rsidRPr="00BD32CD" w:rsidRDefault="00070120"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5671" w:type="dxa"/>
            <w:vAlign w:val="center"/>
          </w:tcPr>
          <w:p w:rsidR="00070120" w:rsidRPr="0068094B" w:rsidRDefault="00070120" w:rsidP="00987526">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Pr>
                <w:rFonts w:asciiTheme="minorHAnsi" w:hAnsiTheme="minorHAnsi" w:cstheme="minorHAnsi"/>
                <w:b w:val="0"/>
                <w:sz w:val="22"/>
                <w:szCs w:val="22"/>
                <w:lang w:val="en-US"/>
              </w:rPr>
              <w:t>(Gains) / Losses on Sale of Investments</w:t>
            </w:r>
          </w:p>
        </w:tc>
        <w:tc>
          <w:tcPr>
            <w:tcW w:w="1417" w:type="dxa"/>
            <w:shd w:val="clear" w:color="auto" w:fill="D9D9D9" w:themeFill="background1" w:themeFillShade="D9"/>
            <w:vAlign w:val="center"/>
          </w:tcPr>
          <w:p w:rsidR="00070120" w:rsidRDefault="00070120" w:rsidP="00BC31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rsidR="00070120" w:rsidRDefault="00070120"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w:t>
            </w:r>
          </w:p>
        </w:tc>
        <w:tc>
          <w:tcPr>
            <w:tcW w:w="1418" w:type="dxa"/>
            <w:shd w:val="clear" w:color="auto" w:fill="D9D9D9" w:themeFill="background1" w:themeFillShade="D9"/>
            <w:vAlign w:val="center"/>
          </w:tcPr>
          <w:p w:rsidR="00070120" w:rsidRDefault="00070120"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0</w:t>
            </w:r>
          </w:p>
        </w:tc>
        <w:tc>
          <w:tcPr>
            <w:tcW w:w="1559"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(105)</w:t>
            </w:r>
          </w:p>
        </w:tc>
        <w:tc>
          <w:tcPr>
            <w:tcW w:w="1417"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D32CD">
              <w:rPr>
                <w:rFonts w:asciiTheme="minorHAnsi" w:hAnsiTheme="minorHAnsi" w:cstheme="minorHAnsi"/>
                <w:b w:val="0"/>
                <w:bCs/>
                <w:sz w:val="22"/>
                <w:szCs w:val="22"/>
              </w:rPr>
              <w:t>(105)</w:t>
            </w:r>
          </w:p>
        </w:tc>
        <w:tc>
          <w:tcPr>
            <w:tcW w:w="5671" w:type="dxa"/>
            <w:vAlign w:val="center"/>
          </w:tcPr>
          <w:p w:rsidR="00E11EFE" w:rsidRPr="0068094B" w:rsidRDefault="00E11EFE">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Element of Finance Leases (Lessor)</w:t>
            </w:r>
          </w:p>
        </w:tc>
        <w:tc>
          <w:tcPr>
            <w:tcW w:w="1417" w:type="dxa"/>
            <w:shd w:val="clear" w:color="auto" w:fill="D9D9D9" w:themeFill="background1" w:themeFillShade="D9"/>
            <w:vAlign w:val="center"/>
          </w:tcPr>
          <w:p w:rsidR="00E11EFE" w:rsidRPr="00BD32CD" w:rsidRDefault="000B6DEE" w:rsidP="00BC31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rsidR="00E11EFE" w:rsidRPr="00BD32CD" w:rsidRDefault="000B6DEE"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(102)</w:t>
            </w:r>
          </w:p>
        </w:tc>
        <w:tc>
          <w:tcPr>
            <w:tcW w:w="1418" w:type="dxa"/>
            <w:shd w:val="clear" w:color="auto" w:fill="D9D9D9" w:themeFill="background1" w:themeFillShade="D9"/>
            <w:vAlign w:val="center"/>
          </w:tcPr>
          <w:p w:rsidR="00E11EFE" w:rsidRPr="00BD32CD" w:rsidRDefault="000B6DEE"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(102)</w:t>
            </w:r>
          </w:p>
        </w:tc>
      </w:tr>
      <w:tr w:rsidR="00E11EFE" w:rsidRPr="0068094B" w:rsidTr="00CB1F2D">
        <w:trPr>
          <w:trHeight w:val="340"/>
        </w:trPr>
        <w:tc>
          <w:tcPr>
            <w:tcW w:w="1560" w:type="dxa"/>
            <w:tcBorders>
              <w:bottom w:val="single" w:sz="4" w:space="0" w:color="000000"/>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0</w:t>
            </w:r>
          </w:p>
        </w:tc>
        <w:tc>
          <w:tcPr>
            <w:tcW w:w="1559" w:type="dxa"/>
            <w:tcBorders>
              <w:bottom w:val="single" w:sz="4" w:space="0" w:color="000000"/>
            </w:tcBorders>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(162)</w:t>
            </w:r>
          </w:p>
        </w:tc>
        <w:tc>
          <w:tcPr>
            <w:tcW w:w="1417" w:type="dxa"/>
            <w:tcBorders>
              <w:bottom w:val="single" w:sz="4" w:space="0" w:color="000000"/>
            </w:tcBorders>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(162)</w:t>
            </w:r>
          </w:p>
        </w:tc>
        <w:tc>
          <w:tcPr>
            <w:tcW w:w="5671" w:type="dxa"/>
            <w:vAlign w:val="center"/>
          </w:tcPr>
          <w:p w:rsidR="00E11EFE" w:rsidRPr="0068094B" w:rsidRDefault="00E11EFE">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Other income</w:t>
            </w:r>
          </w:p>
        </w:tc>
        <w:tc>
          <w:tcPr>
            <w:tcW w:w="1417" w:type="dxa"/>
            <w:tcBorders>
              <w:bottom w:val="single" w:sz="4" w:space="0" w:color="000000"/>
            </w:tcBorders>
            <w:shd w:val="clear" w:color="auto" w:fill="D9D9D9" w:themeFill="background1" w:themeFillShade="D9"/>
            <w:vAlign w:val="center"/>
          </w:tcPr>
          <w:p w:rsidR="00E11EFE" w:rsidRPr="00D16CC2" w:rsidRDefault="000B6DEE"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rsidR="00E11EFE" w:rsidRPr="00D16CC2" w:rsidRDefault="000B6DEE"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(56)</w:t>
            </w:r>
          </w:p>
        </w:tc>
        <w:tc>
          <w:tcPr>
            <w:tcW w:w="1418" w:type="dxa"/>
            <w:tcBorders>
              <w:bottom w:val="single" w:sz="4" w:space="0" w:color="000000"/>
            </w:tcBorders>
            <w:shd w:val="clear" w:color="auto" w:fill="D9D9D9" w:themeFill="background1" w:themeFillShade="D9"/>
            <w:vAlign w:val="center"/>
          </w:tcPr>
          <w:p w:rsidR="00E11EFE" w:rsidRPr="00D16CC2" w:rsidRDefault="000B6DEE"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(56)</w:t>
            </w:r>
          </w:p>
        </w:tc>
      </w:tr>
      <w:tr w:rsidR="00E11EFE" w:rsidRPr="0068094B" w:rsidTr="00CB1F2D">
        <w:trPr>
          <w:trHeight w:val="340"/>
        </w:trPr>
        <w:tc>
          <w:tcPr>
            <w:tcW w:w="1560" w:type="dxa"/>
            <w:tcBorders>
              <w:top w:val="single" w:sz="4" w:space="0" w:color="000000"/>
              <w:bottom w:val="single" w:sz="4" w:space="0" w:color="000000"/>
            </w:tcBorders>
            <w:vAlign w:val="center"/>
          </w:tcPr>
          <w:p w:rsidR="00E11EFE" w:rsidRPr="0068094B" w:rsidRDefault="00E11EFE" w:rsidP="007A14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(3,034)</w:t>
            </w:r>
          </w:p>
        </w:tc>
        <w:tc>
          <w:tcPr>
            <w:tcW w:w="1559" w:type="dxa"/>
            <w:tcBorders>
              <w:top w:val="single" w:sz="4" w:space="0" w:color="000000"/>
              <w:bottom w:val="single" w:sz="4" w:space="0" w:color="000000"/>
            </w:tcBorders>
            <w:vAlign w:val="center"/>
          </w:tcPr>
          <w:p w:rsidR="00E11EFE" w:rsidRPr="0068094B" w:rsidRDefault="00E11EFE" w:rsidP="007A14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(2,515)</w:t>
            </w:r>
          </w:p>
        </w:tc>
        <w:tc>
          <w:tcPr>
            <w:tcW w:w="1417" w:type="dxa"/>
            <w:tcBorders>
              <w:top w:val="single" w:sz="4" w:space="0" w:color="000000"/>
              <w:bottom w:val="single" w:sz="4" w:space="0" w:color="000000"/>
            </w:tcBorders>
            <w:vAlign w:val="center"/>
          </w:tcPr>
          <w:p w:rsidR="00E11EFE" w:rsidRPr="0068094B" w:rsidRDefault="00E11EFE" w:rsidP="0042399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(5,549)</w:t>
            </w:r>
          </w:p>
        </w:tc>
        <w:tc>
          <w:tcPr>
            <w:tcW w:w="5671" w:type="dxa"/>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rsidR="00E11EFE" w:rsidRPr="00D16CC2" w:rsidRDefault="00070120" w:rsidP="006B42C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5,674</w:t>
            </w:r>
          </w:p>
        </w:tc>
        <w:tc>
          <w:tcPr>
            <w:tcW w:w="1134" w:type="dxa"/>
            <w:tcBorders>
              <w:top w:val="single" w:sz="4" w:space="0" w:color="000000"/>
              <w:bottom w:val="single" w:sz="4" w:space="0" w:color="000000"/>
            </w:tcBorders>
            <w:shd w:val="clear" w:color="auto" w:fill="D9D9D9" w:themeFill="background1" w:themeFillShade="D9"/>
            <w:vAlign w:val="center"/>
          </w:tcPr>
          <w:p w:rsidR="00E11EFE" w:rsidRPr="00D16CC2" w:rsidRDefault="00070120" w:rsidP="00CC4E5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(2,729)</w:t>
            </w:r>
          </w:p>
        </w:tc>
        <w:tc>
          <w:tcPr>
            <w:tcW w:w="1418" w:type="dxa"/>
            <w:tcBorders>
              <w:top w:val="single" w:sz="4" w:space="0" w:color="000000"/>
              <w:bottom w:val="single" w:sz="4" w:space="0" w:color="000000"/>
            </w:tcBorders>
            <w:shd w:val="clear" w:color="auto" w:fill="D9D9D9" w:themeFill="background1" w:themeFillShade="D9"/>
            <w:vAlign w:val="center"/>
          </w:tcPr>
          <w:p w:rsidR="00E11EFE" w:rsidRPr="00D16CC2" w:rsidRDefault="00070120" w:rsidP="00CC4E5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2,945</w:t>
            </w:r>
          </w:p>
        </w:tc>
      </w:tr>
      <w:tr w:rsidR="00E11EFE" w:rsidRPr="0068094B" w:rsidTr="0044393D">
        <w:trPr>
          <w:trHeight w:val="340"/>
        </w:trPr>
        <w:tc>
          <w:tcPr>
            <w:tcW w:w="1560" w:type="dxa"/>
            <w:tcBorders>
              <w:bottom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tcBorders>
              <w:bottom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bottom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rsidR="00E11EFE" w:rsidRDefault="00E11EFE" w:rsidP="0000605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p>
        </w:tc>
        <w:tc>
          <w:tcPr>
            <w:tcW w:w="1417" w:type="dxa"/>
            <w:tcBorders>
              <w:bottom w:val="single" w:sz="4" w:space="0" w:color="auto"/>
            </w:tcBorders>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tcBorders>
              <w:bottom w:val="single" w:sz="4" w:space="0" w:color="auto"/>
            </w:tcBorders>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bottom w:val="single" w:sz="4" w:space="0" w:color="auto"/>
            </w:tcBorders>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E11EFE" w:rsidRPr="0068094B" w:rsidTr="0044393D">
        <w:trPr>
          <w:trHeight w:val="340"/>
        </w:trPr>
        <w:tc>
          <w:tcPr>
            <w:tcW w:w="1560" w:type="dxa"/>
            <w:tcBorders>
              <w:top w:val="single" w:sz="4" w:space="0" w:color="auto"/>
              <w:bottom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1,184</w:t>
            </w:r>
          </w:p>
        </w:tc>
        <w:tc>
          <w:tcPr>
            <w:tcW w:w="1559" w:type="dxa"/>
            <w:tcBorders>
              <w:top w:val="single" w:sz="4" w:space="0" w:color="auto"/>
              <w:bottom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(1,067)</w:t>
            </w:r>
          </w:p>
        </w:tc>
        <w:tc>
          <w:tcPr>
            <w:tcW w:w="1417" w:type="dxa"/>
            <w:tcBorders>
              <w:top w:val="single" w:sz="4" w:space="0" w:color="auto"/>
              <w:bottom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117</w:t>
            </w:r>
          </w:p>
        </w:tc>
        <w:tc>
          <w:tcPr>
            <w:tcW w:w="5671" w:type="dxa"/>
            <w:vAlign w:val="center"/>
          </w:tcPr>
          <w:p w:rsidR="00E11EFE" w:rsidRPr="0068094B" w:rsidRDefault="00E11EF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r>
              <w:rPr>
                <w:rFonts w:asciiTheme="minorHAnsi" w:hAnsiTheme="minorHAnsi" w:cstheme="minorHAnsi"/>
                <w:bCs/>
                <w:sz w:val="22"/>
                <w:szCs w:val="22"/>
              </w:rPr>
              <w:t xml:space="preserve">(Surplus) or deficit on discontinued operations </w:t>
            </w:r>
          </w:p>
        </w:tc>
        <w:tc>
          <w:tcPr>
            <w:tcW w:w="1417" w:type="dxa"/>
            <w:tcBorders>
              <w:top w:val="single" w:sz="4" w:space="0" w:color="auto"/>
              <w:bottom w:val="single" w:sz="4" w:space="0" w:color="auto"/>
            </w:tcBorders>
            <w:shd w:val="clear" w:color="auto" w:fill="D9D9D9" w:themeFill="background1" w:themeFillShade="D9"/>
            <w:vAlign w:val="center"/>
          </w:tcPr>
          <w:p w:rsidR="00E11EFE" w:rsidRPr="00D16CC2" w:rsidRDefault="00126E0B" w:rsidP="0029680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1</w:t>
            </w:r>
          </w:p>
        </w:tc>
        <w:tc>
          <w:tcPr>
            <w:tcW w:w="1134" w:type="dxa"/>
            <w:tcBorders>
              <w:top w:val="single" w:sz="4" w:space="0" w:color="auto"/>
              <w:bottom w:val="single" w:sz="4" w:space="0" w:color="auto"/>
            </w:tcBorders>
            <w:shd w:val="clear" w:color="auto" w:fill="D9D9D9" w:themeFill="background1" w:themeFillShade="D9"/>
            <w:vAlign w:val="center"/>
          </w:tcPr>
          <w:p w:rsidR="00E11EFE" w:rsidRPr="00D16CC2" w:rsidRDefault="00126E0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1</w:t>
            </w:r>
          </w:p>
        </w:tc>
        <w:tc>
          <w:tcPr>
            <w:tcW w:w="1418" w:type="dxa"/>
            <w:tcBorders>
              <w:top w:val="single" w:sz="4" w:space="0" w:color="auto"/>
              <w:bottom w:val="single" w:sz="4" w:space="0" w:color="auto"/>
            </w:tcBorders>
            <w:shd w:val="clear" w:color="auto" w:fill="D9D9D9" w:themeFill="background1" w:themeFillShade="D9"/>
            <w:vAlign w:val="center"/>
          </w:tcPr>
          <w:p w:rsidR="00E11EFE" w:rsidRPr="00D16CC2" w:rsidRDefault="00126E0B" w:rsidP="0029680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w:t>
            </w:r>
          </w:p>
        </w:tc>
      </w:tr>
      <w:tr w:rsidR="00E11EFE" w:rsidRPr="0068094B" w:rsidTr="0044393D">
        <w:trPr>
          <w:trHeight w:val="340"/>
        </w:trPr>
        <w:tc>
          <w:tcPr>
            <w:tcW w:w="1560" w:type="dxa"/>
            <w:tcBorders>
              <w:top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tcBorders>
              <w:top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top w:val="single" w:sz="4" w:space="0" w:color="auto"/>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rsidR="00E11EFE" w:rsidRPr="0068094B" w:rsidRDefault="00E11EFE" w:rsidP="005171D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p>
        </w:tc>
        <w:tc>
          <w:tcPr>
            <w:tcW w:w="1417" w:type="dxa"/>
            <w:tcBorders>
              <w:top w:val="single" w:sz="4" w:space="0" w:color="auto"/>
            </w:tcBorders>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tcBorders>
              <w:top w:val="single" w:sz="4" w:space="0" w:color="auto"/>
            </w:tcBorders>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4" w:space="0" w:color="auto"/>
            </w:tcBorders>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rsidR="00E11EFE" w:rsidRPr="0068094B" w:rsidRDefault="00E11EFE" w:rsidP="0049209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sz w:val="22"/>
                <w:szCs w:val="22"/>
              </w:rPr>
            </w:pPr>
            <w:r w:rsidRPr="0068094B">
              <w:rPr>
                <w:rFonts w:asciiTheme="minorHAnsi" w:hAnsiTheme="minorHAnsi" w:cstheme="minorHAnsi"/>
                <w:bCs/>
                <w:sz w:val="22"/>
                <w:szCs w:val="22"/>
              </w:rPr>
              <w:t xml:space="preserve">Taxation and Non-Specific Grant Income and Expenditure </w:t>
            </w:r>
            <w:r w:rsidRPr="0068094B">
              <w:rPr>
                <w:rFonts w:asciiTheme="minorHAnsi" w:hAnsiTheme="minorHAnsi" w:cstheme="minorHAnsi"/>
                <w:b w:val="0"/>
                <w:bCs/>
                <w:sz w:val="22"/>
                <w:szCs w:val="22"/>
              </w:rPr>
              <w:t>(see note 2</w:t>
            </w:r>
            <w:r>
              <w:rPr>
                <w:rFonts w:asciiTheme="minorHAnsi" w:hAnsiTheme="minorHAnsi" w:cstheme="minorHAnsi"/>
                <w:b w:val="0"/>
                <w:bCs/>
                <w:sz w:val="22"/>
                <w:szCs w:val="22"/>
              </w:rPr>
              <w:t>5</w:t>
            </w:r>
            <w:r w:rsidRPr="0068094B">
              <w:rPr>
                <w:rFonts w:asciiTheme="minorHAnsi" w:hAnsiTheme="minorHAnsi" w:cstheme="minorHAnsi"/>
                <w:b w:val="0"/>
                <w:bCs/>
                <w:sz w:val="22"/>
                <w:szCs w:val="22"/>
              </w:rPr>
              <w:t>)</w:t>
            </w:r>
          </w:p>
        </w:tc>
        <w:tc>
          <w:tcPr>
            <w:tcW w:w="1417" w:type="dxa"/>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D16CC2"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0</w:t>
            </w:r>
          </w:p>
        </w:tc>
        <w:tc>
          <w:tcPr>
            <w:tcW w:w="1559"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(11,306)</w:t>
            </w:r>
          </w:p>
        </w:tc>
        <w:tc>
          <w:tcPr>
            <w:tcW w:w="1417"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(11,306)</w:t>
            </w:r>
          </w:p>
        </w:tc>
        <w:tc>
          <w:tcPr>
            <w:tcW w:w="5671" w:type="dxa"/>
            <w:vAlign w:val="center"/>
          </w:tcPr>
          <w:p w:rsidR="00E11EFE" w:rsidRPr="0068094B" w:rsidRDefault="00E11EFE" w:rsidP="00EE52C2">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 xml:space="preserve">Council tax income </w:t>
            </w:r>
          </w:p>
        </w:tc>
        <w:tc>
          <w:tcPr>
            <w:tcW w:w="1417" w:type="dxa"/>
            <w:shd w:val="clear" w:color="auto" w:fill="D9D9D9" w:themeFill="background1" w:themeFillShade="D9"/>
            <w:vAlign w:val="center"/>
          </w:tcPr>
          <w:p w:rsidR="00E11EFE" w:rsidRPr="00D16CC2" w:rsidRDefault="0077246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rsidR="00E11EFE" w:rsidRPr="00D16CC2" w:rsidRDefault="00772468" w:rsidP="0010639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(11,633)</w:t>
            </w:r>
          </w:p>
        </w:tc>
        <w:tc>
          <w:tcPr>
            <w:tcW w:w="1418" w:type="dxa"/>
            <w:shd w:val="clear" w:color="auto" w:fill="D9D9D9" w:themeFill="background1" w:themeFillShade="D9"/>
            <w:vAlign w:val="center"/>
          </w:tcPr>
          <w:p w:rsidR="00E11EFE" w:rsidRPr="00D16CC2" w:rsidRDefault="00772468" w:rsidP="0010639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(11,633)</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0</w:t>
            </w:r>
          </w:p>
        </w:tc>
        <w:tc>
          <w:tcPr>
            <w:tcW w:w="1559" w:type="dxa"/>
            <w:vAlign w:val="center"/>
          </w:tcPr>
          <w:p w:rsidR="00E11EFE" w:rsidRPr="0068094B" w:rsidRDefault="00E11EFE" w:rsidP="007959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(1,754)</w:t>
            </w:r>
          </w:p>
        </w:tc>
        <w:tc>
          <w:tcPr>
            <w:tcW w:w="1417"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(1,754)</w:t>
            </w:r>
          </w:p>
        </w:tc>
        <w:tc>
          <w:tcPr>
            <w:tcW w:w="5671" w:type="dxa"/>
            <w:shd w:val="clear" w:color="auto" w:fill="auto"/>
            <w:vAlign w:val="center"/>
          </w:tcPr>
          <w:p w:rsidR="00E11EFE" w:rsidRPr="0068094B" w:rsidRDefault="00E11EFE" w:rsidP="00EE52C2">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Non domestic rates (NNDR)</w:t>
            </w:r>
          </w:p>
        </w:tc>
        <w:tc>
          <w:tcPr>
            <w:tcW w:w="1417" w:type="dxa"/>
            <w:shd w:val="clear" w:color="auto" w:fill="D9D9D9" w:themeFill="background1" w:themeFillShade="D9"/>
            <w:vAlign w:val="center"/>
          </w:tcPr>
          <w:p w:rsidR="00E11EFE" w:rsidRPr="00D16CC2" w:rsidRDefault="00772468" w:rsidP="00120EB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rsidR="00E11EFE" w:rsidRPr="00D16CC2" w:rsidRDefault="00772468" w:rsidP="005B097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(2,204)</w:t>
            </w:r>
          </w:p>
        </w:tc>
        <w:tc>
          <w:tcPr>
            <w:tcW w:w="1418" w:type="dxa"/>
            <w:shd w:val="clear" w:color="auto" w:fill="D9D9D9" w:themeFill="background1" w:themeFillShade="D9"/>
            <w:vAlign w:val="center"/>
          </w:tcPr>
          <w:p w:rsidR="00E11EFE" w:rsidRPr="00D16CC2" w:rsidRDefault="00772468"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(2,204)</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0</w:t>
            </w:r>
          </w:p>
        </w:tc>
        <w:tc>
          <w:tcPr>
            <w:tcW w:w="1559"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(8,825)</w:t>
            </w:r>
          </w:p>
        </w:tc>
        <w:tc>
          <w:tcPr>
            <w:tcW w:w="1417" w:type="dxa"/>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(8,825)</w:t>
            </w:r>
          </w:p>
        </w:tc>
        <w:tc>
          <w:tcPr>
            <w:tcW w:w="5671" w:type="dxa"/>
            <w:shd w:val="clear" w:color="auto" w:fill="auto"/>
            <w:vAlign w:val="center"/>
          </w:tcPr>
          <w:p w:rsidR="00E11EFE" w:rsidRPr="0068094B" w:rsidRDefault="00E11EFE" w:rsidP="00BD1BF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Capital grants and contributions</w:t>
            </w:r>
          </w:p>
        </w:tc>
        <w:tc>
          <w:tcPr>
            <w:tcW w:w="1417" w:type="dxa"/>
            <w:shd w:val="clear" w:color="auto" w:fill="D9D9D9" w:themeFill="background1" w:themeFillShade="D9"/>
            <w:vAlign w:val="center"/>
          </w:tcPr>
          <w:p w:rsidR="00E11EFE" w:rsidRPr="00D16CC2" w:rsidRDefault="0077246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rsidR="00E11EFE" w:rsidRPr="00D16CC2" w:rsidRDefault="00772468" w:rsidP="00285C2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(3,530)</w:t>
            </w:r>
          </w:p>
        </w:tc>
        <w:tc>
          <w:tcPr>
            <w:tcW w:w="1418" w:type="dxa"/>
            <w:shd w:val="clear" w:color="auto" w:fill="D9D9D9" w:themeFill="background1" w:themeFillShade="D9"/>
            <w:vAlign w:val="center"/>
          </w:tcPr>
          <w:p w:rsidR="00E11EFE" w:rsidRPr="00D16CC2" w:rsidRDefault="00772468" w:rsidP="00285C2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(3,530)</w:t>
            </w:r>
          </w:p>
        </w:tc>
      </w:tr>
      <w:tr w:rsidR="00E11EFE" w:rsidRPr="0068094B" w:rsidTr="00CB1F2D">
        <w:trPr>
          <w:trHeight w:val="340"/>
        </w:trPr>
        <w:tc>
          <w:tcPr>
            <w:tcW w:w="1560" w:type="dxa"/>
            <w:tcBorders>
              <w:bottom w:val="single" w:sz="4" w:space="0" w:color="000000"/>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0</w:t>
            </w:r>
          </w:p>
        </w:tc>
        <w:tc>
          <w:tcPr>
            <w:tcW w:w="1559" w:type="dxa"/>
            <w:tcBorders>
              <w:bottom w:val="single" w:sz="4" w:space="0" w:color="000000"/>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(4,508)</w:t>
            </w:r>
          </w:p>
        </w:tc>
        <w:tc>
          <w:tcPr>
            <w:tcW w:w="1417" w:type="dxa"/>
            <w:tcBorders>
              <w:bottom w:val="single" w:sz="4" w:space="0" w:color="000000"/>
            </w:tcBorders>
            <w:vAlign w:val="center"/>
          </w:tcPr>
          <w:p w:rsidR="00E11EFE" w:rsidRPr="0068094B" w:rsidRDefault="00E11EFE"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(4,508)</w:t>
            </w:r>
          </w:p>
        </w:tc>
        <w:tc>
          <w:tcPr>
            <w:tcW w:w="5671" w:type="dxa"/>
            <w:shd w:val="clear" w:color="auto" w:fill="auto"/>
            <w:vAlign w:val="center"/>
          </w:tcPr>
          <w:p w:rsidR="00E11EFE" w:rsidRPr="0068094B" w:rsidRDefault="00E11EFE" w:rsidP="00BD1BF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 xml:space="preserve">Non ringfenced government grants </w:t>
            </w:r>
          </w:p>
        </w:tc>
        <w:tc>
          <w:tcPr>
            <w:tcW w:w="1417" w:type="dxa"/>
            <w:tcBorders>
              <w:bottom w:val="single" w:sz="4" w:space="0" w:color="000000"/>
            </w:tcBorders>
            <w:shd w:val="clear" w:color="auto" w:fill="D9D9D9" w:themeFill="background1" w:themeFillShade="D9"/>
            <w:vAlign w:val="center"/>
          </w:tcPr>
          <w:p w:rsidR="00E11EFE" w:rsidRPr="00D16CC2" w:rsidRDefault="0077246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rsidR="00E11EFE" w:rsidRPr="00D16CC2" w:rsidRDefault="00772468" w:rsidP="00AB7BA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(3,630)</w:t>
            </w:r>
          </w:p>
        </w:tc>
        <w:tc>
          <w:tcPr>
            <w:tcW w:w="1418" w:type="dxa"/>
            <w:tcBorders>
              <w:bottom w:val="single" w:sz="4" w:space="0" w:color="000000"/>
            </w:tcBorders>
            <w:shd w:val="clear" w:color="auto" w:fill="D9D9D9" w:themeFill="background1" w:themeFillShade="D9"/>
            <w:vAlign w:val="center"/>
          </w:tcPr>
          <w:p w:rsidR="00E11EFE" w:rsidRPr="00D16CC2" w:rsidRDefault="00772468">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(3,630)</w:t>
            </w:r>
          </w:p>
        </w:tc>
      </w:tr>
      <w:tr w:rsidR="00E11EFE" w:rsidRPr="0068094B" w:rsidTr="00CB1F2D">
        <w:trPr>
          <w:trHeight w:val="340"/>
        </w:trPr>
        <w:tc>
          <w:tcPr>
            <w:tcW w:w="1560" w:type="dxa"/>
            <w:tcBorders>
              <w:top w:val="single" w:sz="4" w:space="0" w:color="000000"/>
              <w:bottom w:val="single" w:sz="4" w:space="0" w:color="000000"/>
            </w:tcBorders>
            <w:vAlign w:val="center"/>
          </w:tcPr>
          <w:p w:rsidR="00E11EFE" w:rsidRPr="0068094B" w:rsidRDefault="00E11EFE" w:rsidP="004159A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559" w:type="dxa"/>
            <w:tcBorders>
              <w:top w:val="single" w:sz="4" w:space="0" w:color="000000"/>
              <w:bottom w:val="single" w:sz="4" w:space="0" w:color="000000"/>
            </w:tcBorders>
            <w:vAlign w:val="center"/>
          </w:tcPr>
          <w:p w:rsidR="00E11EFE" w:rsidRPr="0068094B" w:rsidRDefault="00E11EFE" w:rsidP="007959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(26,393)</w:t>
            </w:r>
          </w:p>
        </w:tc>
        <w:tc>
          <w:tcPr>
            <w:tcW w:w="1417" w:type="dxa"/>
            <w:tcBorders>
              <w:top w:val="single" w:sz="4" w:space="0" w:color="000000"/>
              <w:bottom w:val="single" w:sz="4" w:space="0" w:color="000000"/>
            </w:tcBorders>
            <w:vAlign w:val="center"/>
          </w:tcPr>
          <w:p w:rsidR="00E11EFE" w:rsidRPr="0068094B" w:rsidRDefault="00E11EFE" w:rsidP="004159A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(26,393)</w:t>
            </w:r>
          </w:p>
        </w:tc>
        <w:tc>
          <w:tcPr>
            <w:tcW w:w="5671" w:type="dxa"/>
            <w:shd w:val="clear" w:color="auto" w:fill="auto"/>
            <w:vAlign w:val="center"/>
          </w:tcPr>
          <w:p w:rsidR="00E11EFE" w:rsidRPr="0068094B" w:rsidRDefault="00E11EF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sz w:val="22"/>
                <w:szCs w:val="22"/>
              </w:rPr>
            </w:pPr>
          </w:p>
        </w:tc>
        <w:tc>
          <w:tcPr>
            <w:tcW w:w="1417" w:type="dxa"/>
            <w:tcBorders>
              <w:top w:val="single" w:sz="4" w:space="0" w:color="000000"/>
              <w:bottom w:val="single" w:sz="4" w:space="0" w:color="000000"/>
            </w:tcBorders>
            <w:shd w:val="clear" w:color="auto" w:fill="D9D9D9" w:themeFill="background1" w:themeFillShade="D9"/>
            <w:vAlign w:val="center"/>
          </w:tcPr>
          <w:p w:rsidR="00E11EFE" w:rsidRPr="00D16CC2" w:rsidRDefault="00772468" w:rsidP="00120EB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tcBorders>
              <w:top w:val="single" w:sz="4" w:space="0" w:color="000000"/>
              <w:bottom w:val="single" w:sz="4" w:space="0" w:color="000000"/>
            </w:tcBorders>
            <w:shd w:val="clear" w:color="auto" w:fill="D9D9D9" w:themeFill="background1" w:themeFillShade="D9"/>
            <w:vAlign w:val="center"/>
          </w:tcPr>
          <w:p w:rsidR="00E11EFE" w:rsidRPr="00D16CC2" w:rsidRDefault="00772468" w:rsidP="005B097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(20,997)</w:t>
            </w:r>
          </w:p>
        </w:tc>
        <w:tc>
          <w:tcPr>
            <w:tcW w:w="1418" w:type="dxa"/>
            <w:tcBorders>
              <w:top w:val="single" w:sz="4" w:space="0" w:color="000000"/>
              <w:bottom w:val="single" w:sz="4" w:space="0" w:color="000000"/>
            </w:tcBorders>
            <w:shd w:val="clear" w:color="auto" w:fill="D9D9D9" w:themeFill="background1" w:themeFillShade="D9"/>
            <w:vAlign w:val="center"/>
          </w:tcPr>
          <w:p w:rsidR="00E11EFE" w:rsidRPr="00D16CC2" w:rsidRDefault="00772468" w:rsidP="005B097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(20,997)</w:t>
            </w:r>
          </w:p>
        </w:tc>
      </w:tr>
      <w:tr w:rsidR="00E11EFE" w:rsidRPr="0068094B" w:rsidTr="003B1D1C">
        <w:trPr>
          <w:trHeight w:val="340"/>
        </w:trPr>
        <w:tc>
          <w:tcPr>
            <w:tcW w:w="1560" w:type="dxa"/>
            <w:tcBorders>
              <w:top w:val="single" w:sz="8" w:space="0" w:color="000000"/>
              <w:bottom w:val="single" w:sz="8" w:space="0" w:color="000000"/>
            </w:tcBorders>
            <w:vAlign w:val="center"/>
          </w:tcPr>
          <w:p w:rsidR="00E11EFE" w:rsidRPr="0068094B" w:rsidRDefault="00E11EFE" w:rsidP="007A14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77,362</w:t>
            </w:r>
          </w:p>
        </w:tc>
        <w:tc>
          <w:tcPr>
            <w:tcW w:w="1559" w:type="dxa"/>
            <w:tcBorders>
              <w:top w:val="single" w:sz="8" w:space="0" w:color="000000"/>
              <w:bottom w:val="single" w:sz="8" w:space="0" w:color="000000"/>
            </w:tcBorders>
            <w:vAlign w:val="center"/>
          </w:tcPr>
          <w:p w:rsidR="00E11EFE" w:rsidRPr="0068094B" w:rsidRDefault="00E11EFE" w:rsidP="007A14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(87,405)</w:t>
            </w:r>
          </w:p>
        </w:tc>
        <w:tc>
          <w:tcPr>
            <w:tcW w:w="1417" w:type="dxa"/>
            <w:tcBorders>
              <w:top w:val="single" w:sz="8" w:space="0" w:color="000000"/>
              <w:bottom w:val="single" w:sz="8" w:space="0" w:color="000000"/>
            </w:tcBorders>
            <w:vAlign w:val="center"/>
          </w:tcPr>
          <w:p w:rsidR="00E11EFE" w:rsidRPr="0068094B" w:rsidRDefault="00E11EFE" w:rsidP="004159A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(10,043)</w:t>
            </w:r>
          </w:p>
        </w:tc>
        <w:tc>
          <w:tcPr>
            <w:tcW w:w="5671" w:type="dxa"/>
            <w:shd w:val="clear" w:color="auto" w:fill="auto"/>
            <w:vAlign w:val="center"/>
          </w:tcPr>
          <w:p w:rsidR="00E11EFE" w:rsidRPr="0068094B" w:rsidRDefault="00E11EF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(Surplus) or Deficit on Provision of Services</w:t>
            </w:r>
          </w:p>
        </w:tc>
        <w:tc>
          <w:tcPr>
            <w:tcW w:w="1417" w:type="dxa"/>
            <w:tcBorders>
              <w:top w:val="single" w:sz="8" w:space="0" w:color="000000"/>
              <w:bottom w:val="single" w:sz="8" w:space="0" w:color="000000"/>
            </w:tcBorders>
            <w:shd w:val="clear" w:color="auto" w:fill="D9D9D9" w:themeFill="background1" w:themeFillShade="D9"/>
            <w:vAlign w:val="center"/>
          </w:tcPr>
          <w:p w:rsidR="00E11EFE" w:rsidRPr="00C24975" w:rsidRDefault="00126E0B" w:rsidP="000B35E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76,</w:t>
            </w:r>
            <w:r w:rsidR="000B35EF" w:rsidRPr="00C24975">
              <w:rPr>
                <w:rFonts w:asciiTheme="minorHAnsi" w:hAnsiTheme="minorHAnsi" w:cstheme="minorHAnsi"/>
                <w:sz w:val="22"/>
                <w:szCs w:val="22"/>
              </w:rPr>
              <w:t>892</w:t>
            </w:r>
          </w:p>
        </w:tc>
        <w:tc>
          <w:tcPr>
            <w:tcW w:w="1134" w:type="dxa"/>
            <w:tcBorders>
              <w:top w:val="single" w:sz="8" w:space="0" w:color="000000"/>
              <w:bottom w:val="single" w:sz="8" w:space="0" w:color="000000"/>
            </w:tcBorders>
            <w:shd w:val="clear" w:color="auto" w:fill="D9D9D9" w:themeFill="background1" w:themeFillShade="D9"/>
            <w:vAlign w:val="center"/>
          </w:tcPr>
          <w:p w:rsidR="00E11EFE" w:rsidRPr="00C24975" w:rsidRDefault="00BE3818" w:rsidP="00804C2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(74,</w:t>
            </w:r>
            <w:r w:rsidR="00AC6028" w:rsidRPr="00C24975">
              <w:rPr>
                <w:rFonts w:asciiTheme="minorHAnsi" w:hAnsiTheme="minorHAnsi" w:cstheme="minorHAnsi"/>
                <w:sz w:val="22"/>
                <w:szCs w:val="22"/>
              </w:rPr>
              <w:t>5</w:t>
            </w:r>
            <w:r w:rsidR="00741D6C" w:rsidRPr="00C24975">
              <w:rPr>
                <w:rFonts w:asciiTheme="minorHAnsi" w:hAnsiTheme="minorHAnsi" w:cstheme="minorHAnsi"/>
                <w:sz w:val="22"/>
                <w:szCs w:val="22"/>
              </w:rPr>
              <w:t>0</w:t>
            </w:r>
            <w:r w:rsidR="00804C2F" w:rsidRPr="00C24975">
              <w:rPr>
                <w:rFonts w:asciiTheme="minorHAnsi" w:hAnsiTheme="minorHAnsi" w:cstheme="minorHAnsi"/>
                <w:sz w:val="22"/>
                <w:szCs w:val="22"/>
              </w:rPr>
              <w:t>5</w:t>
            </w:r>
            <w:r w:rsidRPr="00C24975">
              <w:rPr>
                <w:rFonts w:asciiTheme="minorHAnsi" w:hAnsiTheme="minorHAnsi" w:cstheme="minorHAnsi"/>
                <w:sz w:val="22"/>
                <w:szCs w:val="22"/>
              </w:rPr>
              <w:t>)</w:t>
            </w:r>
          </w:p>
        </w:tc>
        <w:tc>
          <w:tcPr>
            <w:tcW w:w="1418" w:type="dxa"/>
            <w:tcBorders>
              <w:top w:val="single" w:sz="8" w:space="0" w:color="000000"/>
              <w:bottom w:val="single" w:sz="8" w:space="0" w:color="000000"/>
            </w:tcBorders>
            <w:shd w:val="clear" w:color="auto" w:fill="D9D9D9" w:themeFill="background1" w:themeFillShade="D9"/>
            <w:vAlign w:val="center"/>
          </w:tcPr>
          <w:p w:rsidR="00E11EFE" w:rsidRPr="00C24975" w:rsidRDefault="00126E0B" w:rsidP="000B35E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2,</w:t>
            </w:r>
            <w:r w:rsidR="000B35EF" w:rsidRPr="00C24975">
              <w:rPr>
                <w:rFonts w:asciiTheme="minorHAnsi" w:hAnsiTheme="minorHAnsi" w:cstheme="minorHAnsi"/>
                <w:sz w:val="22"/>
                <w:szCs w:val="22"/>
              </w:rPr>
              <w:t>387</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rsidR="00E11EFE" w:rsidRPr="0068094B" w:rsidRDefault="00E11EFE" w:rsidP="003D31C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rsidR="00E11EFE" w:rsidRPr="0068094B" w:rsidRDefault="00E11EFE" w:rsidP="003D31C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rsidR="00E11EFE" w:rsidRPr="00221DC1" w:rsidRDefault="00E11EFE" w:rsidP="00221DC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r w:rsidRPr="00221DC1">
              <w:rPr>
                <w:rFonts w:asciiTheme="minorHAnsi" w:hAnsiTheme="minorHAnsi" w:cstheme="minorHAnsi"/>
                <w:bCs/>
                <w:sz w:val="22"/>
                <w:szCs w:val="22"/>
              </w:rPr>
              <w:t>Items that will not reclassified to the (surplus) or deficit on the Provision of Services</w:t>
            </w:r>
          </w:p>
        </w:tc>
        <w:tc>
          <w:tcPr>
            <w:tcW w:w="1417" w:type="dxa"/>
            <w:shd w:val="clear" w:color="auto" w:fill="D9D9D9" w:themeFill="background1" w:themeFillShade="D9"/>
            <w:vAlign w:val="center"/>
          </w:tcPr>
          <w:p w:rsidR="00E11EFE" w:rsidRPr="00C24975"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C24975"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C24975" w:rsidRDefault="00E11EFE" w:rsidP="002F48F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E11EFE" w:rsidRPr="0068094B" w:rsidTr="0044393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shd w:val="clear" w:color="auto" w:fill="auto"/>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(5,497)</w:t>
            </w:r>
          </w:p>
        </w:tc>
        <w:tc>
          <w:tcPr>
            <w:tcW w:w="5671" w:type="dxa"/>
            <w:vAlign w:val="center"/>
          </w:tcPr>
          <w:p w:rsidR="00E11EFE" w:rsidRPr="00221DC1" w:rsidRDefault="00E11EFE" w:rsidP="00A43D74">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 w:val="0"/>
                <w:bCs/>
                <w:sz w:val="22"/>
                <w:szCs w:val="22"/>
              </w:rPr>
            </w:pPr>
            <w:r w:rsidRPr="00221DC1">
              <w:rPr>
                <w:rFonts w:asciiTheme="minorHAnsi" w:hAnsiTheme="minorHAnsi" w:cstheme="minorHAnsi"/>
                <w:b w:val="0"/>
                <w:bCs/>
                <w:sz w:val="22"/>
                <w:szCs w:val="22"/>
              </w:rPr>
              <w:t>(Surplus</w:t>
            </w:r>
            <w:r>
              <w:rPr>
                <w:rFonts w:asciiTheme="minorHAnsi" w:hAnsiTheme="minorHAnsi" w:cstheme="minorHAnsi"/>
                <w:b w:val="0"/>
                <w:bCs/>
                <w:sz w:val="22"/>
                <w:szCs w:val="22"/>
              </w:rPr>
              <w:t xml:space="preserve">) or deficit on revaluation of non-current assets </w:t>
            </w:r>
            <w:r w:rsidRPr="00221DC1">
              <w:rPr>
                <w:rFonts w:asciiTheme="minorHAnsi" w:hAnsiTheme="minorHAnsi" w:cstheme="minorHAnsi"/>
                <w:b w:val="0"/>
                <w:bCs/>
                <w:sz w:val="22"/>
                <w:szCs w:val="22"/>
              </w:rPr>
              <w:t xml:space="preserve"> </w:t>
            </w:r>
          </w:p>
        </w:tc>
        <w:tc>
          <w:tcPr>
            <w:tcW w:w="1417" w:type="dxa"/>
            <w:shd w:val="clear" w:color="auto" w:fill="D9D9D9" w:themeFill="background1" w:themeFillShade="D9"/>
            <w:vAlign w:val="center"/>
          </w:tcPr>
          <w:p w:rsidR="00E11EFE" w:rsidRPr="00C24975"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C24975"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C24975" w:rsidRDefault="002E7ADB" w:rsidP="00FE7AD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(2,842)</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rsidR="00E11EFE" w:rsidRPr="00221DC1" w:rsidRDefault="00E11EFE" w:rsidP="00221DC1">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35"/>
              </w:tabs>
              <w:snapToGrid w:val="0"/>
              <w:ind w:left="35" w:hanging="35"/>
              <w:rPr>
                <w:rFonts w:asciiTheme="minorHAnsi" w:hAnsiTheme="minorHAnsi" w:cstheme="minorHAnsi"/>
                <w:b w:val="0"/>
                <w:bCs/>
                <w:sz w:val="22"/>
                <w:szCs w:val="22"/>
              </w:rPr>
            </w:pPr>
            <w:r w:rsidRPr="00221DC1">
              <w:rPr>
                <w:rFonts w:asciiTheme="minorHAnsi" w:hAnsiTheme="minorHAnsi" w:cstheme="minorHAnsi"/>
                <w:b w:val="0"/>
                <w:bCs/>
                <w:sz w:val="22"/>
                <w:szCs w:val="22"/>
              </w:rPr>
              <w:t>R</w:t>
            </w:r>
            <w:r>
              <w:rPr>
                <w:rFonts w:asciiTheme="minorHAnsi" w:hAnsiTheme="minorHAnsi" w:cstheme="minorHAnsi"/>
                <w:b w:val="0"/>
                <w:bCs/>
                <w:sz w:val="22"/>
                <w:szCs w:val="22"/>
              </w:rPr>
              <w:t>e-</w:t>
            </w:r>
            <w:r w:rsidRPr="00221DC1">
              <w:rPr>
                <w:rFonts w:asciiTheme="minorHAnsi" w:hAnsiTheme="minorHAnsi" w:cstheme="minorHAnsi"/>
                <w:b w:val="0"/>
                <w:bCs/>
                <w:sz w:val="22"/>
                <w:szCs w:val="22"/>
              </w:rPr>
              <w:t>measureme</w:t>
            </w:r>
            <w:r>
              <w:rPr>
                <w:rFonts w:asciiTheme="minorHAnsi" w:hAnsiTheme="minorHAnsi" w:cstheme="minorHAnsi"/>
                <w:b w:val="0"/>
                <w:bCs/>
                <w:sz w:val="22"/>
                <w:szCs w:val="22"/>
              </w:rPr>
              <w:t>n</w:t>
            </w:r>
            <w:r w:rsidRPr="00221DC1">
              <w:rPr>
                <w:rFonts w:asciiTheme="minorHAnsi" w:hAnsiTheme="minorHAnsi" w:cstheme="minorHAnsi"/>
                <w:b w:val="0"/>
                <w:bCs/>
                <w:sz w:val="22"/>
                <w:szCs w:val="22"/>
              </w:rPr>
              <w:t>t</w:t>
            </w:r>
            <w:r>
              <w:rPr>
                <w:rFonts w:asciiTheme="minorHAnsi" w:hAnsiTheme="minorHAnsi" w:cstheme="minorHAnsi"/>
                <w:b w:val="0"/>
                <w:bCs/>
                <w:sz w:val="22"/>
                <w:szCs w:val="22"/>
              </w:rPr>
              <w:t xml:space="preserve"> (gains) and losses on Pension Fund assets and liabilities: </w:t>
            </w:r>
            <w:r w:rsidRPr="00221DC1">
              <w:rPr>
                <w:rFonts w:asciiTheme="minorHAnsi" w:hAnsiTheme="minorHAnsi" w:cstheme="minorHAnsi"/>
                <w:b w:val="0"/>
                <w:bCs/>
                <w:sz w:val="22"/>
                <w:szCs w:val="22"/>
              </w:rPr>
              <w:t xml:space="preserve"> </w:t>
            </w:r>
          </w:p>
        </w:tc>
        <w:tc>
          <w:tcPr>
            <w:tcW w:w="1417" w:type="dxa"/>
            <w:shd w:val="clear" w:color="auto" w:fill="D9D9D9" w:themeFill="background1" w:themeFillShade="D9"/>
            <w:vAlign w:val="center"/>
          </w:tcPr>
          <w:p w:rsidR="00E11EFE" w:rsidRPr="00C24975"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C24975"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C24975" w:rsidRDefault="00E11EFE" w:rsidP="00E7136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14,109</w:t>
            </w:r>
          </w:p>
        </w:tc>
        <w:tc>
          <w:tcPr>
            <w:tcW w:w="5671" w:type="dxa"/>
            <w:vAlign w:val="center"/>
          </w:tcPr>
          <w:p w:rsidR="00E11EFE" w:rsidRPr="00221DC1" w:rsidRDefault="00E11EFE" w:rsidP="00A43D74">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Cs/>
                <w:sz w:val="22"/>
                <w:szCs w:val="22"/>
              </w:rPr>
            </w:pPr>
            <w:r w:rsidRPr="00221DC1">
              <w:rPr>
                <w:rFonts w:asciiTheme="minorHAnsi" w:hAnsiTheme="minorHAnsi" w:cstheme="minorHAnsi"/>
                <w:bCs/>
                <w:sz w:val="22"/>
                <w:szCs w:val="22"/>
              </w:rPr>
              <w:t xml:space="preserve">-  </w:t>
            </w:r>
            <w:r w:rsidRPr="00221DC1">
              <w:rPr>
                <w:rFonts w:asciiTheme="minorHAnsi" w:hAnsiTheme="minorHAnsi" w:cstheme="minorHAnsi"/>
                <w:b w:val="0"/>
                <w:bCs/>
                <w:sz w:val="22"/>
                <w:szCs w:val="22"/>
              </w:rPr>
              <w:t>Actuarial (gains)/losses on pension assets/liabilities</w:t>
            </w:r>
          </w:p>
        </w:tc>
        <w:tc>
          <w:tcPr>
            <w:tcW w:w="1417" w:type="dxa"/>
            <w:shd w:val="clear" w:color="auto" w:fill="D9D9D9" w:themeFill="background1" w:themeFillShade="D9"/>
            <w:vAlign w:val="center"/>
          </w:tcPr>
          <w:p w:rsidR="00E11EFE" w:rsidRPr="00C24975"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C24975"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C24975" w:rsidRDefault="001C7161" w:rsidP="000B35E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(40,</w:t>
            </w:r>
            <w:r w:rsidR="000B35EF" w:rsidRPr="00C24975">
              <w:rPr>
                <w:rFonts w:asciiTheme="minorHAnsi" w:hAnsiTheme="minorHAnsi" w:cstheme="minorHAnsi"/>
                <w:b w:val="0"/>
                <w:bCs/>
                <w:sz w:val="22"/>
                <w:szCs w:val="22"/>
              </w:rPr>
              <w:t>438</w:t>
            </w:r>
            <w:r w:rsidRPr="00C24975">
              <w:rPr>
                <w:rFonts w:asciiTheme="minorHAnsi" w:hAnsiTheme="minorHAnsi" w:cstheme="minorHAnsi"/>
                <w:b w:val="0"/>
                <w:bCs/>
                <w:sz w:val="22"/>
                <w:szCs w:val="22"/>
              </w:rPr>
              <w:t>)</w:t>
            </w:r>
          </w:p>
        </w:tc>
      </w:tr>
      <w:tr w:rsidR="00E11EFE" w:rsidRPr="0068094B" w:rsidTr="00602116">
        <w:trPr>
          <w:trHeight w:val="462"/>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(7,667)</w:t>
            </w:r>
          </w:p>
        </w:tc>
        <w:tc>
          <w:tcPr>
            <w:tcW w:w="5671" w:type="dxa"/>
            <w:vAlign w:val="center"/>
          </w:tcPr>
          <w:p w:rsidR="00E11EFE" w:rsidRPr="0068094B" w:rsidRDefault="00E11EFE" w:rsidP="008201A6">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75"/>
              </w:tabs>
              <w:snapToGrid w:val="0"/>
              <w:ind w:left="175" w:hanging="175"/>
              <w:rPr>
                <w:rFonts w:asciiTheme="minorHAnsi" w:hAnsiTheme="minorHAnsi" w:cstheme="minorHAnsi"/>
                <w:sz w:val="22"/>
                <w:szCs w:val="22"/>
              </w:rPr>
            </w:pPr>
            <w:r w:rsidRPr="0068094B">
              <w:rPr>
                <w:rFonts w:asciiTheme="minorHAnsi" w:hAnsiTheme="minorHAnsi" w:cstheme="minorHAnsi"/>
                <w:b w:val="0"/>
                <w:bCs/>
                <w:sz w:val="22"/>
                <w:szCs w:val="22"/>
              </w:rPr>
              <w:t>-  Return on Assets excluding amounts included in net interest</w:t>
            </w:r>
          </w:p>
        </w:tc>
        <w:tc>
          <w:tcPr>
            <w:tcW w:w="1417"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7D16A7" w:rsidRDefault="00D56BC2" w:rsidP="00D56BC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D16A7">
              <w:rPr>
                <w:rFonts w:asciiTheme="minorHAnsi" w:hAnsiTheme="minorHAnsi" w:cstheme="minorHAnsi"/>
                <w:b w:val="0"/>
                <w:bCs/>
                <w:sz w:val="22"/>
                <w:szCs w:val="22"/>
              </w:rPr>
              <w:t>9</w:t>
            </w:r>
            <w:r w:rsidR="001C7161" w:rsidRPr="007D16A7">
              <w:rPr>
                <w:rFonts w:asciiTheme="minorHAnsi" w:hAnsiTheme="minorHAnsi" w:cstheme="minorHAnsi"/>
                <w:b w:val="0"/>
                <w:bCs/>
                <w:sz w:val="22"/>
                <w:szCs w:val="22"/>
              </w:rPr>
              <w:t>,</w:t>
            </w:r>
            <w:r w:rsidRPr="007D16A7">
              <w:rPr>
                <w:rFonts w:asciiTheme="minorHAnsi" w:hAnsiTheme="minorHAnsi" w:cstheme="minorHAnsi"/>
                <w:b w:val="0"/>
                <w:bCs/>
                <w:sz w:val="22"/>
                <w:szCs w:val="22"/>
              </w:rPr>
              <w:t>454</w:t>
            </w: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rsidR="00E11EFE" w:rsidRPr="00221DC1" w:rsidRDefault="00E11EFE" w:rsidP="00221DC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spacing w:before="120" w:after="120"/>
              <w:ind w:left="0" w:firstLine="0"/>
              <w:rPr>
                <w:rFonts w:asciiTheme="minorHAnsi" w:hAnsiTheme="minorHAnsi" w:cstheme="minorHAnsi"/>
                <w:bCs/>
                <w:sz w:val="22"/>
                <w:szCs w:val="22"/>
              </w:rPr>
            </w:pPr>
            <w:r w:rsidRPr="00221DC1">
              <w:rPr>
                <w:rFonts w:asciiTheme="minorHAnsi" w:hAnsiTheme="minorHAnsi" w:cstheme="minorHAnsi"/>
                <w:bCs/>
                <w:sz w:val="22"/>
                <w:szCs w:val="22"/>
              </w:rPr>
              <w:t>Items that may be reclassified to the (surplus) or deficit on the Provision of Services</w:t>
            </w:r>
          </w:p>
        </w:tc>
        <w:tc>
          <w:tcPr>
            <w:tcW w:w="1417"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7D16A7"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E11EFE" w:rsidRPr="0068094B" w:rsidTr="00CB1F2D">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0</w:t>
            </w:r>
          </w:p>
        </w:tc>
        <w:tc>
          <w:tcPr>
            <w:tcW w:w="5671" w:type="dxa"/>
            <w:vAlign w:val="center"/>
          </w:tcPr>
          <w:p w:rsidR="00E11EFE" w:rsidRPr="00221DC1" w:rsidRDefault="00E11EFE" w:rsidP="005713F5">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7"/>
              </w:tabs>
              <w:snapToGrid w:val="0"/>
              <w:ind w:left="0" w:firstLine="0"/>
              <w:rPr>
                <w:rFonts w:asciiTheme="minorHAnsi" w:hAnsiTheme="minorHAnsi" w:cstheme="minorHAnsi"/>
                <w:b w:val="0"/>
                <w:bCs/>
                <w:sz w:val="22"/>
                <w:szCs w:val="22"/>
              </w:rPr>
            </w:pPr>
            <w:r w:rsidRPr="00221DC1">
              <w:rPr>
                <w:rFonts w:asciiTheme="minorHAnsi" w:hAnsiTheme="minorHAnsi" w:cstheme="minorHAnsi"/>
                <w:b w:val="0"/>
                <w:bCs/>
                <w:sz w:val="22"/>
                <w:szCs w:val="22"/>
              </w:rPr>
              <w:t>(Surplus) or deficit on re</w:t>
            </w:r>
            <w:r>
              <w:rPr>
                <w:rFonts w:asciiTheme="minorHAnsi" w:hAnsiTheme="minorHAnsi" w:cstheme="minorHAnsi"/>
                <w:b w:val="0"/>
                <w:bCs/>
                <w:sz w:val="22"/>
                <w:szCs w:val="22"/>
              </w:rPr>
              <w:t xml:space="preserve">valuation of available for sale </w:t>
            </w:r>
            <w:r w:rsidRPr="00221DC1">
              <w:rPr>
                <w:rFonts w:asciiTheme="minorHAnsi" w:hAnsiTheme="minorHAnsi" w:cstheme="minorHAnsi"/>
                <w:b w:val="0"/>
                <w:bCs/>
                <w:sz w:val="22"/>
                <w:szCs w:val="22"/>
              </w:rPr>
              <w:t>financial assets</w:t>
            </w:r>
          </w:p>
        </w:tc>
        <w:tc>
          <w:tcPr>
            <w:tcW w:w="1417"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rsidR="00E11EFE" w:rsidRPr="007D16A7" w:rsidRDefault="002E7ADB" w:rsidP="00256BE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D16A7">
              <w:rPr>
                <w:rFonts w:asciiTheme="minorHAnsi" w:hAnsiTheme="minorHAnsi" w:cstheme="minorHAnsi"/>
                <w:b w:val="0"/>
                <w:bCs/>
                <w:sz w:val="22"/>
                <w:szCs w:val="22"/>
              </w:rPr>
              <w:t>0</w:t>
            </w:r>
          </w:p>
        </w:tc>
      </w:tr>
      <w:tr w:rsidR="00E11EFE" w:rsidRPr="00C24975" w:rsidTr="003B1D1C">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top w:val="single" w:sz="8" w:space="0" w:color="000000"/>
              <w:bottom w:val="single" w:sz="8" w:space="0" w:color="000000"/>
            </w:tcBorders>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945</w:t>
            </w:r>
          </w:p>
        </w:tc>
        <w:tc>
          <w:tcPr>
            <w:tcW w:w="5671" w:type="dxa"/>
            <w:vAlign w:val="center"/>
          </w:tcPr>
          <w:p w:rsidR="00E11EFE" w:rsidRPr="005C1368" w:rsidRDefault="00E11EFE" w:rsidP="005C1368">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Cs/>
                <w:sz w:val="22"/>
                <w:szCs w:val="22"/>
              </w:rPr>
            </w:pPr>
            <w:r w:rsidRPr="005C1368">
              <w:rPr>
                <w:rFonts w:asciiTheme="minorHAnsi" w:hAnsiTheme="minorHAnsi" w:cstheme="minorHAnsi"/>
                <w:bCs/>
                <w:sz w:val="22"/>
                <w:szCs w:val="22"/>
              </w:rPr>
              <w:t>Other Comprehensive Income and Expenditure</w:t>
            </w:r>
          </w:p>
        </w:tc>
        <w:tc>
          <w:tcPr>
            <w:tcW w:w="1417"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bottom w:val="single" w:sz="8" w:space="0" w:color="000000"/>
            </w:tcBorders>
            <w:shd w:val="clear" w:color="auto" w:fill="D9D9D9" w:themeFill="background1" w:themeFillShade="D9"/>
            <w:vAlign w:val="center"/>
          </w:tcPr>
          <w:p w:rsidR="00E11EFE" w:rsidRPr="00C24975" w:rsidRDefault="00D80A9B" w:rsidP="000B35E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(33,</w:t>
            </w:r>
            <w:r w:rsidR="000B35EF" w:rsidRPr="00C24975">
              <w:rPr>
                <w:rFonts w:asciiTheme="minorHAnsi" w:hAnsiTheme="minorHAnsi" w:cstheme="minorHAnsi"/>
                <w:sz w:val="22"/>
                <w:szCs w:val="22"/>
              </w:rPr>
              <w:t>826</w:t>
            </w:r>
            <w:r w:rsidRPr="00C24975">
              <w:rPr>
                <w:rFonts w:asciiTheme="minorHAnsi" w:hAnsiTheme="minorHAnsi" w:cstheme="minorHAnsi"/>
                <w:sz w:val="22"/>
                <w:szCs w:val="22"/>
              </w:rPr>
              <w:t>)</w:t>
            </w:r>
          </w:p>
        </w:tc>
      </w:tr>
      <w:tr w:rsidR="00E11EFE" w:rsidRPr="00BD32CD" w:rsidTr="003B1D1C">
        <w:trPr>
          <w:trHeight w:val="340"/>
        </w:trPr>
        <w:tc>
          <w:tcPr>
            <w:tcW w:w="1560"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rsidR="00E11EFE" w:rsidRPr="0068094B" w:rsidRDefault="00E11EFE"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top w:val="single" w:sz="8" w:space="0" w:color="000000"/>
              <w:bottom w:val="double" w:sz="4" w:space="0" w:color="auto"/>
            </w:tcBorders>
            <w:vAlign w:val="center"/>
          </w:tcPr>
          <w:p w:rsidR="00E11EFE" w:rsidRPr="0068094B" w:rsidRDefault="00E11EFE" w:rsidP="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(9,098)</w:t>
            </w:r>
          </w:p>
        </w:tc>
        <w:tc>
          <w:tcPr>
            <w:tcW w:w="5671" w:type="dxa"/>
            <w:vAlign w:val="center"/>
          </w:tcPr>
          <w:p w:rsidR="00E11EFE" w:rsidRPr="0068094B" w:rsidRDefault="00E11EF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Total Comprehensive Income and Expenditure</w:t>
            </w:r>
          </w:p>
        </w:tc>
        <w:tc>
          <w:tcPr>
            <w:tcW w:w="1417"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E11EFE" w:rsidRPr="0068094B" w:rsidRDefault="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bottom w:val="double" w:sz="4" w:space="0" w:color="auto"/>
            </w:tcBorders>
            <w:shd w:val="clear" w:color="auto" w:fill="D9D9D9" w:themeFill="background1" w:themeFillShade="D9"/>
            <w:vAlign w:val="center"/>
          </w:tcPr>
          <w:p w:rsidR="00E11EFE" w:rsidRPr="007D16A7" w:rsidRDefault="00126E0B" w:rsidP="00804C2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7D16A7">
              <w:rPr>
                <w:rFonts w:asciiTheme="minorHAnsi" w:hAnsiTheme="minorHAnsi" w:cstheme="minorHAnsi"/>
                <w:sz w:val="22"/>
                <w:szCs w:val="22"/>
              </w:rPr>
              <w:t>(</w:t>
            </w:r>
            <w:r w:rsidR="002A0D81" w:rsidRPr="007D16A7">
              <w:rPr>
                <w:rFonts w:asciiTheme="minorHAnsi" w:hAnsiTheme="minorHAnsi" w:cstheme="minorHAnsi"/>
                <w:sz w:val="22"/>
                <w:szCs w:val="22"/>
              </w:rPr>
              <w:t>3</w:t>
            </w:r>
            <w:r w:rsidR="00D56BC2" w:rsidRPr="007D16A7">
              <w:rPr>
                <w:rFonts w:asciiTheme="minorHAnsi" w:hAnsiTheme="minorHAnsi" w:cstheme="minorHAnsi"/>
                <w:sz w:val="22"/>
                <w:szCs w:val="22"/>
              </w:rPr>
              <w:t>1</w:t>
            </w:r>
            <w:r w:rsidR="002A0D81" w:rsidRPr="007D16A7">
              <w:rPr>
                <w:rFonts w:asciiTheme="minorHAnsi" w:hAnsiTheme="minorHAnsi" w:cstheme="minorHAnsi"/>
                <w:sz w:val="22"/>
                <w:szCs w:val="22"/>
              </w:rPr>
              <w:t>,</w:t>
            </w:r>
            <w:r w:rsidR="00D56BC2" w:rsidRPr="007D16A7">
              <w:rPr>
                <w:rFonts w:asciiTheme="minorHAnsi" w:hAnsiTheme="minorHAnsi" w:cstheme="minorHAnsi"/>
                <w:sz w:val="22"/>
                <w:szCs w:val="22"/>
              </w:rPr>
              <w:t>4</w:t>
            </w:r>
            <w:r w:rsidR="00804C2F" w:rsidRPr="007D16A7">
              <w:rPr>
                <w:rFonts w:asciiTheme="minorHAnsi" w:hAnsiTheme="minorHAnsi" w:cstheme="minorHAnsi"/>
                <w:sz w:val="22"/>
                <w:szCs w:val="22"/>
              </w:rPr>
              <w:t>39</w:t>
            </w:r>
            <w:r w:rsidRPr="007D16A7">
              <w:rPr>
                <w:rFonts w:asciiTheme="minorHAnsi" w:hAnsiTheme="minorHAnsi" w:cstheme="minorHAnsi"/>
                <w:sz w:val="22"/>
                <w:szCs w:val="22"/>
              </w:rPr>
              <w:t>)</w:t>
            </w:r>
          </w:p>
        </w:tc>
      </w:tr>
      <w:tr w:rsidR="00E11EFE" w:rsidRPr="0068094B" w:rsidTr="00CB1F2D">
        <w:trPr>
          <w:cantSplit/>
          <w:trHeight w:val="340"/>
        </w:trPr>
        <w:tc>
          <w:tcPr>
            <w:tcW w:w="14176" w:type="dxa"/>
            <w:gridSpan w:val="7"/>
            <w:vAlign w:val="center"/>
          </w:tcPr>
          <w:p w:rsidR="00E11EFE" w:rsidRPr="0068094B" w:rsidRDefault="00E11EFE" w:rsidP="00987526">
            <w:pPr>
              <w:tabs>
                <w:tab w:val="left" w:pos="318"/>
                <w:tab w:val="left" w:pos="7110"/>
                <w:tab w:val="left" w:pos="7650"/>
                <w:tab w:val="left" w:pos="8550"/>
              </w:tabs>
              <w:ind w:right="-64"/>
              <w:rPr>
                <w:rFonts w:asciiTheme="minorHAnsi" w:hAnsiTheme="minorHAnsi" w:cstheme="minorHAnsi"/>
                <w:sz w:val="22"/>
                <w:szCs w:val="22"/>
              </w:rPr>
            </w:pPr>
          </w:p>
        </w:tc>
      </w:tr>
    </w:tbl>
    <w:p w:rsidR="00311E44" w:rsidRDefault="00311E44" w:rsidP="00650803">
      <w:pPr>
        <w:tabs>
          <w:tab w:val="left" w:pos="318"/>
          <w:tab w:val="left" w:pos="7110"/>
          <w:tab w:val="left" w:pos="7650"/>
          <w:tab w:val="left" w:pos="8550"/>
        </w:tabs>
        <w:spacing w:after="600"/>
        <w:ind w:right="-62"/>
        <w:rPr>
          <w:rFonts w:asciiTheme="minorHAnsi" w:hAnsiTheme="minorHAnsi" w:cstheme="minorHAnsi"/>
          <w:sz w:val="22"/>
          <w:szCs w:val="22"/>
        </w:rPr>
      </w:pPr>
    </w:p>
    <w:p w:rsidR="00A510FC" w:rsidRPr="0068094B" w:rsidRDefault="00E11EFE" w:rsidP="00DC7089">
      <w:pPr>
        <w:tabs>
          <w:tab w:val="left" w:pos="318"/>
          <w:tab w:val="left" w:pos="7110"/>
          <w:tab w:val="left" w:pos="7650"/>
          <w:tab w:val="left" w:pos="8550"/>
        </w:tabs>
        <w:ind w:right="-64"/>
        <w:rPr>
          <w:rFonts w:asciiTheme="minorHAnsi" w:hAnsiTheme="minorHAnsi" w:cstheme="minorHAnsi"/>
          <w:sz w:val="22"/>
          <w:szCs w:val="22"/>
        </w:rPr>
        <w:sectPr w:rsidR="00A510FC" w:rsidRPr="0068094B" w:rsidSect="00420C36">
          <w:headerReference w:type="even" r:id="rId34"/>
          <w:headerReference w:type="default" r:id="rId35"/>
          <w:footerReference w:type="even" r:id="rId36"/>
          <w:footerReference w:type="default" r:id="rId37"/>
          <w:headerReference w:type="first" r:id="rId38"/>
          <w:footerReference w:type="first" r:id="rId39"/>
          <w:footnotePr>
            <w:pos w:val="beneathText"/>
          </w:footnotePr>
          <w:pgSz w:w="16838" w:h="11906" w:orient="landscape"/>
          <w:pgMar w:top="568" w:right="851" w:bottom="1736" w:left="1418" w:header="284" w:footer="576" w:gutter="0"/>
          <w:cols w:space="720"/>
          <w:docGrid w:linePitch="360"/>
        </w:sectPr>
      </w:pPr>
      <w:r>
        <w:rPr>
          <w:rFonts w:asciiTheme="minorHAnsi" w:hAnsiTheme="minorHAnsi" w:cstheme="minorHAnsi"/>
          <w:sz w:val="22"/>
          <w:szCs w:val="22"/>
        </w:rPr>
        <w:t xml:space="preserve">Following the District Council elections in May 2019 the Council’s Portfolios were reorganised. </w:t>
      </w:r>
      <w:r w:rsidR="00311E44">
        <w:rPr>
          <w:rFonts w:asciiTheme="minorHAnsi" w:hAnsiTheme="minorHAnsi" w:cstheme="minorHAnsi"/>
          <w:sz w:val="22"/>
          <w:szCs w:val="22"/>
        </w:rPr>
        <w:t xml:space="preserve"> </w:t>
      </w:r>
      <w:r w:rsidR="00F821B6">
        <w:rPr>
          <w:rFonts w:asciiTheme="minorHAnsi" w:hAnsiTheme="minorHAnsi" w:cstheme="minorHAnsi"/>
          <w:sz w:val="22"/>
          <w:szCs w:val="22"/>
        </w:rPr>
        <w:t xml:space="preserve"> The comparator</w:t>
      </w:r>
      <w:r>
        <w:rPr>
          <w:rFonts w:asciiTheme="minorHAnsi" w:hAnsiTheme="minorHAnsi" w:cstheme="minorHAnsi"/>
          <w:sz w:val="22"/>
          <w:szCs w:val="22"/>
        </w:rPr>
        <w:t>s</w:t>
      </w:r>
      <w:r w:rsidR="00F821B6">
        <w:rPr>
          <w:rFonts w:asciiTheme="minorHAnsi" w:hAnsiTheme="minorHAnsi" w:cstheme="minorHAnsi"/>
          <w:sz w:val="22"/>
          <w:szCs w:val="22"/>
        </w:rPr>
        <w:t xml:space="preserve"> </w:t>
      </w:r>
      <w:r w:rsidR="00311E44">
        <w:rPr>
          <w:rFonts w:asciiTheme="minorHAnsi" w:hAnsiTheme="minorHAnsi" w:cstheme="minorHAnsi"/>
          <w:sz w:val="22"/>
          <w:szCs w:val="22"/>
        </w:rPr>
        <w:t>for 201</w:t>
      </w:r>
      <w:r>
        <w:rPr>
          <w:rFonts w:asciiTheme="minorHAnsi" w:hAnsiTheme="minorHAnsi" w:cstheme="minorHAnsi"/>
          <w:sz w:val="22"/>
          <w:szCs w:val="22"/>
        </w:rPr>
        <w:t>8</w:t>
      </w:r>
      <w:r w:rsidR="00311E44">
        <w:rPr>
          <w:rFonts w:asciiTheme="minorHAnsi" w:hAnsiTheme="minorHAnsi" w:cstheme="minorHAnsi"/>
          <w:sz w:val="22"/>
          <w:szCs w:val="22"/>
        </w:rPr>
        <w:t>-1</w:t>
      </w:r>
      <w:r>
        <w:rPr>
          <w:rFonts w:asciiTheme="minorHAnsi" w:hAnsiTheme="minorHAnsi" w:cstheme="minorHAnsi"/>
          <w:sz w:val="22"/>
          <w:szCs w:val="22"/>
        </w:rPr>
        <w:t>9</w:t>
      </w:r>
      <w:r w:rsidR="00311E44">
        <w:rPr>
          <w:rFonts w:asciiTheme="minorHAnsi" w:hAnsiTheme="minorHAnsi" w:cstheme="minorHAnsi"/>
          <w:sz w:val="22"/>
          <w:szCs w:val="22"/>
        </w:rPr>
        <w:t xml:space="preserve"> </w:t>
      </w:r>
      <w:r w:rsidR="00F821B6">
        <w:rPr>
          <w:rFonts w:asciiTheme="minorHAnsi" w:hAnsiTheme="minorHAnsi" w:cstheme="minorHAnsi"/>
          <w:sz w:val="22"/>
          <w:szCs w:val="22"/>
        </w:rPr>
        <w:t>ha</w:t>
      </w:r>
      <w:r>
        <w:rPr>
          <w:rFonts w:asciiTheme="minorHAnsi" w:hAnsiTheme="minorHAnsi" w:cstheme="minorHAnsi"/>
          <w:sz w:val="22"/>
          <w:szCs w:val="22"/>
        </w:rPr>
        <w:t>ve</w:t>
      </w:r>
      <w:r w:rsidR="00F821B6">
        <w:rPr>
          <w:rFonts w:asciiTheme="minorHAnsi" w:hAnsiTheme="minorHAnsi" w:cstheme="minorHAnsi"/>
          <w:sz w:val="22"/>
          <w:szCs w:val="22"/>
        </w:rPr>
        <w:t xml:space="preserve"> been updated to reflect </w:t>
      </w:r>
      <w:r>
        <w:rPr>
          <w:rFonts w:asciiTheme="minorHAnsi" w:hAnsiTheme="minorHAnsi" w:cstheme="minorHAnsi"/>
          <w:sz w:val="22"/>
          <w:szCs w:val="22"/>
        </w:rPr>
        <w:t xml:space="preserve">the changes in </w:t>
      </w:r>
      <w:r w:rsidR="004549F0">
        <w:rPr>
          <w:rFonts w:asciiTheme="minorHAnsi" w:hAnsiTheme="minorHAnsi" w:cstheme="minorHAnsi"/>
          <w:sz w:val="22"/>
          <w:szCs w:val="22"/>
        </w:rPr>
        <w:t xml:space="preserve">service </w:t>
      </w:r>
      <w:r>
        <w:rPr>
          <w:rFonts w:asciiTheme="minorHAnsi" w:hAnsiTheme="minorHAnsi" w:cstheme="minorHAnsi"/>
          <w:sz w:val="22"/>
          <w:szCs w:val="22"/>
        </w:rPr>
        <w:t>responsibilities that fall under each of the new portfolio headings.</w:t>
      </w:r>
      <w:r w:rsidR="00F821B6">
        <w:rPr>
          <w:rFonts w:asciiTheme="minorHAnsi" w:hAnsiTheme="minorHAnsi" w:cstheme="minorHAnsi"/>
          <w:sz w:val="22"/>
          <w:szCs w:val="22"/>
        </w:rPr>
        <w:t xml:space="preserve">  </w:t>
      </w:r>
      <w:r w:rsidR="00800F22">
        <w:rPr>
          <w:rFonts w:asciiTheme="minorHAnsi" w:hAnsiTheme="minorHAnsi" w:cstheme="minorHAnsi"/>
          <w:sz w:val="22"/>
          <w:szCs w:val="22"/>
        </w:rPr>
        <w:t>Th</w:t>
      </w:r>
      <w:r>
        <w:rPr>
          <w:rFonts w:asciiTheme="minorHAnsi" w:hAnsiTheme="minorHAnsi" w:cstheme="minorHAnsi"/>
          <w:sz w:val="22"/>
          <w:szCs w:val="22"/>
        </w:rPr>
        <w:t>e</w:t>
      </w:r>
      <w:r w:rsidR="00800F22">
        <w:rPr>
          <w:rFonts w:asciiTheme="minorHAnsi" w:hAnsiTheme="minorHAnsi" w:cstheme="minorHAnsi"/>
          <w:sz w:val="22"/>
          <w:szCs w:val="22"/>
        </w:rPr>
        <w:t>s</w:t>
      </w:r>
      <w:r>
        <w:rPr>
          <w:rFonts w:asciiTheme="minorHAnsi" w:hAnsiTheme="minorHAnsi" w:cstheme="minorHAnsi"/>
          <w:sz w:val="22"/>
          <w:szCs w:val="22"/>
        </w:rPr>
        <w:t>e</w:t>
      </w:r>
      <w:r w:rsidR="00800F22">
        <w:rPr>
          <w:rFonts w:asciiTheme="minorHAnsi" w:hAnsiTheme="minorHAnsi" w:cstheme="minorHAnsi"/>
          <w:sz w:val="22"/>
          <w:szCs w:val="22"/>
        </w:rPr>
        <w:t xml:space="preserve"> change</w:t>
      </w:r>
      <w:r>
        <w:rPr>
          <w:rFonts w:asciiTheme="minorHAnsi" w:hAnsiTheme="minorHAnsi" w:cstheme="minorHAnsi"/>
          <w:sz w:val="22"/>
          <w:szCs w:val="22"/>
        </w:rPr>
        <w:t>s</w:t>
      </w:r>
      <w:r w:rsidR="00800F22">
        <w:rPr>
          <w:rFonts w:asciiTheme="minorHAnsi" w:hAnsiTheme="minorHAnsi" w:cstheme="minorHAnsi"/>
          <w:sz w:val="22"/>
          <w:szCs w:val="22"/>
        </w:rPr>
        <w:t xml:space="preserve"> </w:t>
      </w:r>
      <w:r>
        <w:rPr>
          <w:rFonts w:asciiTheme="minorHAnsi" w:hAnsiTheme="minorHAnsi" w:cstheme="minorHAnsi"/>
          <w:sz w:val="22"/>
          <w:szCs w:val="22"/>
        </w:rPr>
        <w:t xml:space="preserve">are </w:t>
      </w:r>
      <w:r w:rsidR="00800F22">
        <w:rPr>
          <w:rFonts w:asciiTheme="minorHAnsi" w:hAnsiTheme="minorHAnsi" w:cstheme="minorHAnsi"/>
          <w:sz w:val="22"/>
          <w:szCs w:val="22"/>
        </w:rPr>
        <w:t>also reflected for the comparator figures in Notes 6 and 6a</w:t>
      </w:r>
      <w:r w:rsidR="00650803">
        <w:rPr>
          <w:rFonts w:asciiTheme="minorHAnsi" w:hAnsiTheme="minorHAnsi" w:cstheme="minorHAnsi"/>
          <w:sz w:val="22"/>
          <w:szCs w:val="22"/>
        </w:rPr>
        <w:t>.</w:t>
      </w:r>
      <w:r w:rsidR="00F821B6">
        <w:rPr>
          <w:rFonts w:asciiTheme="minorHAnsi" w:hAnsiTheme="minorHAnsi" w:cstheme="minorHAnsi"/>
          <w:sz w:val="22"/>
          <w:szCs w:val="22"/>
        </w:rPr>
        <w:t xml:space="preserve">  </w:t>
      </w:r>
    </w:p>
    <w:tbl>
      <w:tblPr>
        <w:tblW w:w="14176" w:type="dxa"/>
        <w:tblInd w:w="-34" w:type="dxa"/>
        <w:tblLayout w:type="fixed"/>
        <w:tblLook w:val="0000" w:firstRow="0" w:lastRow="0" w:firstColumn="0" w:lastColumn="0" w:noHBand="0" w:noVBand="0"/>
      </w:tblPr>
      <w:tblGrid>
        <w:gridCol w:w="14176"/>
      </w:tblGrid>
      <w:tr w:rsidR="00D87ED5" w:rsidRPr="0068094B" w:rsidTr="00CB6BFB">
        <w:trPr>
          <w:cantSplit/>
          <w:trHeight w:val="340"/>
        </w:trPr>
        <w:tc>
          <w:tcPr>
            <w:tcW w:w="14176" w:type="dxa"/>
            <w:vAlign w:val="center"/>
          </w:tcPr>
          <w:p w:rsidR="00D87ED5" w:rsidRPr="00CE7DF9" w:rsidRDefault="00CE7DF9" w:rsidP="00CE7DF9">
            <w:pPr>
              <w:tabs>
                <w:tab w:val="left" w:pos="318"/>
                <w:tab w:val="left" w:pos="7110"/>
                <w:tab w:val="left" w:pos="7650"/>
                <w:tab w:val="left" w:pos="8550"/>
              </w:tabs>
              <w:ind w:right="-64"/>
              <w:rPr>
                <w:rFonts w:asciiTheme="minorHAnsi" w:hAnsiTheme="minorHAnsi" w:cstheme="minorHAnsi"/>
                <w:b/>
                <w:szCs w:val="24"/>
              </w:rPr>
            </w:pPr>
            <w:r w:rsidRPr="00CE7DF9">
              <w:rPr>
                <w:rFonts w:asciiTheme="minorHAnsi" w:hAnsiTheme="minorHAnsi" w:cstheme="minorHAnsi"/>
                <w:b/>
                <w:szCs w:val="24"/>
              </w:rPr>
              <w:lastRenderedPageBreak/>
              <w:t>Balance Sheet</w:t>
            </w:r>
          </w:p>
        </w:tc>
      </w:tr>
    </w:tbl>
    <w:p w:rsidR="00BD0DF3" w:rsidRPr="0068094B" w:rsidRDefault="00BD0DF3" w:rsidP="00650803">
      <w:pPr>
        <w:widowControl/>
        <w:autoSpaceDE w:val="0"/>
        <w:spacing w:after="600"/>
        <w:rPr>
          <w:rFonts w:asciiTheme="minorHAnsi" w:hAnsiTheme="minorHAnsi" w:cstheme="minorHAnsi"/>
          <w:sz w:val="22"/>
          <w:szCs w:val="22"/>
        </w:rPr>
      </w:pPr>
    </w:p>
    <w:p w:rsidR="00183652" w:rsidRPr="0068094B" w:rsidRDefault="004A6511">
      <w:pPr>
        <w:widowControl/>
        <w:autoSpaceDE w:val="0"/>
        <w:rPr>
          <w:rFonts w:asciiTheme="minorHAnsi" w:hAnsiTheme="minorHAnsi" w:cstheme="minorHAnsi"/>
          <w:sz w:val="22"/>
          <w:szCs w:val="22"/>
        </w:rPr>
      </w:pPr>
      <w:r w:rsidRPr="0068094B">
        <w:rPr>
          <w:rFonts w:asciiTheme="minorHAnsi" w:hAnsiTheme="minorHAnsi" w:cstheme="minorHAnsi"/>
          <w:sz w:val="22"/>
          <w:szCs w:val="22"/>
        </w:rPr>
        <w:t xml:space="preserve">The Balance Sheet shows the value as at </w:t>
      </w:r>
      <w:r w:rsidR="00F76843" w:rsidRPr="0068094B">
        <w:rPr>
          <w:rFonts w:asciiTheme="minorHAnsi" w:hAnsiTheme="minorHAnsi" w:cstheme="minorHAnsi"/>
          <w:sz w:val="22"/>
          <w:szCs w:val="22"/>
        </w:rPr>
        <w:t>31 March 20</w:t>
      </w:r>
      <w:r w:rsidR="00D257F1">
        <w:rPr>
          <w:rFonts w:asciiTheme="minorHAnsi" w:hAnsiTheme="minorHAnsi" w:cstheme="minorHAnsi"/>
          <w:sz w:val="22"/>
          <w:szCs w:val="22"/>
        </w:rPr>
        <w:t>20</w:t>
      </w:r>
      <w:r w:rsidRPr="0068094B">
        <w:rPr>
          <w:rFonts w:asciiTheme="minorHAnsi" w:hAnsiTheme="minorHAnsi" w:cstheme="minorHAnsi"/>
          <w:sz w:val="22"/>
          <w:szCs w:val="22"/>
        </w:rPr>
        <w:t xml:space="preserve"> of the </w:t>
      </w:r>
      <w:r w:rsidR="00F76843" w:rsidRPr="0068094B">
        <w:rPr>
          <w:rFonts w:asciiTheme="minorHAnsi" w:hAnsiTheme="minorHAnsi" w:cstheme="minorHAnsi"/>
          <w:sz w:val="22"/>
          <w:szCs w:val="22"/>
        </w:rPr>
        <w:t xml:space="preserve">Council’s </w:t>
      </w:r>
      <w:r w:rsidRPr="0068094B">
        <w:rPr>
          <w:rFonts w:asciiTheme="minorHAnsi" w:hAnsiTheme="minorHAnsi" w:cstheme="minorHAnsi"/>
          <w:sz w:val="22"/>
          <w:szCs w:val="22"/>
        </w:rPr>
        <w:t>assets</w:t>
      </w:r>
      <w:r w:rsidR="00F76843" w:rsidRPr="0068094B">
        <w:rPr>
          <w:rFonts w:asciiTheme="minorHAnsi" w:hAnsiTheme="minorHAnsi" w:cstheme="minorHAnsi"/>
          <w:sz w:val="22"/>
          <w:szCs w:val="22"/>
        </w:rPr>
        <w:t xml:space="preserve"> and</w:t>
      </w:r>
      <w:r w:rsidRPr="0068094B">
        <w:rPr>
          <w:rFonts w:asciiTheme="minorHAnsi" w:hAnsiTheme="minorHAnsi" w:cstheme="minorHAnsi"/>
          <w:sz w:val="22"/>
          <w:szCs w:val="22"/>
        </w:rPr>
        <w:t xml:space="preserve"> liabilities</w:t>
      </w:r>
      <w:r w:rsidR="00F76843" w:rsidRPr="0068094B">
        <w:rPr>
          <w:rFonts w:asciiTheme="minorHAnsi" w:hAnsiTheme="minorHAnsi" w:cstheme="minorHAnsi"/>
          <w:sz w:val="22"/>
          <w:szCs w:val="22"/>
        </w:rPr>
        <w:t xml:space="preserve"> together with the reserves held by</w:t>
      </w:r>
      <w:r w:rsidRPr="0068094B">
        <w:rPr>
          <w:rFonts w:asciiTheme="minorHAnsi" w:hAnsiTheme="minorHAnsi" w:cstheme="minorHAnsi"/>
          <w:sz w:val="22"/>
          <w:szCs w:val="22"/>
        </w:rPr>
        <w:t xml:space="preserve"> the </w:t>
      </w:r>
      <w:r w:rsidR="00E16274" w:rsidRPr="0068094B">
        <w:rPr>
          <w:rFonts w:asciiTheme="minorHAnsi" w:hAnsiTheme="minorHAnsi" w:cstheme="minorHAnsi"/>
          <w:sz w:val="22"/>
          <w:szCs w:val="22"/>
        </w:rPr>
        <w:t>Council</w:t>
      </w:r>
      <w:r w:rsidR="00F76843" w:rsidRPr="0068094B">
        <w:rPr>
          <w:rFonts w:asciiTheme="minorHAnsi" w:hAnsiTheme="minorHAnsi" w:cstheme="minorHAnsi"/>
          <w:sz w:val="22"/>
          <w:szCs w:val="22"/>
        </w:rPr>
        <w:t>.</w:t>
      </w:r>
    </w:p>
    <w:p w:rsidR="00183652" w:rsidRPr="0068094B" w:rsidRDefault="00183652">
      <w:pPr>
        <w:tabs>
          <w:tab w:val="left" w:pos="-1440"/>
          <w:tab w:val="left" w:pos="-720"/>
          <w:tab w:val="left" w:pos="0"/>
          <w:tab w:val="decimal" w:pos="780"/>
        </w:tabs>
        <w:rPr>
          <w:rFonts w:asciiTheme="minorHAnsi" w:hAnsiTheme="minorHAnsi" w:cstheme="minorHAnsi"/>
          <w:b/>
          <w:sz w:val="22"/>
          <w:szCs w:val="22"/>
          <w:u w:val="single"/>
        </w:rPr>
      </w:pPr>
    </w:p>
    <w:p w:rsidR="003446B9" w:rsidRPr="0068094B" w:rsidRDefault="003446B9">
      <w:pPr>
        <w:tabs>
          <w:tab w:val="left" w:pos="-1440"/>
          <w:tab w:val="left" w:pos="-720"/>
          <w:tab w:val="left" w:pos="0"/>
          <w:tab w:val="decimal" w:pos="780"/>
        </w:tabs>
        <w:rPr>
          <w:rFonts w:asciiTheme="minorHAnsi" w:hAnsiTheme="minorHAnsi" w:cstheme="minorHAnsi"/>
          <w:b/>
          <w:sz w:val="22"/>
          <w:szCs w:val="22"/>
          <w:u w:val="single"/>
        </w:rPr>
      </w:pPr>
    </w:p>
    <w:tbl>
      <w:tblPr>
        <w:tblW w:w="8931" w:type="dxa"/>
        <w:tblInd w:w="-176" w:type="dxa"/>
        <w:tblLayout w:type="fixed"/>
        <w:tblLook w:val="0000" w:firstRow="0" w:lastRow="0" w:firstColumn="0" w:lastColumn="0" w:noHBand="0" w:noVBand="0"/>
      </w:tblPr>
      <w:tblGrid>
        <w:gridCol w:w="1277"/>
        <w:gridCol w:w="425"/>
        <w:gridCol w:w="4819"/>
        <w:gridCol w:w="1134"/>
        <w:gridCol w:w="1276"/>
      </w:tblGrid>
      <w:tr w:rsidR="00457F54" w:rsidRPr="0068094B" w:rsidTr="008201A6">
        <w:trPr>
          <w:trHeight w:val="452"/>
          <w:tblHeader/>
        </w:trPr>
        <w:tc>
          <w:tcPr>
            <w:tcW w:w="1277" w:type="dxa"/>
            <w:vAlign w:val="center"/>
          </w:tcPr>
          <w:p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w:t>
            </w:r>
          </w:p>
          <w:p w:rsidR="00457F54" w:rsidRPr="0068094B" w:rsidRDefault="000E1794" w:rsidP="00D257F1">
            <w:pPr>
              <w:pStyle w:val="Header"/>
              <w:tabs>
                <w:tab w:val="clear" w:pos="4320"/>
                <w:tab w:val="clear" w:pos="8640"/>
              </w:tabs>
              <w:jc w:val="right"/>
              <w:rPr>
                <w:rFonts w:asciiTheme="minorHAnsi" w:hAnsiTheme="minorHAnsi" w:cstheme="minorHAnsi"/>
                <w:b/>
                <w:bCs/>
                <w:sz w:val="22"/>
                <w:szCs w:val="22"/>
              </w:rPr>
            </w:pPr>
            <w:r w:rsidRPr="0068094B">
              <w:rPr>
                <w:rFonts w:asciiTheme="minorHAnsi" w:hAnsiTheme="minorHAnsi" w:cstheme="minorHAnsi"/>
                <w:b/>
                <w:bCs/>
                <w:sz w:val="22"/>
                <w:szCs w:val="22"/>
              </w:rPr>
              <w:t>201</w:t>
            </w:r>
            <w:r w:rsidR="00D257F1">
              <w:rPr>
                <w:rFonts w:asciiTheme="minorHAnsi" w:hAnsiTheme="minorHAnsi" w:cstheme="minorHAnsi"/>
                <w:b/>
                <w:bCs/>
                <w:sz w:val="22"/>
                <w:szCs w:val="22"/>
              </w:rPr>
              <w:t>9</w:t>
            </w:r>
          </w:p>
        </w:tc>
        <w:tc>
          <w:tcPr>
            <w:tcW w:w="425" w:type="dxa"/>
            <w:vAlign w:val="center"/>
          </w:tcPr>
          <w:p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rsidR="00457F54" w:rsidRPr="0068094B" w:rsidRDefault="00457F54">
            <w:pPr>
              <w:pStyle w:val="Header"/>
              <w:tabs>
                <w:tab w:val="clear" w:pos="4320"/>
                <w:tab w:val="clear" w:pos="8640"/>
              </w:tabs>
              <w:snapToGrid w:val="0"/>
              <w:jc w:val="right"/>
              <w:rPr>
                <w:rFonts w:asciiTheme="minorHAnsi" w:hAnsiTheme="minorHAnsi" w:cstheme="minorHAnsi"/>
                <w:sz w:val="22"/>
                <w:szCs w:val="22"/>
              </w:rPr>
            </w:pPr>
          </w:p>
          <w:p w:rsidR="00457F54" w:rsidRPr="0068094B" w:rsidRDefault="00457F54">
            <w:pPr>
              <w:pStyle w:val="Header"/>
              <w:tabs>
                <w:tab w:val="clear" w:pos="4320"/>
                <w:tab w:val="clear" w:pos="8640"/>
              </w:tabs>
              <w:jc w:val="center"/>
              <w:rPr>
                <w:rFonts w:asciiTheme="minorHAnsi" w:hAnsiTheme="minorHAnsi" w:cstheme="minorHAnsi"/>
                <w:b/>
                <w:bCs/>
                <w:sz w:val="22"/>
                <w:szCs w:val="22"/>
              </w:rPr>
            </w:pPr>
            <w:r w:rsidRPr="0068094B">
              <w:rPr>
                <w:rFonts w:asciiTheme="minorHAnsi" w:hAnsiTheme="minorHAnsi" w:cstheme="minorHAnsi"/>
                <w:b/>
                <w:bCs/>
                <w:sz w:val="22"/>
                <w:szCs w:val="22"/>
              </w:rPr>
              <w:t>Notes</w:t>
            </w:r>
          </w:p>
        </w:tc>
        <w:tc>
          <w:tcPr>
            <w:tcW w:w="1276" w:type="dxa"/>
            <w:shd w:val="clear" w:color="auto" w:fill="D9D9D9" w:themeFill="background1" w:themeFillShade="D9"/>
            <w:vAlign w:val="center"/>
          </w:tcPr>
          <w:p w:rsidR="00D34CF7"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31 March </w:t>
            </w:r>
          </w:p>
          <w:p w:rsidR="00457F54" w:rsidRPr="0068094B" w:rsidRDefault="00457F54" w:rsidP="00D257F1">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D257F1">
              <w:rPr>
                <w:rFonts w:asciiTheme="minorHAnsi" w:hAnsiTheme="minorHAnsi" w:cstheme="minorHAnsi"/>
                <w:b/>
                <w:bCs/>
                <w:sz w:val="22"/>
                <w:szCs w:val="22"/>
              </w:rPr>
              <w:t>20</w:t>
            </w:r>
          </w:p>
        </w:tc>
      </w:tr>
      <w:tr w:rsidR="00457F54" w:rsidRPr="0068094B" w:rsidTr="008201A6">
        <w:trPr>
          <w:trHeight w:val="335"/>
          <w:tblHeader/>
        </w:trPr>
        <w:tc>
          <w:tcPr>
            <w:tcW w:w="1277" w:type="dxa"/>
            <w:tcBorders>
              <w:bottom w:val="single" w:sz="4" w:space="0" w:color="000000"/>
            </w:tcBorders>
            <w:vAlign w:val="center"/>
          </w:tcPr>
          <w:p w:rsidR="00EB6518" w:rsidRPr="0068094B" w:rsidRDefault="00970B60" w:rsidP="000A2AD3">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00457F54" w:rsidRPr="0068094B">
              <w:rPr>
                <w:rFonts w:asciiTheme="minorHAnsi" w:hAnsiTheme="minorHAnsi" w:cstheme="minorHAnsi"/>
                <w:b/>
                <w:bCs/>
                <w:sz w:val="22"/>
                <w:szCs w:val="22"/>
              </w:rPr>
              <w:t>000</w:t>
            </w:r>
          </w:p>
        </w:tc>
        <w:tc>
          <w:tcPr>
            <w:tcW w:w="425" w:type="dxa"/>
            <w:vAlign w:val="center"/>
          </w:tcPr>
          <w:p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4819" w:type="dxa"/>
            <w:vAlign w:val="center"/>
          </w:tcPr>
          <w:p w:rsidR="00457F54" w:rsidRPr="0068094B" w:rsidRDefault="00457F54">
            <w:pPr>
              <w:pStyle w:val="Header"/>
              <w:keepNext/>
              <w:tabs>
                <w:tab w:val="clear" w:pos="4320"/>
                <w:tab w:val="clear" w:pos="8640"/>
              </w:tabs>
              <w:snapToGrid w:val="0"/>
              <w:jc w:val="right"/>
              <w:rPr>
                <w:rFonts w:asciiTheme="minorHAnsi" w:hAnsiTheme="minorHAnsi" w:cstheme="minorHAnsi"/>
                <w:b/>
                <w:bCs/>
                <w:sz w:val="22"/>
                <w:szCs w:val="22"/>
              </w:rPr>
            </w:pPr>
          </w:p>
        </w:tc>
        <w:tc>
          <w:tcPr>
            <w:tcW w:w="1134" w:type="dxa"/>
            <w:vAlign w:val="center"/>
          </w:tcPr>
          <w:p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1276" w:type="dxa"/>
            <w:tcBorders>
              <w:bottom w:val="single" w:sz="4" w:space="0" w:color="000000"/>
            </w:tcBorders>
            <w:shd w:val="clear" w:color="auto" w:fill="D9D9D9" w:themeFill="background1" w:themeFillShade="D9"/>
            <w:vAlign w:val="center"/>
          </w:tcPr>
          <w:p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457F54" w:rsidRPr="0068094B" w:rsidTr="008201A6">
        <w:trPr>
          <w:trHeight w:val="335"/>
        </w:trPr>
        <w:tc>
          <w:tcPr>
            <w:tcW w:w="1277" w:type="dxa"/>
            <w:vAlign w:val="center"/>
          </w:tcPr>
          <w:p w:rsidR="00457F54" w:rsidRPr="0068094B" w:rsidRDefault="00457F54">
            <w:pPr>
              <w:pStyle w:val="Header"/>
              <w:tabs>
                <w:tab w:val="clear" w:pos="4320"/>
                <w:tab w:val="clear" w:pos="8640"/>
              </w:tabs>
              <w:snapToGrid w:val="0"/>
              <w:jc w:val="right"/>
              <w:rPr>
                <w:rFonts w:asciiTheme="minorHAnsi" w:hAnsiTheme="minorHAnsi" w:cstheme="minorHAnsi"/>
                <w:color w:val="FF0000"/>
                <w:sz w:val="22"/>
                <w:szCs w:val="22"/>
              </w:rPr>
            </w:pPr>
          </w:p>
        </w:tc>
        <w:tc>
          <w:tcPr>
            <w:tcW w:w="425" w:type="dxa"/>
            <w:vAlign w:val="center"/>
          </w:tcPr>
          <w:p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457F54" w:rsidRPr="0068094B" w:rsidRDefault="00457F5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Property, Plant and Equipment</w:t>
            </w:r>
          </w:p>
        </w:tc>
        <w:tc>
          <w:tcPr>
            <w:tcW w:w="1134" w:type="dxa"/>
            <w:vAlign w:val="center"/>
          </w:tcPr>
          <w:p w:rsidR="00457F54" w:rsidRPr="0068094B" w:rsidRDefault="0099373A"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865A1F">
              <w:rPr>
                <w:rFonts w:asciiTheme="minorHAnsi" w:hAnsiTheme="minorHAnsi" w:cstheme="minorHAnsi"/>
                <w:sz w:val="22"/>
                <w:szCs w:val="22"/>
              </w:rPr>
              <w:t>1</w:t>
            </w:r>
          </w:p>
        </w:tc>
        <w:tc>
          <w:tcPr>
            <w:tcW w:w="1276" w:type="dxa"/>
            <w:shd w:val="clear" w:color="auto" w:fill="D9D9D9" w:themeFill="background1" w:themeFillShade="D9"/>
            <w:vAlign w:val="center"/>
          </w:tcPr>
          <w:p w:rsidR="00457F54" w:rsidRPr="0068094B" w:rsidRDefault="00457F54">
            <w:pPr>
              <w:pStyle w:val="Header"/>
              <w:tabs>
                <w:tab w:val="clear" w:pos="4320"/>
                <w:tab w:val="clear" w:pos="8640"/>
              </w:tabs>
              <w:snapToGrid w:val="0"/>
              <w:jc w:val="right"/>
              <w:rPr>
                <w:rFonts w:asciiTheme="minorHAnsi" w:hAnsiTheme="minorHAnsi" w:cstheme="minorHAnsi"/>
                <w:sz w:val="22"/>
                <w:szCs w:val="22"/>
              </w:rPr>
            </w:pPr>
          </w:p>
        </w:tc>
      </w:tr>
      <w:tr w:rsidR="00D257F1" w:rsidRPr="00893EA6" w:rsidTr="003B1D1C">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114,787</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743745" w:rsidRDefault="00D257F1" w:rsidP="007D7B32">
            <w:pPr>
              <w:pStyle w:val="Header"/>
              <w:numPr>
                <w:ilvl w:val="0"/>
                <w:numId w:val="30"/>
              </w:numPr>
              <w:tabs>
                <w:tab w:val="clear" w:pos="4320"/>
                <w:tab w:val="clear" w:pos="8640"/>
                <w:tab w:val="left" w:pos="289"/>
              </w:tabs>
              <w:snapToGrid w:val="0"/>
              <w:ind w:left="430" w:hanging="283"/>
              <w:rPr>
                <w:rFonts w:asciiTheme="minorHAnsi" w:hAnsiTheme="minorHAnsi" w:cstheme="minorHAnsi"/>
                <w:sz w:val="22"/>
                <w:szCs w:val="22"/>
              </w:rPr>
            </w:pPr>
            <w:r w:rsidRPr="00743745">
              <w:rPr>
                <w:rFonts w:asciiTheme="minorHAnsi" w:hAnsiTheme="minorHAnsi" w:cstheme="minorHAnsi"/>
                <w:sz w:val="22"/>
                <w:szCs w:val="22"/>
              </w:rPr>
              <w:t>Land and Buildings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462586" w:rsidP="005937D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117,000</w:t>
            </w:r>
          </w:p>
        </w:tc>
      </w:tr>
      <w:tr w:rsidR="00D257F1" w:rsidRPr="00893EA6"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5,855</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743745" w:rsidRDefault="00D257F1" w:rsidP="007D7B32">
            <w:pPr>
              <w:pStyle w:val="Header"/>
              <w:numPr>
                <w:ilvl w:val="0"/>
                <w:numId w:val="30"/>
              </w:numPr>
              <w:tabs>
                <w:tab w:val="clear" w:pos="4320"/>
                <w:tab w:val="clear" w:pos="8640"/>
                <w:tab w:val="left" w:pos="289"/>
              </w:tabs>
              <w:snapToGrid w:val="0"/>
              <w:ind w:left="289" w:hanging="142"/>
              <w:rPr>
                <w:rFonts w:asciiTheme="minorHAnsi" w:hAnsiTheme="minorHAnsi" w:cstheme="minorHAnsi"/>
                <w:sz w:val="22"/>
                <w:szCs w:val="22"/>
              </w:rPr>
            </w:pPr>
            <w:r w:rsidRPr="00743745">
              <w:rPr>
                <w:rFonts w:asciiTheme="minorHAnsi" w:hAnsiTheme="minorHAnsi" w:cstheme="minorHAnsi"/>
                <w:sz w:val="22"/>
                <w:szCs w:val="22"/>
              </w:rPr>
              <w:t xml:space="preserve">Vehicles, plant, furniture and equipment </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462586" w:rsidP="0023244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5,58</w:t>
            </w:r>
            <w:r w:rsidR="00232443">
              <w:rPr>
                <w:rFonts w:asciiTheme="minorHAnsi" w:hAnsiTheme="minorHAnsi" w:cstheme="minorHAnsi"/>
                <w:sz w:val="22"/>
                <w:szCs w:val="22"/>
              </w:rPr>
              <w:t>2</w:t>
            </w:r>
          </w:p>
        </w:tc>
      </w:tr>
      <w:tr w:rsidR="00D257F1" w:rsidRPr="0068094B" w:rsidTr="008201A6">
        <w:trPr>
          <w:trHeight w:val="481"/>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1,398</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rsidP="007D7B32">
            <w:pPr>
              <w:pStyle w:val="Header"/>
              <w:numPr>
                <w:ilvl w:val="0"/>
                <w:numId w:val="30"/>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Infrastructure</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232443"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1,152</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28</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rsidP="007D7B32">
            <w:pPr>
              <w:pStyle w:val="Header"/>
              <w:numPr>
                <w:ilvl w:val="0"/>
                <w:numId w:val="30"/>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Community Assets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1B5958"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28</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rsidP="007D7B32">
            <w:pPr>
              <w:pStyle w:val="Header"/>
              <w:numPr>
                <w:ilvl w:val="0"/>
                <w:numId w:val="30"/>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Assets under construction</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1B5958"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235</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3,143</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rsidP="007D7B32">
            <w:pPr>
              <w:pStyle w:val="Header"/>
              <w:numPr>
                <w:ilvl w:val="0"/>
                <w:numId w:val="30"/>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Surplus Assets not held for sale</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1B5958"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6,048</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15,033</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Investment Property</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2</w:t>
            </w:r>
          </w:p>
        </w:tc>
        <w:tc>
          <w:tcPr>
            <w:tcW w:w="1276" w:type="dxa"/>
            <w:shd w:val="clear" w:color="auto" w:fill="D9D9D9" w:themeFill="background1" w:themeFillShade="D9"/>
            <w:vAlign w:val="center"/>
          </w:tcPr>
          <w:p w:rsidR="00D257F1" w:rsidRPr="00D16CC2" w:rsidRDefault="001B5958" w:rsidP="00406438">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13,623</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Intangible Assets</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3</w:t>
            </w:r>
          </w:p>
        </w:tc>
        <w:tc>
          <w:tcPr>
            <w:tcW w:w="1276" w:type="dxa"/>
            <w:shd w:val="clear" w:color="auto" w:fill="D9D9D9" w:themeFill="background1" w:themeFillShade="D9"/>
            <w:vAlign w:val="center"/>
          </w:tcPr>
          <w:p w:rsidR="00D257F1" w:rsidRPr="00D16CC2" w:rsidRDefault="00D257F1" w:rsidP="00BC3107">
            <w:pPr>
              <w:pStyle w:val="Header"/>
              <w:tabs>
                <w:tab w:val="clear" w:pos="4320"/>
                <w:tab w:val="clear" w:pos="8640"/>
              </w:tabs>
              <w:snapToGrid w:val="0"/>
              <w:jc w:val="right"/>
              <w:rPr>
                <w:rFonts w:asciiTheme="minorHAnsi" w:hAnsiTheme="minorHAnsi" w:cstheme="minorHAnsi"/>
                <w:sz w:val="22"/>
                <w:szCs w:val="22"/>
              </w:rPr>
            </w:pP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367</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rsidP="007D7B32">
            <w:pPr>
              <w:pStyle w:val="Header"/>
              <w:numPr>
                <w:ilvl w:val="0"/>
                <w:numId w:val="30"/>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Software</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3F01BF" w:rsidP="003F01BF">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359</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rPr>
                <w:rFonts w:asciiTheme="minorHAnsi" w:hAnsiTheme="minorHAnsi" w:cstheme="minorHAnsi"/>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Heritage Asset</w:t>
            </w:r>
            <w:r w:rsidR="00650803">
              <w:rPr>
                <w:rFonts w:asciiTheme="minorHAnsi" w:hAnsiTheme="minorHAnsi" w:cstheme="minorHAnsi"/>
                <w:b/>
                <w:bCs/>
                <w:sz w:val="22"/>
                <w:szCs w:val="22"/>
              </w:rPr>
              <w:t>s</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4</w:t>
            </w:r>
          </w:p>
        </w:tc>
        <w:tc>
          <w:tcPr>
            <w:tcW w:w="1276" w:type="dxa"/>
            <w:shd w:val="clear" w:color="auto" w:fill="D9D9D9" w:themeFill="background1" w:themeFillShade="D9"/>
            <w:vAlign w:val="center"/>
          </w:tcPr>
          <w:p w:rsidR="00D257F1" w:rsidRPr="00D16CC2" w:rsidRDefault="00D257F1" w:rsidP="00BC3107">
            <w:pPr>
              <w:pStyle w:val="Header"/>
              <w:tabs>
                <w:tab w:val="clear" w:pos="4320"/>
                <w:tab w:val="clear" w:pos="8640"/>
              </w:tabs>
              <w:snapToGrid w:val="0"/>
              <w:rPr>
                <w:rFonts w:asciiTheme="minorHAnsi" w:hAnsiTheme="minorHAnsi" w:cstheme="minorHAnsi"/>
                <w:sz w:val="22"/>
                <w:szCs w:val="22"/>
              </w:rPr>
            </w:pP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6,757</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rsidP="007D7B32">
            <w:pPr>
              <w:pStyle w:val="Header"/>
              <w:numPr>
                <w:ilvl w:val="0"/>
                <w:numId w:val="42"/>
              </w:numPr>
              <w:tabs>
                <w:tab w:val="clear" w:pos="4320"/>
                <w:tab w:val="clear" w:pos="8640"/>
              </w:tabs>
              <w:snapToGrid w:val="0"/>
              <w:ind w:left="317" w:hanging="142"/>
              <w:rPr>
                <w:rFonts w:asciiTheme="minorHAnsi" w:hAnsiTheme="minorHAnsi" w:cstheme="minorHAnsi"/>
                <w:bCs/>
                <w:sz w:val="22"/>
                <w:szCs w:val="22"/>
              </w:rPr>
            </w:pPr>
            <w:r w:rsidRPr="0068094B">
              <w:rPr>
                <w:rFonts w:asciiTheme="minorHAnsi" w:hAnsiTheme="minorHAnsi" w:cstheme="minorHAnsi"/>
                <w:bCs/>
                <w:sz w:val="22"/>
                <w:szCs w:val="22"/>
              </w:rPr>
              <w:t>Tangible</w:t>
            </w:r>
          </w:p>
        </w:tc>
        <w:tc>
          <w:tcPr>
            <w:tcW w:w="1134" w:type="dxa"/>
            <w:vAlign w:val="center"/>
          </w:tcPr>
          <w:p w:rsidR="00D257F1" w:rsidRPr="0068094B" w:rsidRDefault="00D257F1" w:rsidP="00DE5C06">
            <w:pPr>
              <w:pStyle w:val="Header"/>
              <w:tabs>
                <w:tab w:val="clear" w:pos="4320"/>
                <w:tab w:val="clear" w:pos="8640"/>
              </w:tabs>
              <w:snapToGrid w:val="0"/>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3F01BF"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6,767</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22</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rsidP="007D7B32">
            <w:pPr>
              <w:pStyle w:val="Header"/>
              <w:numPr>
                <w:ilvl w:val="0"/>
                <w:numId w:val="43"/>
              </w:numPr>
              <w:tabs>
                <w:tab w:val="clear" w:pos="4320"/>
                <w:tab w:val="clear" w:pos="8640"/>
              </w:tabs>
              <w:snapToGrid w:val="0"/>
              <w:ind w:left="317" w:hanging="142"/>
              <w:rPr>
                <w:rFonts w:asciiTheme="minorHAnsi" w:hAnsiTheme="minorHAnsi" w:cstheme="minorHAnsi"/>
                <w:bCs/>
                <w:sz w:val="22"/>
                <w:szCs w:val="22"/>
              </w:rPr>
            </w:pPr>
            <w:r w:rsidRPr="0068094B">
              <w:rPr>
                <w:rFonts w:asciiTheme="minorHAnsi" w:hAnsiTheme="minorHAnsi" w:cstheme="minorHAnsi"/>
                <w:bCs/>
                <w:sz w:val="22"/>
                <w:szCs w:val="22"/>
              </w:rPr>
              <w:t xml:space="preserve"> Intangible</w:t>
            </w:r>
          </w:p>
        </w:tc>
        <w:tc>
          <w:tcPr>
            <w:tcW w:w="1134" w:type="dxa"/>
            <w:vAlign w:val="center"/>
          </w:tcPr>
          <w:p w:rsidR="00D257F1" w:rsidRPr="0068094B" w:rsidRDefault="00D257F1"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3F01BF"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22</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20,607</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 Term Investments</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5</w:t>
            </w:r>
          </w:p>
        </w:tc>
        <w:tc>
          <w:tcPr>
            <w:tcW w:w="1276" w:type="dxa"/>
            <w:shd w:val="clear" w:color="auto" w:fill="D9D9D9" w:themeFill="background1" w:themeFillShade="D9"/>
            <w:vAlign w:val="center"/>
          </w:tcPr>
          <w:p w:rsidR="00D257F1" w:rsidRPr="00D16CC2" w:rsidRDefault="00A77B75"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29,751</w:t>
            </w:r>
          </w:p>
        </w:tc>
      </w:tr>
      <w:tr w:rsidR="00D257F1" w:rsidRPr="0068094B" w:rsidTr="00743745">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Net Pensions Asset</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rsidR="00D257F1" w:rsidRPr="000B35EF" w:rsidRDefault="00ED5604" w:rsidP="009C4E4A">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20,</w:t>
            </w:r>
            <w:r w:rsidR="009C4E4A" w:rsidRPr="000B35EF">
              <w:rPr>
                <w:rFonts w:asciiTheme="minorHAnsi" w:hAnsiTheme="minorHAnsi" w:cstheme="minorHAnsi"/>
                <w:sz w:val="22"/>
                <w:szCs w:val="22"/>
              </w:rPr>
              <w:t>876</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1,137</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 Term Debtors</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5</w:t>
            </w:r>
          </w:p>
        </w:tc>
        <w:tc>
          <w:tcPr>
            <w:tcW w:w="1276" w:type="dxa"/>
            <w:shd w:val="clear" w:color="auto" w:fill="D9D9D9" w:themeFill="background1" w:themeFillShade="D9"/>
            <w:vAlign w:val="center"/>
          </w:tcPr>
          <w:p w:rsidR="00D257F1" w:rsidRPr="000B35EF" w:rsidRDefault="000978BC" w:rsidP="002A0D81">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1,0</w:t>
            </w:r>
            <w:r w:rsidR="002A0D81" w:rsidRPr="000B35EF">
              <w:rPr>
                <w:rFonts w:asciiTheme="minorHAnsi" w:hAnsiTheme="minorHAnsi" w:cstheme="minorHAnsi"/>
                <w:sz w:val="22"/>
                <w:szCs w:val="22"/>
              </w:rPr>
              <w:t>9</w:t>
            </w:r>
            <w:r w:rsidRPr="000B35EF">
              <w:rPr>
                <w:rFonts w:asciiTheme="minorHAnsi" w:hAnsiTheme="minorHAnsi" w:cstheme="minorHAnsi"/>
                <w:sz w:val="22"/>
                <w:szCs w:val="22"/>
              </w:rPr>
              <w:t>6</w:t>
            </w:r>
          </w:p>
        </w:tc>
      </w:tr>
      <w:tr w:rsidR="00D257F1" w:rsidRPr="00F44845" w:rsidTr="003B1D1C">
        <w:trPr>
          <w:trHeight w:val="335"/>
        </w:trPr>
        <w:tc>
          <w:tcPr>
            <w:tcW w:w="1277" w:type="dxa"/>
            <w:tcBorders>
              <w:top w:val="single" w:sz="4" w:space="0" w:color="000000"/>
            </w:tcBorders>
            <w:vAlign w:val="center"/>
          </w:tcPr>
          <w:p w:rsidR="00D257F1" w:rsidRPr="0068094B" w:rsidRDefault="00D257F1" w:rsidP="007A1FDA">
            <w:pPr>
              <w:pStyle w:val="Header"/>
              <w:tabs>
                <w:tab w:val="clear" w:pos="4320"/>
                <w:tab w:val="clear" w:pos="864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169,134</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Long-Term Assets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tcBorders>
              <w:top w:val="single" w:sz="4" w:space="0" w:color="000000"/>
            </w:tcBorders>
            <w:shd w:val="clear" w:color="auto" w:fill="D9D9D9" w:themeFill="background1" w:themeFillShade="D9"/>
            <w:vAlign w:val="center"/>
          </w:tcPr>
          <w:p w:rsidR="00D257F1" w:rsidRPr="000B35EF" w:rsidRDefault="000978BC" w:rsidP="009C4E4A">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20</w:t>
            </w:r>
            <w:r w:rsidR="009C4E4A" w:rsidRPr="000B35EF">
              <w:rPr>
                <w:rFonts w:asciiTheme="minorHAnsi" w:hAnsiTheme="minorHAnsi" w:cstheme="minorHAnsi"/>
                <w:b/>
                <w:bCs/>
                <w:sz w:val="22"/>
                <w:szCs w:val="22"/>
              </w:rPr>
              <w:t>2</w:t>
            </w:r>
            <w:r w:rsidRPr="000B35EF">
              <w:rPr>
                <w:rFonts w:asciiTheme="minorHAnsi" w:hAnsiTheme="minorHAnsi" w:cstheme="minorHAnsi"/>
                <w:b/>
                <w:bCs/>
                <w:sz w:val="22"/>
                <w:szCs w:val="22"/>
              </w:rPr>
              <w:t>,</w:t>
            </w:r>
            <w:r w:rsidR="009C4E4A" w:rsidRPr="000B35EF">
              <w:rPr>
                <w:rFonts w:asciiTheme="minorHAnsi" w:hAnsiTheme="minorHAnsi" w:cstheme="minorHAnsi"/>
                <w:b/>
                <w:bCs/>
                <w:sz w:val="22"/>
                <w:szCs w:val="22"/>
              </w:rPr>
              <w:t>539</w:t>
            </w:r>
          </w:p>
        </w:tc>
      </w:tr>
      <w:tr w:rsidR="00D257F1" w:rsidRPr="0068094B" w:rsidTr="008201A6">
        <w:trPr>
          <w:trHeight w:val="335"/>
        </w:trPr>
        <w:tc>
          <w:tcPr>
            <w:tcW w:w="1277" w:type="dxa"/>
            <w:vAlign w:val="center"/>
          </w:tcPr>
          <w:p w:rsidR="00D257F1" w:rsidRPr="0068094B" w:rsidRDefault="00D257F1">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rsidR="00D257F1" w:rsidRPr="000B35EF" w:rsidRDefault="00D257F1">
            <w:pPr>
              <w:pStyle w:val="Header"/>
              <w:tabs>
                <w:tab w:val="clear" w:pos="4320"/>
                <w:tab w:val="clear" w:pos="8640"/>
              </w:tabs>
              <w:snapToGrid w:val="0"/>
              <w:jc w:val="right"/>
              <w:rPr>
                <w:rFonts w:asciiTheme="minorHAnsi" w:hAnsiTheme="minorHAnsi" w:cstheme="minorHAnsi"/>
                <w:sz w:val="22"/>
                <w:szCs w:val="22"/>
              </w:rPr>
            </w:pPr>
          </w:p>
        </w:tc>
      </w:tr>
      <w:tr w:rsidR="00D257F1" w:rsidRPr="0068094B" w:rsidTr="008201A6">
        <w:trPr>
          <w:trHeight w:val="335"/>
        </w:trPr>
        <w:tc>
          <w:tcPr>
            <w:tcW w:w="1277" w:type="dxa"/>
            <w:vAlign w:val="center"/>
          </w:tcPr>
          <w:p w:rsidR="00D257F1" w:rsidRPr="0068094B" w:rsidRDefault="00D257F1">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Current Assets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rsidR="00D257F1" w:rsidRPr="000B35EF" w:rsidRDefault="00D257F1">
            <w:pPr>
              <w:pStyle w:val="Header"/>
              <w:tabs>
                <w:tab w:val="clear" w:pos="4320"/>
                <w:tab w:val="clear" w:pos="8640"/>
              </w:tabs>
              <w:snapToGrid w:val="0"/>
              <w:jc w:val="right"/>
              <w:rPr>
                <w:rFonts w:asciiTheme="minorHAnsi" w:hAnsiTheme="minorHAnsi" w:cstheme="minorHAnsi"/>
                <w:sz w:val="22"/>
                <w:szCs w:val="22"/>
              </w:rPr>
            </w:pP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39,145</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investments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rsidR="00D257F1" w:rsidRPr="000B35EF" w:rsidRDefault="00A77B75" w:rsidP="00F7183A">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35,123</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89</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Inventories</w:t>
            </w:r>
          </w:p>
        </w:tc>
        <w:tc>
          <w:tcPr>
            <w:tcW w:w="1134" w:type="dxa"/>
            <w:vAlign w:val="center"/>
          </w:tcPr>
          <w:p w:rsidR="00D257F1" w:rsidRPr="0068094B" w:rsidRDefault="00D257F1"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0B35EF" w:rsidRDefault="000978BC" w:rsidP="00D94C5C">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126</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13,364</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Debtors</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6</w:t>
            </w:r>
          </w:p>
        </w:tc>
        <w:tc>
          <w:tcPr>
            <w:tcW w:w="1276" w:type="dxa"/>
            <w:shd w:val="clear" w:color="auto" w:fill="D9D9D9" w:themeFill="background1" w:themeFillShade="D9"/>
            <w:vAlign w:val="center"/>
          </w:tcPr>
          <w:p w:rsidR="00D257F1" w:rsidRPr="000B35EF" w:rsidRDefault="002A0D81" w:rsidP="00531B6F">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8,</w:t>
            </w:r>
            <w:r w:rsidR="00531B6F" w:rsidRPr="000B35EF">
              <w:rPr>
                <w:rFonts w:asciiTheme="minorHAnsi" w:hAnsiTheme="minorHAnsi" w:cstheme="minorHAnsi"/>
                <w:sz w:val="22"/>
                <w:szCs w:val="22"/>
              </w:rPr>
              <w:t>269</w:t>
            </w:r>
          </w:p>
        </w:tc>
      </w:tr>
      <w:tr w:rsidR="00D257F1" w:rsidRPr="00531B6F"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4,862</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Cash and Cash Equivalents</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7</w:t>
            </w:r>
          </w:p>
        </w:tc>
        <w:tc>
          <w:tcPr>
            <w:tcW w:w="1276" w:type="dxa"/>
            <w:shd w:val="clear" w:color="auto" w:fill="D9D9D9" w:themeFill="background1" w:themeFillShade="D9"/>
            <w:vAlign w:val="center"/>
          </w:tcPr>
          <w:p w:rsidR="00D257F1" w:rsidRPr="000B35EF" w:rsidRDefault="000978BC" w:rsidP="00531B6F">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6,</w:t>
            </w:r>
            <w:r w:rsidR="00531B6F" w:rsidRPr="000B35EF">
              <w:rPr>
                <w:rFonts w:asciiTheme="minorHAnsi" w:hAnsiTheme="minorHAnsi" w:cstheme="minorHAnsi"/>
                <w:sz w:val="22"/>
                <w:szCs w:val="22"/>
              </w:rPr>
              <w:t>3</w:t>
            </w:r>
            <w:r w:rsidRPr="000B35EF">
              <w:rPr>
                <w:rFonts w:asciiTheme="minorHAnsi" w:hAnsiTheme="minorHAnsi" w:cstheme="minorHAnsi"/>
                <w:sz w:val="22"/>
                <w:szCs w:val="22"/>
              </w:rPr>
              <w:t>20</w:t>
            </w:r>
          </w:p>
        </w:tc>
      </w:tr>
      <w:tr w:rsidR="00D257F1" w:rsidRPr="0068094B" w:rsidTr="008201A6">
        <w:trPr>
          <w:trHeight w:val="335"/>
        </w:trPr>
        <w:tc>
          <w:tcPr>
            <w:tcW w:w="1277" w:type="dxa"/>
            <w:tcBorders>
              <w:bottom w:val="single" w:sz="4" w:space="0" w:color="000000"/>
            </w:tcBorders>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442</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Assets held for sale – current &lt;1yr</w:t>
            </w:r>
          </w:p>
        </w:tc>
        <w:tc>
          <w:tcPr>
            <w:tcW w:w="1134" w:type="dxa"/>
            <w:vAlign w:val="center"/>
          </w:tcPr>
          <w:p w:rsidR="00D257F1" w:rsidRPr="0068094B" w:rsidRDefault="00D257F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rsidR="00D257F1" w:rsidRPr="000B35EF" w:rsidRDefault="003F01BF" w:rsidP="00BC310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442</w:t>
            </w:r>
          </w:p>
        </w:tc>
      </w:tr>
      <w:tr w:rsidR="00D257F1" w:rsidRPr="0068094B" w:rsidTr="00770795">
        <w:trPr>
          <w:trHeight w:val="335"/>
        </w:trPr>
        <w:tc>
          <w:tcPr>
            <w:tcW w:w="1277" w:type="dxa"/>
            <w:tcBorders>
              <w:top w:val="single" w:sz="4" w:space="0" w:color="000000"/>
            </w:tcBorders>
            <w:vAlign w:val="center"/>
          </w:tcPr>
          <w:p w:rsidR="00D257F1" w:rsidRPr="0068094B" w:rsidRDefault="00D257F1" w:rsidP="007A1FDA">
            <w:pPr>
              <w:pStyle w:val="Header"/>
              <w:tabs>
                <w:tab w:val="clear" w:pos="4320"/>
                <w:tab w:val="clear" w:pos="864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57,902</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Current Assets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rsidR="00D257F1" w:rsidRPr="000B35EF" w:rsidRDefault="002A0D81" w:rsidP="00531B6F">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50,</w:t>
            </w:r>
            <w:r w:rsidR="00531B6F" w:rsidRPr="000B35EF">
              <w:rPr>
                <w:rFonts w:asciiTheme="minorHAnsi" w:hAnsiTheme="minorHAnsi" w:cstheme="minorHAnsi"/>
                <w:b/>
                <w:bCs/>
                <w:sz w:val="22"/>
                <w:szCs w:val="22"/>
              </w:rPr>
              <w:t>280</w:t>
            </w:r>
          </w:p>
        </w:tc>
      </w:tr>
      <w:tr w:rsidR="00D257F1" w:rsidRPr="0068094B" w:rsidTr="00770795">
        <w:trPr>
          <w:trHeight w:val="335"/>
        </w:trPr>
        <w:tc>
          <w:tcPr>
            <w:tcW w:w="1277" w:type="dxa"/>
            <w:vAlign w:val="center"/>
          </w:tcPr>
          <w:p w:rsidR="00D257F1" w:rsidRPr="0068094B" w:rsidRDefault="00D257F1">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1134" w:type="dxa"/>
            <w:shd w:val="clear" w:color="auto" w:fill="auto"/>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0B35EF" w:rsidRDefault="00D257F1" w:rsidP="00770795">
            <w:pPr>
              <w:pStyle w:val="Header"/>
              <w:tabs>
                <w:tab w:val="clear" w:pos="4320"/>
                <w:tab w:val="clear" w:pos="8640"/>
              </w:tabs>
              <w:snapToGrid w:val="0"/>
              <w:jc w:val="center"/>
              <w:rPr>
                <w:rFonts w:asciiTheme="minorHAnsi" w:hAnsiTheme="minorHAnsi" w:cstheme="minorHAnsi"/>
                <w:sz w:val="22"/>
                <w:szCs w:val="22"/>
              </w:rPr>
            </w:pPr>
          </w:p>
        </w:tc>
      </w:tr>
      <w:tr w:rsidR="00D257F1" w:rsidRPr="0068094B" w:rsidTr="00770795">
        <w:trPr>
          <w:trHeight w:val="335"/>
        </w:trPr>
        <w:tc>
          <w:tcPr>
            <w:tcW w:w="1277" w:type="dxa"/>
            <w:vAlign w:val="center"/>
          </w:tcPr>
          <w:p w:rsidR="00D257F1" w:rsidRPr="0068094B" w:rsidRDefault="00D257F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b/>
                <w:bCs/>
                <w:sz w:val="22"/>
                <w:szCs w:val="22"/>
              </w:rPr>
              <w:t>Current Liabilities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0B35EF" w:rsidRDefault="00D257F1">
            <w:pPr>
              <w:pStyle w:val="Header"/>
              <w:tabs>
                <w:tab w:val="clear" w:pos="4320"/>
                <w:tab w:val="clear" w:pos="8640"/>
              </w:tabs>
              <w:snapToGrid w:val="0"/>
              <w:jc w:val="right"/>
              <w:rPr>
                <w:rFonts w:asciiTheme="minorHAnsi" w:hAnsiTheme="minorHAnsi" w:cstheme="minorHAnsi"/>
                <w:sz w:val="22"/>
                <w:szCs w:val="22"/>
              </w:rPr>
            </w:pPr>
          </w:p>
        </w:tc>
      </w:tr>
      <w:tr w:rsidR="00D257F1" w:rsidRPr="00C23CF5" w:rsidTr="000978BC">
        <w:trPr>
          <w:trHeight w:val="335"/>
        </w:trPr>
        <w:tc>
          <w:tcPr>
            <w:tcW w:w="1277" w:type="dxa"/>
            <w:tcBorders>
              <w:bottom w:val="single" w:sz="4" w:space="0" w:color="auto"/>
            </w:tcBorders>
            <w:vAlign w:val="center"/>
          </w:tcPr>
          <w:p w:rsidR="00D257F1" w:rsidRPr="0068094B" w:rsidRDefault="00D257F1" w:rsidP="0053764B">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(10,501)</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Creditors</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8</w:t>
            </w:r>
          </w:p>
        </w:tc>
        <w:tc>
          <w:tcPr>
            <w:tcW w:w="1276" w:type="dxa"/>
            <w:tcBorders>
              <w:bottom w:val="single" w:sz="4" w:space="0" w:color="auto"/>
            </w:tcBorders>
            <w:shd w:val="clear" w:color="auto" w:fill="D9D9D9" w:themeFill="background1" w:themeFillShade="D9"/>
            <w:vAlign w:val="center"/>
          </w:tcPr>
          <w:p w:rsidR="00D257F1" w:rsidRPr="000B35EF" w:rsidRDefault="000978BC" w:rsidP="00F440E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w:t>
            </w:r>
            <w:r w:rsidR="002A0D81" w:rsidRPr="000B35EF">
              <w:rPr>
                <w:rFonts w:asciiTheme="minorHAnsi" w:hAnsiTheme="minorHAnsi" w:cstheme="minorHAnsi"/>
                <w:sz w:val="22"/>
                <w:szCs w:val="22"/>
              </w:rPr>
              <w:t>2</w:t>
            </w:r>
            <w:r w:rsidRPr="000B35EF">
              <w:rPr>
                <w:rFonts w:asciiTheme="minorHAnsi" w:hAnsiTheme="minorHAnsi" w:cstheme="minorHAnsi"/>
                <w:sz w:val="22"/>
                <w:szCs w:val="22"/>
              </w:rPr>
              <w:t>,</w:t>
            </w:r>
            <w:r w:rsidR="00531B6F" w:rsidRPr="000B35EF">
              <w:rPr>
                <w:rFonts w:asciiTheme="minorHAnsi" w:hAnsiTheme="minorHAnsi" w:cstheme="minorHAnsi"/>
                <w:sz w:val="22"/>
                <w:szCs w:val="22"/>
              </w:rPr>
              <w:t>1</w:t>
            </w:r>
            <w:r w:rsidR="00F440E7" w:rsidRPr="000B35EF">
              <w:rPr>
                <w:rFonts w:asciiTheme="minorHAnsi" w:hAnsiTheme="minorHAnsi" w:cstheme="minorHAnsi"/>
                <w:sz w:val="22"/>
                <w:szCs w:val="22"/>
              </w:rPr>
              <w:t>75</w:t>
            </w:r>
            <w:r w:rsidRPr="000B35EF">
              <w:rPr>
                <w:rFonts w:asciiTheme="minorHAnsi" w:hAnsiTheme="minorHAnsi" w:cstheme="minorHAnsi"/>
                <w:sz w:val="22"/>
                <w:szCs w:val="22"/>
              </w:rPr>
              <w:t>)</w:t>
            </w:r>
          </w:p>
        </w:tc>
      </w:tr>
      <w:tr w:rsidR="00D257F1" w:rsidRPr="00C23CF5" w:rsidTr="000978BC">
        <w:trPr>
          <w:trHeight w:val="335"/>
        </w:trPr>
        <w:tc>
          <w:tcPr>
            <w:tcW w:w="1277" w:type="dxa"/>
            <w:tcBorders>
              <w:top w:val="single" w:sz="4" w:space="0" w:color="auto"/>
            </w:tcBorders>
            <w:vAlign w:val="center"/>
          </w:tcPr>
          <w:p w:rsidR="00D257F1" w:rsidRPr="0068094B" w:rsidRDefault="00D257F1" w:rsidP="007A1FDA">
            <w:pPr>
              <w:pStyle w:val="Header"/>
              <w:tabs>
                <w:tab w:val="clear" w:pos="4320"/>
                <w:tab w:val="clear" w:pos="864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(10,501)</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Current Liabilities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rsidR="00D257F1" w:rsidRPr="000B35EF" w:rsidRDefault="000978BC" w:rsidP="00F440E7">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(1</w:t>
            </w:r>
            <w:r w:rsidR="002A0D81" w:rsidRPr="000B35EF">
              <w:rPr>
                <w:rFonts w:asciiTheme="minorHAnsi" w:hAnsiTheme="minorHAnsi" w:cstheme="minorHAnsi"/>
                <w:b/>
                <w:bCs/>
                <w:sz w:val="22"/>
                <w:szCs w:val="22"/>
              </w:rPr>
              <w:t>2</w:t>
            </w:r>
            <w:r w:rsidRPr="000B35EF">
              <w:rPr>
                <w:rFonts w:asciiTheme="minorHAnsi" w:hAnsiTheme="minorHAnsi" w:cstheme="minorHAnsi"/>
                <w:b/>
                <w:bCs/>
                <w:sz w:val="22"/>
                <w:szCs w:val="22"/>
              </w:rPr>
              <w:t>,</w:t>
            </w:r>
            <w:r w:rsidR="00531B6F" w:rsidRPr="000B35EF">
              <w:rPr>
                <w:rFonts w:asciiTheme="minorHAnsi" w:hAnsiTheme="minorHAnsi" w:cstheme="minorHAnsi"/>
                <w:b/>
                <w:bCs/>
                <w:sz w:val="22"/>
                <w:szCs w:val="22"/>
              </w:rPr>
              <w:t>1</w:t>
            </w:r>
            <w:r w:rsidR="00F440E7" w:rsidRPr="000B35EF">
              <w:rPr>
                <w:rFonts w:asciiTheme="minorHAnsi" w:hAnsiTheme="minorHAnsi" w:cstheme="minorHAnsi"/>
                <w:b/>
                <w:bCs/>
                <w:sz w:val="22"/>
                <w:szCs w:val="22"/>
              </w:rPr>
              <w:t>75</w:t>
            </w:r>
            <w:r w:rsidRPr="000B35EF">
              <w:rPr>
                <w:rFonts w:asciiTheme="minorHAnsi" w:hAnsiTheme="minorHAnsi" w:cstheme="minorHAnsi"/>
                <w:b/>
                <w:bCs/>
                <w:sz w:val="22"/>
                <w:szCs w:val="22"/>
              </w:rPr>
              <w:t>)</w:t>
            </w:r>
          </w:p>
        </w:tc>
      </w:tr>
      <w:tr w:rsidR="00D257F1" w:rsidRPr="0068094B" w:rsidTr="000978BC">
        <w:trPr>
          <w:trHeight w:val="335"/>
        </w:trPr>
        <w:tc>
          <w:tcPr>
            <w:tcW w:w="1277" w:type="dxa"/>
            <w:vAlign w:val="center"/>
          </w:tcPr>
          <w:p w:rsidR="00D257F1" w:rsidRPr="0068094B" w:rsidRDefault="00D257F1" w:rsidP="002D588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0B35EF" w:rsidRDefault="00D257F1">
            <w:pPr>
              <w:pStyle w:val="Header"/>
              <w:tabs>
                <w:tab w:val="clear" w:pos="4320"/>
                <w:tab w:val="clear" w:pos="8640"/>
              </w:tabs>
              <w:snapToGrid w:val="0"/>
              <w:jc w:val="right"/>
              <w:rPr>
                <w:rFonts w:asciiTheme="minorHAnsi" w:hAnsiTheme="minorHAnsi" w:cstheme="minorHAnsi"/>
                <w:b/>
                <w:bCs/>
                <w:sz w:val="22"/>
                <w:szCs w:val="22"/>
              </w:rPr>
            </w:pPr>
          </w:p>
        </w:tc>
      </w:tr>
      <w:tr w:rsidR="00D257F1" w:rsidRPr="0068094B" w:rsidTr="008201A6">
        <w:trPr>
          <w:trHeight w:val="335"/>
        </w:trPr>
        <w:tc>
          <w:tcPr>
            <w:tcW w:w="1277" w:type="dxa"/>
            <w:vAlign w:val="center"/>
          </w:tcPr>
          <w:p w:rsidR="00D257F1" w:rsidRPr="0068094B" w:rsidRDefault="00D257F1" w:rsidP="002D588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Long-Term Liabilities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68094B" w:rsidRDefault="00D257F1">
            <w:pPr>
              <w:pStyle w:val="Header"/>
              <w:tabs>
                <w:tab w:val="clear" w:pos="4320"/>
                <w:tab w:val="clear" w:pos="8640"/>
              </w:tabs>
              <w:snapToGrid w:val="0"/>
              <w:jc w:val="right"/>
              <w:rPr>
                <w:rFonts w:asciiTheme="minorHAnsi" w:hAnsiTheme="minorHAnsi" w:cstheme="minorHAnsi"/>
                <w:b/>
                <w:bCs/>
                <w:sz w:val="22"/>
                <w:szCs w:val="22"/>
              </w:rPr>
            </w:pP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(5,478)</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rsidR="00D257F1" w:rsidRPr="0068094B" w:rsidRDefault="00D257F1" w:rsidP="00495258">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Long Term Creditors – </w:t>
            </w:r>
            <w:r>
              <w:rPr>
                <w:rFonts w:asciiTheme="minorHAnsi" w:hAnsiTheme="minorHAnsi" w:cstheme="minorHAnsi"/>
                <w:sz w:val="22"/>
                <w:szCs w:val="22"/>
              </w:rPr>
              <w:t>S</w:t>
            </w:r>
            <w:r w:rsidRPr="0068094B">
              <w:rPr>
                <w:rFonts w:asciiTheme="minorHAnsi" w:hAnsiTheme="minorHAnsi" w:cstheme="minorHAnsi"/>
                <w:sz w:val="22"/>
                <w:szCs w:val="22"/>
              </w:rPr>
              <w:t>106 contributions</w:t>
            </w:r>
          </w:p>
        </w:tc>
        <w:tc>
          <w:tcPr>
            <w:tcW w:w="1134" w:type="dxa"/>
            <w:vAlign w:val="center"/>
          </w:tcPr>
          <w:p w:rsidR="00D257F1" w:rsidRPr="0068094B" w:rsidRDefault="00D257F1" w:rsidP="009229C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0B35EF" w:rsidRDefault="007A0BDD" w:rsidP="00531B6F">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(5,</w:t>
            </w:r>
            <w:r w:rsidR="00531B6F" w:rsidRPr="000B35EF">
              <w:rPr>
                <w:rFonts w:asciiTheme="minorHAnsi" w:hAnsiTheme="minorHAnsi" w:cstheme="minorHAnsi"/>
                <w:sz w:val="22"/>
                <w:szCs w:val="22"/>
              </w:rPr>
              <w:t>840</w:t>
            </w:r>
            <w:r w:rsidRPr="000B35EF">
              <w:rPr>
                <w:rFonts w:asciiTheme="minorHAnsi" w:hAnsiTheme="minorHAnsi" w:cstheme="minorHAnsi"/>
                <w:sz w:val="22"/>
                <w:szCs w:val="22"/>
              </w:rPr>
              <w:t>)</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(12)</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Credit Arrangements – Finance Lease</w:t>
            </w:r>
          </w:p>
        </w:tc>
        <w:tc>
          <w:tcPr>
            <w:tcW w:w="1134" w:type="dxa"/>
            <w:vAlign w:val="center"/>
          </w:tcPr>
          <w:p w:rsidR="00D257F1" w:rsidRPr="0068094B" w:rsidRDefault="00D257F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0B35EF" w:rsidRDefault="00D878B4" w:rsidP="00BC310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(6)</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lastRenderedPageBreak/>
              <w:t>(2,497)</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Provisions</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9</w:t>
            </w:r>
          </w:p>
        </w:tc>
        <w:tc>
          <w:tcPr>
            <w:tcW w:w="1276" w:type="dxa"/>
            <w:shd w:val="clear" w:color="auto" w:fill="D9D9D9" w:themeFill="background1" w:themeFillShade="D9"/>
            <w:vAlign w:val="center"/>
          </w:tcPr>
          <w:p w:rsidR="00D257F1" w:rsidRPr="000B35EF" w:rsidRDefault="007A0BDD" w:rsidP="00BC310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(1,271)</w:t>
            </w:r>
          </w:p>
        </w:tc>
      </w:tr>
      <w:tr w:rsidR="00D257F1" w:rsidRPr="0068094B" w:rsidTr="008201A6">
        <w:trPr>
          <w:trHeight w:val="335"/>
        </w:trPr>
        <w:tc>
          <w:tcPr>
            <w:tcW w:w="1277" w:type="dxa"/>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(6,559)</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rsidP="00BD580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Net Pensions Liability</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rsidR="00D257F1" w:rsidRPr="000B35EF" w:rsidRDefault="00ED5604" w:rsidP="00B01170">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0</w:t>
            </w:r>
          </w:p>
        </w:tc>
      </w:tr>
      <w:tr w:rsidR="00D257F1" w:rsidRPr="0068094B" w:rsidTr="008201A6">
        <w:trPr>
          <w:trHeight w:val="335"/>
        </w:trPr>
        <w:tc>
          <w:tcPr>
            <w:tcW w:w="1277" w:type="dxa"/>
            <w:tcBorders>
              <w:bottom w:val="single" w:sz="4" w:space="0" w:color="000000"/>
            </w:tcBorders>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(105)</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rsidP="00BD0DF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Capital </w:t>
            </w:r>
            <w:r>
              <w:rPr>
                <w:rFonts w:asciiTheme="minorHAnsi" w:hAnsiTheme="minorHAnsi" w:cstheme="minorHAnsi"/>
                <w:sz w:val="22"/>
                <w:szCs w:val="22"/>
              </w:rPr>
              <w:t>G</w:t>
            </w:r>
            <w:r w:rsidRPr="0068094B">
              <w:rPr>
                <w:rFonts w:asciiTheme="minorHAnsi" w:hAnsiTheme="minorHAnsi" w:cstheme="minorHAnsi"/>
                <w:sz w:val="22"/>
                <w:szCs w:val="22"/>
              </w:rPr>
              <w:t>rants Receipts in Advance</w:t>
            </w:r>
          </w:p>
        </w:tc>
        <w:tc>
          <w:tcPr>
            <w:tcW w:w="1134" w:type="dxa"/>
            <w:vAlign w:val="center"/>
          </w:tcPr>
          <w:p w:rsidR="00D257F1" w:rsidRPr="0068094B" w:rsidRDefault="00D257F1" w:rsidP="00865A1F">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rsidR="00D257F1" w:rsidRPr="000B35EF" w:rsidRDefault="00D878B4" w:rsidP="00643E5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(204)</w:t>
            </w:r>
          </w:p>
        </w:tc>
      </w:tr>
      <w:tr w:rsidR="00D257F1" w:rsidRPr="0068094B" w:rsidTr="008201A6">
        <w:trPr>
          <w:trHeight w:val="335"/>
        </w:trPr>
        <w:tc>
          <w:tcPr>
            <w:tcW w:w="1277" w:type="dxa"/>
            <w:tcBorders>
              <w:top w:val="single" w:sz="4" w:space="0" w:color="000000"/>
            </w:tcBorders>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(14,651)</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Long-Term Liabilities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rsidR="00D257F1" w:rsidRPr="000B35EF" w:rsidRDefault="007A0BDD" w:rsidP="00531B6F">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(7,</w:t>
            </w:r>
            <w:r w:rsidR="00531B6F" w:rsidRPr="000B35EF">
              <w:rPr>
                <w:rFonts w:asciiTheme="minorHAnsi" w:hAnsiTheme="minorHAnsi" w:cstheme="minorHAnsi"/>
                <w:b/>
                <w:bCs/>
                <w:sz w:val="22"/>
                <w:szCs w:val="22"/>
              </w:rPr>
              <w:t>321</w:t>
            </w:r>
            <w:r w:rsidRPr="000B35EF">
              <w:rPr>
                <w:rFonts w:asciiTheme="minorHAnsi" w:hAnsiTheme="minorHAnsi" w:cstheme="minorHAnsi"/>
                <w:b/>
                <w:bCs/>
                <w:sz w:val="22"/>
                <w:szCs w:val="22"/>
              </w:rPr>
              <w:t>)</w:t>
            </w:r>
          </w:p>
        </w:tc>
      </w:tr>
      <w:tr w:rsidR="00D257F1" w:rsidRPr="0068094B" w:rsidTr="008201A6">
        <w:trPr>
          <w:trHeight w:val="295"/>
        </w:trPr>
        <w:tc>
          <w:tcPr>
            <w:tcW w:w="1277" w:type="dxa"/>
            <w:tcBorders>
              <w:bottom w:val="single" w:sz="4" w:space="0" w:color="000000"/>
            </w:tcBorders>
            <w:vAlign w:val="center"/>
          </w:tcPr>
          <w:p w:rsidR="00D257F1" w:rsidRPr="0068094B" w:rsidRDefault="00D257F1" w:rsidP="00C62E3F">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rsidR="00D257F1" w:rsidRPr="000B35EF" w:rsidRDefault="00D257F1">
            <w:pPr>
              <w:pStyle w:val="Header"/>
              <w:tabs>
                <w:tab w:val="clear" w:pos="4320"/>
                <w:tab w:val="clear" w:pos="8640"/>
              </w:tabs>
              <w:snapToGrid w:val="0"/>
              <w:jc w:val="right"/>
              <w:rPr>
                <w:rFonts w:asciiTheme="minorHAnsi" w:hAnsiTheme="minorHAnsi" w:cstheme="minorHAnsi"/>
                <w:sz w:val="22"/>
                <w:szCs w:val="22"/>
              </w:rPr>
            </w:pPr>
          </w:p>
        </w:tc>
      </w:tr>
      <w:tr w:rsidR="00D257F1" w:rsidRPr="005937D7" w:rsidTr="00743745">
        <w:trPr>
          <w:trHeight w:val="335"/>
        </w:trPr>
        <w:tc>
          <w:tcPr>
            <w:tcW w:w="1277" w:type="dxa"/>
            <w:tcBorders>
              <w:top w:val="single" w:sz="4" w:space="0" w:color="000000"/>
              <w:bottom w:val="double" w:sz="4" w:space="0" w:color="000000"/>
            </w:tcBorders>
            <w:vAlign w:val="center"/>
          </w:tcPr>
          <w:p w:rsidR="00D257F1" w:rsidRPr="0068094B" w:rsidRDefault="00D257F1" w:rsidP="00E21253">
            <w:pPr>
              <w:pStyle w:val="Header"/>
              <w:tabs>
                <w:tab w:val="clear" w:pos="4320"/>
                <w:tab w:val="clear" w:pos="864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201,884</w:t>
            </w: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Net Assets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rsidR="00D257F1" w:rsidRPr="000B35EF" w:rsidRDefault="002A0D81" w:rsidP="00F440E7">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23</w:t>
            </w:r>
            <w:r w:rsidR="009C4E4A" w:rsidRPr="000B35EF">
              <w:rPr>
                <w:rFonts w:asciiTheme="minorHAnsi" w:hAnsiTheme="minorHAnsi" w:cstheme="minorHAnsi"/>
                <w:b/>
                <w:bCs/>
                <w:sz w:val="22"/>
                <w:szCs w:val="22"/>
              </w:rPr>
              <w:t>3</w:t>
            </w:r>
            <w:r w:rsidRPr="000B35EF">
              <w:rPr>
                <w:rFonts w:asciiTheme="minorHAnsi" w:hAnsiTheme="minorHAnsi" w:cstheme="minorHAnsi"/>
                <w:b/>
                <w:bCs/>
                <w:sz w:val="22"/>
                <w:szCs w:val="22"/>
              </w:rPr>
              <w:t>,</w:t>
            </w:r>
            <w:r w:rsidR="009C4E4A" w:rsidRPr="000B35EF">
              <w:rPr>
                <w:rFonts w:asciiTheme="minorHAnsi" w:hAnsiTheme="minorHAnsi" w:cstheme="minorHAnsi"/>
                <w:b/>
                <w:bCs/>
                <w:sz w:val="22"/>
                <w:szCs w:val="22"/>
              </w:rPr>
              <w:t>3</w:t>
            </w:r>
            <w:r w:rsidR="00F440E7" w:rsidRPr="000B35EF">
              <w:rPr>
                <w:rFonts w:asciiTheme="minorHAnsi" w:hAnsiTheme="minorHAnsi" w:cstheme="minorHAnsi"/>
                <w:b/>
                <w:bCs/>
                <w:sz w:val="22"/>
                <w:szCs w:val="22"/>
              </w:rPr>
              <w:t>23</w:t>
            </w:r>
          </w:p>
        </w:tc>
      </w:tr>
      <w:tr w:rsidR="00D257F1" w:rsidRPr="0068094B" w:rsidTr="008201A6">
        <w:trPr>
          <w:trHeight w:val="335"/>
        </w:trPr>
        <w:tc>
          <w:tcPr>
            <w:tcW w:w="1277" w:type="dxa"/>
            <w:tcBorders>
              <w:top w:val="double" w:sz="4" w:space="0" w:color="000000"/>
            </w:tcBorders>
            <w:vAlign w:val="center"/>
          </w:tcPr>
          <w:p w:rsidR="00D257F1" w:rsidRPr="0068094B" w:rsidRDefault="00D257F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double" w:sz="4" w:space="0" w:color="000000"/>
            </w:tcBorders>
            <w:shd w:val="clear" w:color="auto" w:fill="D9D9D9" w:themeFill="background1" w:themeFillShade="D9"/>
            <w:vAlign w:val="center"/>
          </w:tcPr>
          <w:p w:rsidR="00D257F1" w:rsidRPr="00D16CC2" w:rsidRDefault="00D257F1">
            <w:pPr>
              <w:pStyle w:val="Header"/>
              <w:tabs>
                <w:tab w:val="clear" w:pos="4320"/>
                <w:tab w:val="clear" w:pos="8640"/>
              </w:tabs>
              <w:snapToGrid w:val="0"/>
              <w:jc w:val="right"/>
              <w:rPr>
                <w:rFonts w:asciiTheme="minorHAnsi" w:hAnsiTheme="minorHAnsi" w:cstheme="minorHAnsi"/>
                <w:sz w:val="22"/>
                <w:szCs w:val="22"/>
              </w:rPr>
            </w:pPr>
          </w:p>
        </w:tc>
      </w:tr>
      <w:tr w:rsidR="00D257F1" w:rsidRPr="0068094B" w:rsidTr="008201A6">
        <w:trPr>
          <w:trHeight w:val="335"/>
        </w:trPr>
        <w:tc>
          <w:tcPr>
            <w:tcW w:w="1277" w:type="dxa"/>
            <w:vAlign w:val="center"/>
          </w:tcPr>
          <w:p w:rsidR="00D257F1" w:rsidRPr="0068094B" w:rsidRDefault="00D257F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D257F1">
            <w:pPr>
              <w:pStyle w:val="Header"/>
              <w:tabs>
                <w:tab w:val="clear" w:pos="4320"/>
                <w:tab w:val="clear" w:pos="8640"/>
              </w:tabs>
              <w:snapToGrid w:val="0"/>
              <w:jc w:val="right"/>
              <w:rPr>
                <w:rFonts w:asciiTheme="minorHAnsi" w:hAnsiTheme="minorHAnsi" w:cstheme="minorHAnsi"/>
                <w:sz w:val="22"/>
                <w:szCs w:val="22"/>
              </w:rPr>
            </w:pPr>
          </w:p>
        </w:tc>
      </w:tr>
      <w:tr w:rsidR="00D257F1" w:rsidRPr="0068094B" w:rsidTr="008201A6">
        <w:trPr>
          <w:trHeight w:val="335"/>
        </w:trPr>
        <w:tc>
          <w:tcPr>
            <w:tcW w:w="1277" w:type="dxa"/>
            <w:vAlign w:val="center"/>
          </w:tcPr>
          <w:p w:rsidR="00D257F1" w:rsidRPr="0068094B" w:rsidRDefault="00D257F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D257F1" w:rsidRPr="0068094B" w:rsidRDefault="00D257F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Usable Reserves</w:t>
            </w:r>
          </w:p>
        </w:tc>
        <w:tc>
          <w:tcPr>
            <w:tcW w:w="1134" w:type="dxa"/>
            <w:vAlign w:val="center"/>
          </w:tcPr>
          <w:p w:rsidR="00D257F1" w:rsidRPr="0068094B" w:rsidRDefault="00D257F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D257F1" w:rsidRPr="00D16CC2" w:rsidRDefault="00D257F1">
            <w:pPr>
              <w:pStyle w:val="Header"/>
              <w:tabs>
                <w:tab w:val="clear" w:pos="4320"/>
                <w:tab w:val="clear" w:pos="8640"/>
              </w:tabs>
              <w:snapToGrid w:val="0"/>
              <w:jc w:val="right"/>
              <w:rPr>
                <w:rFonts w:asciiTheme="minorHAnsi" w:hAnsiTheme="minorHAnsi" w:cstheme="minorHAnsi"/>
                <w:sz w:val="22"/>
                <w:szCs w:val="22"/>
              </w:rPr>
            </w:pPr>
          </w:p>
        </w:tc>
      </w:tr>
      <w:tr w:rsidR="003752A3" w:rsidRPr="0068094B" w:rsidTr="008201A6">
        <w:trPr>
          <w:trHeight w:val="335"/>
        </w:trPr>
        <w:tc>
          <w:tcPr>
            <w:tcW w:w="1277" w:type="dxa"/>
            <w:vAlign w:val="center"/>
          </w:tcPr>
          <w:p w:rsidR="003752A3" w:rsidRPr="0068094B" w:rsidRDefault="003752A3" w:rsidP="00B87E31">
            <w:pPr>
              <w:pStyle w:val="Header"/>
              <w:tabs>
                <w:tab w:val="clear" w:pos="4320"/>
                <w:tab w:val="clear" w:pos="8640"/>
              </w:tabs>
              <w:snapToGrid w:val="0"/>
              <w:jc w:val="right"/>
              <w:rPr>
                <w:rFonts w:asciiTheme="minorHAnsi" w:hAnsiTheme="minorHAnsi" w:cstheme="minorHAnsi"/>
                <w:sz w:val="22"/>
                <w:szCs w:val="22"/>
                <w:highlight w:val="yellow"/>
              </w:rPr>
            </w:pPr>
            <w:r w:rsidRPr="00D16CC2">
              <w:rPr>
                <w:rFonts w:asciiTheme="minorHAnsi" w:hAnsiTheme="minorHAnsi" w:cstheme="minorHAnsi"/>
                <w:sz w:val="22"/>
                <w:szCs w:val="22"/>
              </w:rPr>
              <w:t>(44,266)</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General Fund Reserve</w:t>
            </w:r>
          </w:p>
        </w:tc>
        <w:tc>
          <w:tcPr>
            <w:tcW w:w="1134" w:type="dxa"/>
            <w:vAlign w:val="center"/>
          </w:tcPr>
          <w:p w:rsidR="003752A3" w:rsidRPr="000B35EF" w:rsidRDefault="003752A3"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0A381F" w:rsidP="00F440E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(48,0</w:t>
            </w:r>
            <w:r w:rsidR="00F440E7" w:rsidRPr="000B35EF">
              <w:rPr>
                <w:rFonts w:asciiTheme="minorHAnsi" w:hAnsiTheme="minorHAnsi" w:cstheme="minorHAnsi"/>
                <w:sz w:val="22"/>
                <w:szCs w:val="22"/>
              </w:rPr>
              <w:t>38</w:t>
            </w:r>
            <w:r w:rsidRPr="000B35EF">
              <w:rPr>
                <w:rFonts w:asciiTheme="minorHAnsi" w:hAnsiTheme="minorHAnsi" w:cstheme="minorHAnsi"/>
                <w:sz w:val="22"/>
                <w:szCs w:val="22"/>
              </w:rPr>
              <w:t>)</w:t>
            </w: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(1,652)</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Receipts Reserve</w:t>
            </w:r>
          </w:p>
        </w:tc>
        <w:tc>
          <w:tcPr>
            <w:tcW w:w="1134" w:type="dxa"/>
            <w:vAlign w:val="center"/>
          </w:tcPr>
          <w:p w:rsidR="003752A3" w:rsidRPr="000B35EF" w:rsidRDefault="003752A3"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5F51B9" w:rsidP="00527D59">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(1,928)</w:t>
            </w: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(12,434)</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Grants Unapplied Account</w:t>
            </w:r>
          </w:p>
        </w:tc>
        <w:tc>
          <w:tcPr>
            <w:tcW w:w="1134" w:type="dxa"/>
            <w:vAlign w:val="center"/>
          </w:tcPr>
          <w:p w:rsidR="003752A3" w:rsidRPr="000B35EF" w:rsidRDefault="003752A3"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5F51B9" w:rsidP="00D94C5C">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(13,279)</w:t>
            </w:r>
          </w:p>
        </w:tc>
      </w:tr>
      <w:tr w:rsidR="003752A3" w:rsidRPr="0068094B" w:rsidTr="008201A6">
        <w:trPr>
          <w:trHeight w:val="335"/>
        </w:trPr>
        <w:tc>
          <w:tcPr>
            <w:tcW w:w="1277" w:type="dxa"/>
            <w:tcBorders>
              <w:top w:val="single" w:sz="4" w:space="0" w:color="000000"/>
            </w:tcBorders>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(58,352)</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b/>
                <w:bCs/>
                <w:sz w:val="22"/>
                <w:szCs w:val="22"/>
              </w:rPr>
              <w:t>Total Usable Reserves</w:t>
            </w:r>
          </w:p>
        </w:tc>
        <w:tc>
          <w:tcPr>
            <w:tcW w:w="1134" w:type="dxa"/>
            <w:vAlign w:val="center"/>
          </w:tcPr>
          <w:p w:rsidR="003752A3" w:rsidRPr="000B35EF" w:rsidRDefault="003752A3">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rsidR="003752A3" w:rsidRPr="000B35EF" w:rsidRDefault="000A381F" w:rsidP="00F440E7">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(63,2</w:t>
            </w:r>
            <w:r w:rsidR="00F440E7" w:rsidRPr="000B35EF">
              <w:rPr>
                <w:rFonts w:asciiTheme="minorHAnsi" w:hAnsiTheme="minorHAnsi" w:cstheme="minorHAnsi"/>
                <w:b/>
                <w:bCs/>
                <w:sz w:val="22"/>
                <w:szCs w:val="22"/>
              </w:rPr>
              <w:t>45</w:t>
            </w:r>
            <w:r w:rsidRPr="000B35EF">
              <w:rPr>
                <w:rFonts w:asciiTheme="minorHAnsi" w:hAnsiTheme="minorHAnsi" w:cstheme="minorHAnsi"/>
                <w:b/>
                <w:bCs/>
                <w:sz w:val="22"/>
                <w:szCs w:val="22"/>
              </w:rPr>
              <w:t>)</w:t>
            </w: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rsidR="003752A3" w:rsidRPr="000B35EF" w:rsidRDefault="003752A3">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3752A3">
            <w:pPr>
              <w:pStyle w:val="Header"/>
              <w:tabs>
                <w:tab w:val="clear" w:pos="4320"/>
                <w:tab w:val="clear" w:pos="8640"/>
              </w:tabs>
              <w:snapToGrid w:val="0"/>
              <w:jc w:val="right"/>
              <w:rPr>
                <w:rFonts w:asciiTheme="minorHAnsi" w:hAnsiTheme="minorHAnsi" w:cstheme="minorHAnsi"/>
                <w:sz w:val="22"/>
                <w:szCs w:val="22"/>
              </w:rPr>
            </w:pP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Unusable Reserves</w:t>
            </w:r>
          </w:p>
        </w:tc>
        <w:tc>
          <w:tcPr>
            <w:tcW w:w="1134" w:type="dxa"/>
            <w:vAlign w:val="center"/>
          </w:tcPr>
          <w:p w:rsidR="003752A3" w:rsidRPr="000B35EF" w:rsidRDefault="003752A3">
            <w:pPr>
              <w:pStyle w:val="Header"/>
              <w:tabs>
                <w:tab w:val="clear" w:pos="4320"/>
                <w:tab w:val="clear" w:pos="8640"/>
              </w:tabs>
              <w:snapToGrid w:val="0"/>
              <w:jc w:val="center"/>
              <w:rPr>
                <w:rFonts w:asciiTheme="minorHAnsi" w:hAnsiTheme="minorHAnsi" w:cstheme="minorHAnsi"/>
                <w:sz w:val="22"/>
                <w:szCs w:val="22"/>
              </w:rPr>
            </w:pPr>
            <w:r w:rsidRPr="000B35EF">
              <w:rPr>
                <w:rFonts w:asciiTheme="minorHAnsi" w:hAnsiTheme="minorHAnsi" w:cstheme="minorHAnsi"/>
                <w:sz w:val="22"/>
                <w:szCs w:val="22"/>
              </w:rPr>
              <w:t>20</w:t>
            </w:r>
          </w:p>
        </w:tc>
        <w:tc>
          <w:tcPr>
            <w:tcW w:w="1276" w:type="dxa"/>
            <w:shd w:val="clear" w:color="auto" w:fill="D9D9D9" w:themeFill="background1" w:themeFillShade="D9"/>
            <w:vAlign w:val="center"/>
          </w:tcPr>
          <w:p w:rsidR="003752A3" w:rsidRPr="000B35EF" w:rsidRDefault="003752A3">
            <w:pPr>
              <w:pStyle w:val="Header"/>
              <w:tabs>
                <w:tab w:val="clear" w:pos="4320"/>
                <w:tab w:val="clear" w:pos="8640"/>
              </w:tabs>
              <w:snapToGrid w:val="0"/>
              <w:jc w:val="right"/>
              <w:rPr>
                <w:rFonts w:asciiTheme="minorHAnsi" w:hAnsiTheme="minorHAnsi" w:cstheme="minorHAnsi"/>
                <w:sz w:val="22"/>
                <w:szCs w:val="22"/>
              </w:rPr>
            </w:pPr>
          </w:p>
        </w:tc>
      </w:tr>
      <w:tr w:rsidR="003752A3" w:rsidRPr="0068094B" w:rsidTr="003B1D1C">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(57,117)</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Revaluation Reserve</w:t>
            </w:r>
          </w:p>
        </w:tc>
        <w:tc>
          <w:tcPr>
            <w:tcW w:w="1134" w:type="dxa"/>
            <w:vAlign w:val="center"/>
          </w:tcPr>
          <w:p w:rsidR="003752A3" w:rsidRPr="000B35EF" w:rsidRDefault="003752A3"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F805E3" w:rsidP="006503AD">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(59,273)</w:t>
            </w:r>
          </w:p>
        </w:tc>
      </w:tr>
      <w:tr w:rsidR="003752A3" w:rsidRPr="0068094B" w:rsidTr="003B1D1C">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(92,405)</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color w:val="FF0000"/>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Adjustment Account</w:t>
            </w:r>
          </w:p>
        </w:tc>
        <w:tc>
          <w:tcPr>
            <w:tcW w:w="1134" w:type="dxa"/>
            <w:vAlign w:val="center"/>
          </w:tcPr>
          <w:p w:rsidR="003752A3" w:rsidRPr="000B35EF" w:rsidRDefault="003752A3"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3A409D" w:rsidP="003A409D">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(93,656)</w:t>
            </w: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22</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Financial Instruments Adjustment Account</w:t>
            </w:r>
          </w:p>
        </w:tc>
        <w:tc>
          <w:tcPr>
            <w:tcW w:w="1134" w:type="dxa"/>
            <w:vAlign w:val="center"/>
          </w:tcPr>
          <w:p w:rsidR="003752A3" w:rsidRPr="000B35EF" w:rsidRDefault="003752A3"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0C427C" w:rsidP="000137F9">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11</w:t>
            </w: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343</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Pr>
                <w:rFonts w:asciiTheme="minorHAnsi" w:hAnsiTheme="minorHAnsi" w:cstheme="minorHAnsi"/>
                <w:sz w:val="22"/>
                <w:szCs w:val="22"/>
              </w:rPr>
              <w:t>Pooled Investment Fund Adjustment Account</w:t>
            </w:r>
          </w:p>
        </w:tc>
        <w:tc>
          <w:tcPr>
            <w:tcW w:w="1134" w:type="dxa"/>
            <w:vAlign w:val="center"/>
          </w:tcPr>
          <w:p w:rsidR="003752A3" w:rsidRPr="000B35EF" w:rsidRDefault="003752A3"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0C427C" w:rsidP="00BC310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4,249</w:t>
            </w: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(737)</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Deferred Capital Receipts Reserve</w:t>
            </w:r>
          </w:p>
        </w:tc>
        <w:tc>
          <w:tcPr>
            <w:tcW w:w="1134" w:type="dxa"/>
            <w:vAlign w:val="center"/>
          </w:tcPr>
          <w:p w:rsidR="003752A3" w:rsidRPr="000B35EF" w:rsidRDefault="003752A3"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5F51B9" w:rsidP="00BC310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(703)</w:t>
            </w: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6,559</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Pension Reserve</w:t>
            </w:r>
          </w:p>
        </w:tc>
        <w:tc>
          <w:tcPr>
            <w:tcW w:w="1134" w:type="dxa"/>
            <w:vAlign w:val="center"/>
          </w:tcPr>
          <w:p w:rsidR="003752A3" w:rsidRPr="000B35EF" w:rsidRDefault="003752A3"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ED5604" w:rsidP="0016637C">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(20,</w:t>
            </w:r>
            <w:r w:rsidR="0016637C" w:rsidRPr="000B35EF">
              <w:rPr>
                <w:rFonts w:asciiTheme="minorHAnsi" w:hAnsiTheme="minorHAnsi" w:cstheme="minorHAnsi"/>
                <w:sz w:val="22"/>
                <w:szCs w:val="22"/>
              </w:rPr>
              <w:t>876</w:t>
            </w:r>
            <w:r w:rsidRPr="000B35EF">
              <w:rPr>
                <w:rFonts w:asciiTheme="minorHAnsi" w:hAnsiTheme="minorHAnsi" w:cstheme="minorHAnsi"/>
                <w:sz w:val="22"/>
                <w:szCs w:val="22"/>
              </w:rPr>
              <w:t>)</w:t>
            </w:r>
          </w:p>
        </w:tc>
      </w:tr>
      <w:tr w:rsidR="003752A3" w:rsidRPr="0068094B" w:rsidTr="008201A6">
        <w:trPr>
          <w:trHeight w:val="335"/>
        </w:trPr>
        <w:tc>
          <w:tcPr>
            <w:tcW w:w="1277" w:type="dxa"/>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(197)</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Collection Fund Adjustment Account</w:t>
            </w:r>
          </w:p>
        </w:tc>
        <w:tc>
          <w:tcPr>
            <w:tcW w:w="1134" w:type="dxa"/>
            <w:vAlign w:val="center"/>
          </w:tcPr>
          <w:p w:rsidR="003752A3" w:rsidRPr="000B35EF" w:rsidRDefault="003752A3"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rsidR="003752A3" w:rsidRPr="000B35EF" w:rsidRDefault="000C427C" w:rsidP="000C427C">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170</w:t>
            </w:r>
          </w:p>
        </w:tc>
      </w:tr>
      <w:tr w:rsidR="003752A3" w:rsidRPr="0068094B" w:rsidTr="008201A6">
        <w:trPr>
          <w:trHeight w:val="335"/>
        </w:trPr>
        <w:tc>
          <w:tcPr>
            <w:tcW w:w="1277" w:type="dxa"/>
            <w:tcBorders>
              <w:bottom w:val="single" w:sz="4" w:space="0" w:color="000000"/>
            </w:tcBorders>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Accumulated Absences Account</w:t>
            </w:r>
          </w:p>
        </w:tc>
        <w:tc>
          <w:tcPr>
            <w:tcW w:w="1134" w:type="dxa"/>
            <w:vAlign w:val="center"/>
          </w:tcPr>
          <w:p w:rsidR="003752A3" w:rsidRPr="000B35EF" w:rsidRDefault="003752A3"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rsidR="003752A3" w:rsidRPr="000B35EF" w:rsidRDefault="000C427C" w:rsidP="00BC3107">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0</w:t>
            </w:r>
          </w:p>
        </w:tc>
      </w:tr>
      <w:tr w:rsidR="003752A3" w:rsidRPr="0068094B" w:rsidTr="003B1D1C">
        <w:trPr>
          <w:trHeight w:val="335"/>
        </w:trPr>
        <w:tc>
          <w:tcPr>
            <w:tcW w:w="1277" w:type="dxa"/>
            <w:tcBorders>
              <w:top w:val="single" w:sz="4" w:space="0" w:color="000000"/>
            </w:tcBorders>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(143,532)</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Unusable Reserves</w:t>
            </w:r>
          </w:p>
        </w:tc>
        <w:tc>
          <w:tcPr>
            <w:tcW w:w="1134" w:type="dxa"/>
            <w:vAlign w:val="center"/>
          </w:tcPr>
          <w:p w:rsidR="003752A3" w:rsidRPr="000B35EF" w:rsidRDefault="003752A3">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rsidR="003752A3" w:rsidRPr="000B35EF" w:rsidRDefault="000C427C" w:rsidP="0016637C">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(1</w:t>
            </w:r>
            <w:r w:rsidR="0016637C" w:rsidRPr="000B35EF">
              <w:rPr>
                <w:rFonts w:asciiTheme="minorHAnsi" w:hAnsiTheme="minorHAnsi" w:cstheme="minorHAnsi"/>
                <w:b/>
                <w:bCs/>
                <w:sz w:val="22"/>
                <w:szCs w:val="22"/>
              </w:rPr>
              <w:t>70</w:t>
            </w:r>
            <w:r w:rsidRPr="000B35EF">
              <w:rPr>
                <w:rFonts w:asciiTheme="minorHAnsi" w:hAnsiTheme="minorHAnsi" w:cstheme="minorHAnsi"/>
                <w:b/>
                <w:bCs/>
                <w:sz w:val="22"/>
                <w:szCs w:val="22"/>
              </w:rPr>
              <w:t>,</w:t>
            </w:r>
            <w:r w:rsidR="0016637C" w:rsidRPr="000B35EF">
              <w:rPr>
                <w:rFonts w:asciiTheme="minorHAnsi" w:hAnsiTheme="minorHAnsi" w:cstheme="minorHAnsi"/>
                <w:b/>
                <w:bCs/>
                <w:sz w:val="22"/>
                <w:szCs w:val="22"/>
              </w:rPr>
              <w:t>078</w:t>
            </w:r>
            <w:r w:rsidRPr="000B35EF">
              <w:rPr>
                <w:rFonts w:asciiTheme="minorHAnsi" w:hAnsiTheme="minorHAnsi" w:cstheme="minorHAnsi"/>
                <w:b/>
                <w:bCs/>
                <w:sz w:val="22"/>
                <w:szCs w:val="22"/>
              </w:rPr>
              <w:t>)</w:t>
            </w:r>
          </w:p>
        </w:tc>
      </w:tr>
      <w:tr w:rsidR="003752A3" w:rsidRPr="0068094B" w:rsidTr="008201A6">
        <w:trPr>
          <w:trHeight w:val="335"/>
        </w:trPr>
        <w:tc>
          <w:tcPr>
            <w:tcW w:w="1277" w:type="dxa"/>
            <w:tcBorders>
              <w:bottom w:val="single" w:sz="4" w:space="0" w:color="000000"/>
            </w:tcBorders>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rsidR="003752A3" w:rsidRPr="000B35EF" w:rsidRDefault="003752A3">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rsidR="003752A3" w:rsidRPr="000B35EF" w:rsidRDefault="003752A3">
            <w:pPr>
              <w:pStyle w:val="Header"/>
              <w:tabs>
                <w:tab w:val="clear" w:pos="4320"/>
                <w:tab w:val="clear" w:pos="8640"/>
              </w:tabs>
              <w:snapToGrid w:val="0"/>
              <w:jc w:val="right"/>
              <w:rPr>
                <w:rFonts w:asciiTheme="minorHAnsi" w:hAnsiTheme="minorHAnsi" w:cstheme="minorHAnsi"/>
                <w:sz w:val="22"/>
                <w:szCs w:val="22"/>
              </w:rPr>
            </w:pPr>
          </w:p>
        </w:tc>
      </w:tr>
      <w:tr w:rsidR="003752A3" w:rsidRPr="00517C83" w:rsidTr="003B1D1C">
        <w:trPr>
          <w:trHeight w:val="335"/>
        </w:trPr>
        <w:tc>
          <w:tcPr>
            <w:tcW w:w="1277" w:type="dxa"/>
            <w:tcBorders>
              <w:top w:val="single" w:sz="4" w:space="0" w:color="000000"/>
              <w:bottom w:val="double" w:sz="4" w:space="0" w:color="000000"/>
            </w:tcBorders>
            <w:vAlign w:val="center"/>
          </w:tcPr>
          <w:p w:rsidR="003752A3" w:rsidRPr="0068094B" w:rsidRDefault="003752A3" w:rsidP="00E21253">
            <w:pPr>
              <w:pStyle w:val="Header"/>
              <w:tabs>
                <w:tab w:val="clear" w:pos="4320"/>
                <w:tab w:val="clear" w:pos="864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(201,884)</w:t>
            </w:r>
          </w:p>
        </w:tc>
        <w:tc>
          <w:tcPr>
            <w:tcW w:w="425"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3752A3" w:rsidRPr="0068094B" w:rsidRDefault="003752A3">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Reserves</w:t>
            </w:r>
          </w:p>
        </w:tc>
        <w:tc>
          <w:tcPr>
            <w:tcW w:w="1134" w:type="dxa"/>
            <w:vAlign w:val="center"/>
          </w:tcPr>
          <w:p w:rsidR="003752A3" w:rsidRPr="000B35EF" w:rsidRDefault="003752A3">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rsidR="003752A3" w:rsidRPr="000B35EF" w:rsidRDefault="000A381F" w:rsidP="00F440E7">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(23</w:t>
            </w:r>
            <w:r w:rsidR="00C83578" w:rsidRPr="000B35EF">
              <w:rPr>
                <w:rFonts w:asciiTheme="minorHAnsi" w:hAnsiTheme="minorHAnsi" w:cstheme="minorHAnsi"/>
                <w:b/>
                <w:bCs/>
                <w:sz w:val="22"/>
                <w:szCs w:val="22"/>
              </w:rPr>
              <w:t>3</w:t>
            </w:r>
            <w:r w:rsidRPr="000B35EF">
              <w:rPr>
                <w:rFonts w:asciiTheme="minorHAnsi" w:hAnsiTheme="minorHAnsi" w:cstheme="minorHAnsi"/>
                <w:b/>
                <w:bCs/>
                <w:sz w:val="22"/>
                <w:szCs w:val="22"/>
              </w:rPr>
              <w:t>,</w:t>
            </w:r>
            <w:r w:rsidR="00531B6F" w:rsidRPr="000B35EF">
              <w:rPr>
                <w:rFonts w:asciiTheme="minorHAnsi" w:hAnsiTheme="minorHAnsi" w:cstheme="minorHAnsi"/>
                <w:b/>
                <w:bCs/>
                <w:sz w:val="22"/>
                <w:szCs w:val="22"/>
              </w:rPr>
              <w:t>3</w:t>
            </w:r>
            <w:r w:rsidR="00F440E7" w:rsidRPr="000B35EF">
              <w:rPr>
                <w:rFonts w:asciiTheme="minorHAnsi" w:hAnsiTheme="minorHAnsi" w:cstheme="minorHAnsi"/>
                <w:b/>
                <w:bCs/>
                <w:sz w:val="22"/>
                <w:szCs w:val="22"/>
              </w:rPr>
              <w:t>23</w:t>
            </w:r>
            <w:r w:rsidRPr="000B35EF">
              <w:rPr>
                <w:rFonts w:asciiTheme="minorHAnsi" w:hAnsiTheme="minorHAnsi" w:cstheme="minorHAnsi"/>
                <w:b/>
                <w:bCs/>
                <w:sz w:val="22"/>
                <w:szCs w:val="22"/>
              </w:rPr>
              <w:t>)</w:t>
            </w:r>
          </w:p>
        </w:tc>
      </w:tr>
    </w:tbl>
    <w:p w:rsidR="00646E33" w:rsidRPr="00650803" w:rsidRDefault="00646E33" w:rsidP="00650803">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spacing w:after="2960"/>
        <w:ind w:left="578" w:hanging="578"/>
        <w:rPr>
          <w:rFonts w:asciiTheme="minorHAnsi" w:hAnsiTheme="minorHAnsi" w:cstheme="minorHAnsi"/>
          <w:bCs/>
          <w:sz w:val="22"/>
          <w:szCs w:val="22"/>
        </w:rPr>
      </w:pPr>
    </w:p>
    <w:p w:rsidR="004D4BD2" w:rsidRPr="0068094B" w:rsidRDefault="004D4BD2" w:rsidP="00FD6592">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rsidR="00183652" w:rsidRPr="0068094B" w:rsidRDefault="004A6511" w:rsidP="00650803">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left" w:pos="5103"/>
        </w:tabs>
        <w:ind w:left="576" w:hanging="576"/>
        <w:rPr>
          <w:rFonts w:asciiTheme="minorHAnsi" w:hAnsiTheme="minorHAnsi" w:cstheme="minorHAnsi"/>
          <w:b w:val="0"/>
          <w:sz w:val="22"/>
          <w:szCs w:val="22"/>
        </w:rPr>
      </w:pPr>
      <w:r w:rsidRPr="0068094B">
        <w:rPr>
          <w:rFonts w:asciiTheme="minorHAnsi" w:hAnsiTheme="minorHAnsi" w:cstheme="minorHAnsi"/>
          <w:sz w:val="22"/>
          <w:szCs w:val="22"/>
        </w:rPr>
        <w:t>John Ward CPFA</w:t>
      </w:r>
      <w:r w:rsidR="00650803">
        <w:rPr>
          <w:rFonts w:asciiTheme="minorHAnsi" w:hAnsiTheme="minorHAnsi" w:cstheme="minorHAnsi"/>
          <w:sz w:val="22"/>
          <w:szCs w:val="22"/>
        </w:rPr>
        <w:tab/>
      </w:r>
      <w:r w:rsidRPr="0068094B">
        <w:rPr>
          <w:rFonts w:asciiTheme="minorHAnsi" w:hAnsiTheme="minorHAnsi" w:cstheme="minorHAnsi"/>
          <w:sz w:val="22"/>
          <w:szCs w:val="22"/>
        </w:rPr>
        <w:t xml:space="preserve">Date </w:t>
      </w:r>
      <w:r w:rsidRPr="0068094B">
        <w:rPr>
          <w:rFonts w:asciiTheme="minorHAnsi" w:hAnsiTheme="minorHAnsi" w:cstheme="minorHAnsi"/>
          <w:sz w:val="22"/>
          <w:szCs w:val="22"/>
        </w:rPr>
        <w:tab/>
      </w:r>
      <w:r w:rsidR="00C24975">
        <w:rPr>
          <w:rFonts w:asciiTheme="minorHAnsi" w:hAnsiTheme="minorHAnsi" w:cstheme="minorHAnsi"/>
          <w:sz w:val="22"/>
          <w:szCs w:val="22"/>
        </w:rPr>
        <w:t>9</w:t>
      </w:r>
      <w:r w:rsidR="008F496F">
        <w:rPr>
          <w:rFonts w:asciiTheme="minorHAnsi" w:hAnsiTheme="minorHAnsi" w:cstheme="minorHAnsi"/>
          <w:sz w:val="22"/>
          <w:szCs w:val="22"/>
        </w:rPr>
        <w:t xml:space="preserve"> </w:t>
      </w:r>
      <w:r w:rsidR="000B35EF" w:rsidRPr="00C53286">
        <w:rPr>
          <w:rFonts w:asciiTheme="minorHAnsi" w:hAnsiTheme="minorHAnsi" w:cstheme="minorHAnsi"/>
          <w:sz w:val="22"/>
          <w:szCs w:val="22"/>
        </w:rPr>
        <w:t>November</w:t>
      </w:r>
      <w:r w:rsidR="0019401A" w:rsidRPr="008F496F">
        <w:rPr>
          <w:rFonts w:asciiTheme="minorHAnsi" w:hAnsiTheme="minorHAnsi" w:cstheme="minorHAnsi"/>
          <w:sz w:val="22"/>
          <w:szCs w:val="22"/>
        </w:rPr>
        <w:t xml:space="preserve"> </w:t>
      </w:r>
      <w:r w:rsidRPr="008F496F">
        <w:rPr>
          <w:rFonts w:asciiTheme="minorHAnsi" w:hAnsiTheme="minorHAnsi" w:cstheme="minorHAnsi"/>
          <w:bCs/>
          <w:sz w:val="22"/>
          <w:szCs w:val="22"/>
        </w:rPr>
        <w:t>20</w:t>
      </w:r>
      <w:r w:rsidR="002C4E07" w:rsidRPr="008F496F">
        <w:rPr>
          <w:rFonts w:asciiTheme="minorHAnsi" w:hAnsiTheme="minorHAnsi" w:cstheme="minorHAnsi"/>
          <w:bCs/>
          <w:sz w:val="22"/>
          <w:szCs w:val="22"/>
        </w:rPr>
        <w:t>20</w:t>
      </w:r>
    </w:p>
    <w:p w:rsidR="008201A6" w:rsidRPr="0068094B" w:rsidRDefault="003C7E32">
      <w:pPr>
        <w:tabs>
          <w:tab w:val="left" w:pos="-1440"/>
          <w:tab w:val="left" w:pos="-720"/>
          <w:tab w:val="left" w:pos="0"/>
          <w:tab w:val="decimal" w:pos="780"/>
        </w:tabs>
        <w:ind w:left="780" w:hanging="780"/>
        <w:rPr>
          <w:rFonts w:asciiTheme="minorHAnsi" w:hAnsiTheme="minorHAnsi" w:cstheme="minorHAnsi"/>
          <w:b/>
          <w:sz w:val="22"/>
          <w:szCs w:val="22"/>
        </w:rPr>
        <w:sectPr w:rsidR="008201A6" w:rsidRPr="0068094B" w:rsidSect="00420C36">
          <w:footnotePr>
            <w:pos w:val="beneathText"/>
          </w:footnotePr>
          <w:pgSz w:w="11906" w:h="16838"/>
          <w:pgMar w:top="851" w:right="1735" w:bottom="1418" w:left="1440" w:header="284" w:footer="578" w:gutter="0"/>
          <w:cols w:space="720"/>
          <w:docGrid w:linePitch="360"/>
        </w:sectPr>
      </w:pPr>
      <w:r>
        <w:rPr>
          <w:rFonts w:asciiTheme="minorHAnsi" w:hAnsiTheme="minorHAnsi" w:cstheme="minorHAnsi"/>
          <w:b/>
          <w:sz w:val="22"/>
          <w:szCs w:val="22"/>
        </w:rPr>
        <w:t>Director of Corporate Services</w:t>
      </w:r>
    </w:p>
    <w:p w:rsidR="00183652" w:rsidRPr="00FF3FE4" w:rsidRDefault="004A6511" w:rsidP="003A6953">
      <w:pPr>
        <w:pStyle w:val="Heading2"/>
        <w:pageBreakBefore/>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Cs w:val="24"/>
        </w:rPr>
      </w:pPr>
      <w:r w:rsidRPr="00FF3FE4">
        <w:rPr>
          <w:rFonts w:asciiTheme="minorHAnsi" w:hAnsiTheme="minorHAnsi" w:cstheme="minorHAnsi"/>
          <w:szCs w:val="24"/>
        </w:rPr>
        <w:lastRenderedPageBreak/>
        <w:t>Movement in Reserves Statement</w:t>
      </w:r>
    </w:p>
    <w:p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rsidR="00183652" w:rsidRPr="0068094B" w:rsidRDefault="003A6953">
      <w:pPr>
        <w:widowControl/>
        <w:autoSpaceDE w:val="0"/>
        <w:rPr>
          <w:rFonts w:asciiTheme="minorHAnsi" w:hAnsiTheme="minorHAnsi" w:cstheme="minorHAnsi"/>
          <w:sz w:val="22"/>
          <w:szCs w:val="22"/>
        </w:rPr>
      </w:pPr>
      <w:r w:rsidRPr="0068094B">
        <w:rPr>
          <w:rFonts w:asciiTheme="minorHAnsi" w:hAnsiTheme="minorHAnsi" w:cstheme="minorHAnsi"/>
          <w:sz w:val="22"/>
          <w:szCs w:val="22"/>
        </w:rPr>
        <w:br/>
      </w:r>
      <w:r w:rsidR="004A6511" w:rsidRPr="0068094B">
        <w:rPr>
          <w:rFonts w:asciiTheme="minorHAnsi" w:hAnsiTheme="minorHAnsi" w:cstheme="minorHAnsi"/>
          <w:sz w:val="22"/>
          <w:szCs w:val="22"/>
        </w:rPr>
        <w:t xml:space="preserve">This statement shows the movement in the year on the different reserves held by the </w:t>
      </w:r>
      <w:r w:rsidR="00E16274" w:rsidRPr="0068094B">
        <w:rPr>
          <w:rFonts w:asciiTheme="minorHAnsi" w:hAnsiTheme="minorHAnsi" w:cstheme="minorHAnsi"/>
          <w:sz w:val="22"/>
          <w:szCs w:val="22"/>
        </w:rPr>
        <w:t>Council</w:t>
      </w:r>
      <w:r w:rsidR="004A6511" w:rsidRPr="0068094B">
        <w:rPr>
          <w:rFonts w:asciiTheme="minorHAnsi" w:hAnsiTheme="minorHAnsi" w:cstheme="minorHAnsi"/>
          <w:sz w:val="22"/>
          <w:szCs w:val="22"/>
        </w:rPr>
        <w:t xml:space="preserve">, analysed into ‘usable reserves’ (i.e. those that can be applied to fund expenditure or reduce local taxation) and other </w:t>
      </w:r>
      <w:r w:rsidR="00550EE2">
        <w:rPr>
          <w:rFonts w:asciiTheme="minorHAnsi" w:hAnsiTheme="minorHAnsi" w:cstheme="minorHAnsi"/>
          <w:sz w:val="22"/>
          <w:szCs w:val="22"/>
        </w:rPr>
        <w:t xml:space="preserve">‘unusable’ </w:t>
      </w:r>
      <w:r w:rsidR="004A6511" w:rsidRPr="0068094B">
        <w:rPr>
          <w:rFonts w:asciiTheme="minorHAnsi" w:hAnsiTheme="minorHAnsi" w:cstheme="minorHAnsi"/>
          <w:sz w:val="22"/>
          <w:szCs w:val="22"/>
        </w:rPr>
        <w:t xml:space="preserve">reserves. </w:t>
      </w:r>
      <w:r w:rsidR="00CC26EE">
        <w:rPr>
          <w:rFonts w:asciiTheme="minorHAnsi" w:hAnsiTheme="minorHAnsi" w:cstheme="minorHAnsi"/>
          <w:sz w:val="22"/>
          <w:szCs w:val="22"/>
        </w:rPr>
        <w:t xml:space="preserve">The statement shows how the movements in year of the Council’s reserves are broken down between gains and losses incurred in accordance with generally accepted accounting practices and the statutory adjustments required to return to the amounts chargeable to council tax for the year. </w:t>
      </w:r>
      <w:r w:rsidR="004A6511" w:rsidRPr="0068094B">
        <w:rPr>
          <w:rFonts w:asciiTheme="minorHAnsi" w:hAnsiTheme="minorHAnsi" w:cstheme="minorHAnsi"/>
          <w:sz w:val="22"/>
          <w:szCs w:val="22"/>
        </w:rPr>
        <w:t xml:space="preserve">The </w:t>
      </w:r>
      <w:r w:rsidR="00550EE2">
        <w:rPr>
          <w:rFonts w:asciiTheme="minorHAnsi" w:hAnsiTheme="minorHAnsi" w:cstheme="minorHAnsi"/>
          <w:sz w:val="22"/>
          <w:szCs w:val="22"/>
        </w:rPr>
        <w:t>net ‘(Increase) /Decrease</w:t>
      </w:r>
      <w:r w:rsidR="004A6511" w:rsidRPr="0068094B">
        <w:rPr>
          <w:rFonts w:asciiTheme="minorHAnsi" w:hAnsiTheme="minorHAnsi" w:cstheme="minorHAnsi"/>
          <w:sz w:val="22"/>
          <w:szCs w:val="22"/>
        </w:rPr>
        <w:t xml:space="preserve"> </w:t>
      </w:r>
      <w:r w:rsidR="00550EE2">
        <w:rPr>
          <w:rFonts w:asciiTheme="minorHAnsi" w:hAnsiTheme="minorHAnsi" w:cstheme="minorHAnsi"/>
          <w:sz w:val="22"/>
          <w:szCs w:val="22"/>
        </w:rPr>
        <w:t xml:space="preserve">in year’ </w:t>
      </w:r>
      <w:r w:rsidR="004A6511" w:rsidRPr="0068094B">
        <w:rPr>
          <w:rFonts w:asciiTheme="minorHAnsi" w:hAnsiTheme="minorHAnsi" w:cstheme="minorHAnsi"/>
          <w:sz w:val="22"/>
          <w:szCs w:val="22"/>
        </w:rPr>
        <w:t xml:space="preserve">line shows the true economic cost of providing the authority’s services, more details of which are shown in the Comprehensive Income and Expenditure Statement. </w:t>
      </w:r>
      <w:r w:rsidR="00780A7C" w:rsidRPr="0068094B">
        <w:rPr>
          <w:rFonts w:asciiTheme="minorHAnsi" w:hAnsiTheme="minorHAnsi" w:cstheme="minorHAnsi"/>
          <w:sz w:val="22"/>
          <w:szCs w:val="22"/>
        </w:rPr>
        <w:br/>
      </w:r>
    </w:p>
    <w:tbl>
      <w:tblPr>
        <w:tblStyle w:val="TableGrid"/>
        <w:tblW w:w="1594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Movement in Reserves Statement"/>
      </w:tblPr>
      <w:tblGrid>
        <w:gridCol w:w="1101"/>
        <w:gridCol w:w="884"/>
        <w:gridCol w:w="992"/>
        <w:gridCol w:w="1134"/>
        <w:gridCol w:w="1276"/>
        <w:gridCol w:w="1134"/>
        <w:gridCol w:w="3144"/>
        <w:gridCol w:w="966"/>
        <w:gridCol w:w="885"/>
        <w:gridCol w:w="992"/>
        <w:gridCol w:w="1129"/>
        <w:gridCol w:w="1169"/>
        <w:gridCol w:w="1134"/>
      </w:tblGrid>
      <w:tr w:rsidR="003A6953" w:rsidRPr="0068094B" w:rsidTr="003B5F7F">
        <w:trPr>
          <w:cantSplit/>
          <w:trHeight w:val="567"/>
          <w:tblHeader/>
        </w:trPr>
        <w:tc>
          <w:tcPr>
            <w:tcW w:w="6521" w:type="dxa"/>
            <w:gridSpan w:val="6"/>
            <w:tcBorders>
              <w:bottom w:val="single" w:sz="4" w:space="0" w:color="auto"/>
              <w:right w:val="single" w:sz="4" w:space="0" w:color="auto"/>
            </w:tcBorders>
            <w:vAlign w:val="center"/>
          </w:tcPr>
          <w:p w:rsidR="00B368C0"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201</w:t>
            </w:r>
            <w:r w:rsidR="004A1ECC">
              <w:rPr>
                <w:rFonts w:asciiTheme="minorHAnsi" w:hAnsiTheme="minorHAnsi" w:cstheme="minorHAnsi"/>
                <w:b/>
                <w:bCs/>
                <w:sz w:val="22"/>
                <w:szCs w:val="22"/>
              </w:rPr>
              <w:t>8</w:t>
            </w:r>
            <w:r w:rsidRPr="0068094B">
              <w:rPr>
                <w:rFonts w:asciiTheme="minorHAnsi" w:hAnsiTheme="minorHAnsi" w:cstheme="minorHAnsi"/>
                <w:b/>
                <w:bCs/>
                <w:sz w:val="22"/>
                <w:szCs w:val="22"/>
              </w:rPr>
              <w:t>-1</w:t>
            </w:r>
            <w:r w:rsidR="004A1ECC">
              <w:rPr>
                <w:rFonts w:asciiTheme="minorHAnsi" w:hAnsiTheme="minorHAnsi" w:cstheme="minorHAnsi"/>
                <w:b/>
                <w:bCs/>
                <w:sz w:val="22"/>
                <w:szCs w:val="22"/>
              </w:rPr>
              <w:t>9</w:t>
            </w:r>
          </w:p>
          <w:p w:rsidR="003A6953"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3144" w:type="dxa"/>
            <w:tcBorders>
              <w:left w:val="single" w:sz="4" w:space="0" w:color="auto"/>
              <w:right w:val="single" w:sz="4" w:space="0" w:color="auto"/>
            </w:tcBorders>
          </w:tcPr>
          <w:p w:rsidR="003A6953" w:rsidRPr="0068094B" w:rsidRDefault="003A6953">
            <w:pPr>
              <w:pStyle w:val="BodyText1"/>
              <w:ind w:left="0"/>
              <w:rPr>
                <w:rFonts w:asciiTheme="minorHAnsi" w:hAnsiTheme="minorHAnsi" w:cstheme="minorHAnsi"/>
                <w:b/>
                <w:bCs/>
                <w:sz w:val="22"/>
                <w:szCs w:val="22"/>
              </w:rPr>
            </w:pPr>
          </w:p>
        </w:tc>
        <w:tc>
          <w:tcPr>
            <w:tcW w:w="6275" w:type="dxa"/>
            <w:gridSpan w:val="6"/>
            <w:tcBorders>
              <w:left w:val="single" w:sz="4" w:space="0" w:color="auto"/>
              <w:bottom w:val="single" w:sz="4" w:space="0" w:color="auto"/>
            </w:tcBorders>
            <w:shd w:val="clear" w:color="auto" w:fill="D9D9D9" w:themeFill="background1" w:themeFillShade="D9"/>
            <w:vAlign w:val="center"/>
          </w:tcPr>
          <w:p w:rsidR="00B368C0"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201</w:t>
            </w:r>
            <w:r w:rsidR="004A1ECC">
              <w:rPr>
                <w:rFonts w:asciiTheme="minorHAnsi" w:hAnsiTheme="minorHAnsi" w:cstheme="minorHAnsi"/>
                <w:b/>
                <w:bCs/>
                <w:sz w:val="22"/>
                <w:szCs w:val="22"/>
              </w:rPr>
              <w:t>9</w:t>
            </w:r>
            <w:r w:rsidRPr="0068094B">
              <w:rPr>
                <w:rFonts w:asciiTheme="minorHAnsi" w:hAnsiTheme="minorHAnsi" w:cstheme="minorHAnsi"/>
                <w:b/>
                <w:bCs/>
                <w:sz w:val="22"/>
                <w:szCs w:val="22"/>
              </w:rPr>
              <w:t>-</w:t>
            </w:r>
            <w:r w:rsidR="004A1ECC">
              <w:rPr>
                <w:rFonts w:asciiTheme="minorHAnsi" w:hAnsiTheme="minorHAnsi" w:cstheme="minorHAnsi"/>
                <w:b/>
                <w:bCs/>
                <w:sz w:val="22"/>
                <w:szCs w:val="22"/>
              </w:rPr>
              <w:t>20</w:t>
            </w:r>
          </w:p>
          <w:p w:rsidR="003A6953"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44393D" w:rsidRPr="0068094B" w:rsidTr="004A1ECC">
        <w:trPr>
          <w:cantSplit/>
          <w:trHeight w:val="2240"/>
        </w:trPr>
        <w:tc>
          <w:tcPr>
            <w:tcW w:w="1101" w:type="dxa"/>
            <w:tcBorders>
              <w:top w:val="single" w:sz="4" w:space="0" w:color="auto"/>
              <w:bottom w:val="single" w:sz="4" w:space="0" w:color="auto"/>
            </w:tcBorders>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General Fund Reserves</w:t>
            </w:r>
          </w:p>
        </w:tc>
        <w:tc>
          <w:tcPr>
            <w:tcW w:w="884" w:type="dxa"/>
            <w:tcBorders>
              <w:top w:val="single" w:sz="4" w:space="0" w:color="auto"/>
              <w:bottom w:val="single" w:sz="4" w:space="0" w:color="auto"/>
            </w:tcBorders>
            <w:textDirection w:val="btLr"/>
            <w:vAlign w:val="center"/>
          </w:tcPr>
          <w:p w:rsidR="00780A7C" w:rsidRPr="0068094B" w:rsidRDefault="00780A7C" w:rsidP="00E212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Capital Grants Unapplied</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Usable Reserves</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Authority Reserves</w:t>
            </w:r>
          </w:p>
        </w:tc>
        <w:tc>
          <w:tcPr>
            <w:tcW w:w="3144" w:type="dxa"/>
            <w:tcBorders>
              <w:left w:val="single" w:sz="4" w:space="0" w:color="auto"/>
              <w:bottom w:val="single" w:sz="4" w:space="0" w:color="auto"/>
            </w:tcBorders>
          </w:tcPr>
          <w:p w:rsidR="00780A7C" w:rsidRPr="0068094B" w:rsidRDefault="00780A7C">
            <w:pPr>
              <w:pStyle w:val="BodyText1"/>
              <w:ind w:left="0"/>
              <w:rPr>
                <w:rFonts w:asciiTheme="minorHAnsi" w:hAnsiTheme="minorHAnsi" w:cstheme="minorHAnsi"/>
                <w:b/>
                <w:bCs/>
                <w:sz w:val="22"/>
                <w:szCs w:val="22"/>
              </w:rPr>
            </w:pPr>
          </w:p>
        </w:tc>
        <w:tc>
          <w:tcPr>
            <w:tcW w:w="966" w:type="dxa"/>
            <w:tcBorders>
              <w:top w:val="single" w:sz="4" w:space="0" w:color="auto"/>
              <w:bottom w:val="single" w:sz="4" w:space="0" w:color="auto"/>
            </w:tcBorders>
            <w:shd w:val="clear" w:color="auto" w:fill="D9D9D9" w:themeFill="background1" w:themeFillShade="D9"/>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General Fund Reserves</w:t>
            </w:r>
          </w:p>
        </w:tc>
        <w:tc>
          <w:tcPr>
            <w:tcW w:w="885" w:type="dxa"/>
            <w:tcBorders>
              <w:top w:val="single" w:sz="4" w:space="0" w:color="auto"/>
              <w:bottom w:val="single" w:sz="4" w:space="0" w:color="auto"/>
            </w:tcBorders>
            <w:shd w:val="clear" w:color="auto" w:fill="D9D9D9" w:themeFill="background1" w:themeFillShade="D9"/>
            <w:textDirection w:val="btLr"/>
            <w:vAlign w:val="center"/>
          </w:tcPr>
          <w:p w:rsidR="00780A7C" w:rsidRPr="0068094B" w:rsidRDefault="00780A7C" w:rsidP="00E212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Capital Grants Unapplied</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Usable Reserves</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Authority Reserves</w:t>
            </w:r>
          </w:p>
        </w:tc>
      </w:tr>
      <w:tr w:rsidR="004A1ECC" w:rsidRPr="0068094B" w:rsidTr="004A1ECC">
        <w:trPr>
          <w:trHeight w:val="371"/>
        </w:trPr>
        <w:tc>
          <w:tcPr>
            <w:tcW w:w="1101" w:type="dxa"/>
            <w:tcBorders>
              <w:top w:val="single" w:sz="4" w:space="0" w:color="auto"/>
              <w:bottom w:val="single" w:sz="4" w:space="0" w:color="auto"/>
            </w:tcBorders>
            <w:vAlign w:val="center"/>
          </w:tcPr>
          <w:p w:rsidR="004A1ECC" w:rsidRPr="0068094B" w:rsidRDefault="004A1ECC" w:rsidP="00457BF4">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(39,004)</w:t>
            </w:r>
          </w:p>
        </w:tc>
        <w:tc>
          <w:tcPr>
            <w:tcW w:w="884" w:type="dxa"/>
            <w:tcBorders>
              <w:top w:val="single" w:sz="4" w:space="0" w:color="auto"/>
              <w:bottom w:val="single" w:sz="4" w:space="0" w:color="auto"/>
            </w:tcBorders>
            <w:vAlign w:val="center"/>
          </w:tcPr>
          <w:p w:rsidR="004A1ECC" w:rsidRPr="0068094B" w:rsidRDefault="004A1ECC" w:rsidP="007F1B6F">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(85)</w:t>
            </w:r>
          </w:p>
        </w:tc>
        <w:tc>
          <w:tcPr>
            <w:tcW w:w="992" w:type="dxa"/>
            <w:tcBorders>
              <w:top w:val="single" w:sz="4" w:space="0" w:color="auto"/>
              <w:bottom w:val="single" w:sz="4" w:space="0" w:color="auto"/>
              <w:right w:val="single" w:sz="4" w:space="0" w:color="auto"/>
            </w:tcBorders>
            <w:vAlign w:val="center"/>
          </w:tcPr>
          <w:p w:rsidR="004A1ECC" w:rsidRPr="0068094B" w:rsidRDefault="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(7,830)</w:t>
            </w:r>
          </w:p>
        </w:tc>
        <w:tc>
          <w:tcPr>
            <w:tcW w:w="1134" w:type="dxa"/>
            <w:tcBorders>
              <w:top w:val="single" w:sz="4" w:space="0" w:color="auto"/>
              <w:left w:val="single" w:sz="4" w:space="0" w:color="auto"/>
              <w:bottom w:val="single" w:sz="4" w:space="0" w:color="auto"/>
              <w:right w:val="single" w:sz="4" w:space="0" w:color="auto"/>
            </w:tcBorders>
            <w:vAlign w:val="center"/>
          </w:tcPr>
          <w:p w:rsidR="004A1ECC" w:rsidRPr="0068094B" w:rsidRDefault="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(46,919)</w:t>
            </w:r>
          </w:p>
        </w:tc>
        <w:tc>
          <w:tcPr>
            <w:tcW w:w="1276" w:type="dxa"/>
            <w:tcBorders>
              <w:top w:val="single" w:sz="4" w:space="0" w:color="auto"/>
              <w:left w:val="single" w:sz="4" w:space="0" w:color="auto"/>
              <w:bottom w:val="single" w:sz="4" w:space="0" w:color="auto"/>
              <w:right w:val="single" w:sz="4" w:space="0" w:color="auto"/>
            </w:tcBorders>
            <w:vAlign w:val="center"/>
          </w:tcPr>
          <w:p w:rsidR="004A1ECC" w:rsidRPr="0068094B" w:rsidRDefault="004A1ECC"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(145,863)</w:t>
            </w:r>
          </w:p>
        </w:tc>
        <w:tc>
          <w:tcPr>
            <w:tcW w:w="1134" w:type="dxa"/>
            <w:tcBorders>
              <w:top w:val="single" w:sz="4" w:space="0" w:color="auto"/>
              <w:left w:val="single" w:sz="4" w:space="0" w:color="auto"/>
              <w:bottom w:val="single" w:sz="4" w:space="0" w:color="auto"/>
              <w:right w:val="single" w:sz="4" w:space="0" w:color="auto"/>
            </w:tcBorders>
            <w:vAlign w:val="center"/>
          </w:tcPr>
          <w:p w:rsidR="004A1ECC" w:rsidRPr="0068094B" w:rsidRDefault="004A1ECC" w:rsidP="007F1B6F">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(192,782)</w:t>
            </w:r>
          </w:p>
        </w:tc>
        <w:tc>
          <w:tcPr>
            <w:tcW w:w="3144" w:type="dxa"/>
            <w:tcBorders>
              <w:top w:val="single" w:sz="4" w:space="0" w:color="auto"/>
              <w:left w:val="single" w:sz="4" w:space="0" w:color="auto"/>
            </w:tcBorders>
            <w:vAlign w:val="center"/>
          </w:tcPr>
          <w:p w:rsidR="004A1ECC" w:rsidRPr="0068094B" w:rsidRDefault="004A1ECC" w:rsidP="007F1B6F">
            <w:pPr>
              <w:pStyle w:val="BodyText1"/>
              <w:snapToGrid w:val="0"/>
              <w:spacing w:before="0" w:after="0"/>
              <w:ind w:left="0"/>
              <w:jc w:val="right"/>
              <w:rPr>
                <w:rFonts w:asciiTheme="minorHAnsi" w:hAnsiTheme="minorHAnsi" w:cstheme="minorHAnsi"/>
                <w:bCs/>
                <w:sz w:val="22"/>
                <w:szCs w:val="22"/>
              </w:rPr>
            </w:pPr>
            <w:r w:rsidRPr="0068094B">
              <w:rPr>
                <w:rFonts w:asciiTheme="minorHAnsi" w:hAnsiTheme="minorHAnsi" w:cstheme="minorHAnsi"/>
                <w:bCs/>
                <w:sz w:val="22"/>
                <w:szCs w:val="22"/>
              </w:rPr>
              <w:t>Balance brought forward</w:t>
            </w:r>
          </w:p>
        </w:tc>
        <w:tc>
          <w:tcPr>
            <w:tcW w:w="966" w:type="dxa"/>
            <w:tcBorders>
              <w:top w:val="single" w:sz="4" w:space="0" w:color="auto"/>
              <w:bottom w:val="single" w:sz="4" w:space="0" w:color="auto"/>
            </w:tcBorders>
            <w:shd w:val="clear" w:color="auto" w:fill="D9D9D9" w:themeFill="background1" w:themeFillShade="D9"/>
            <w:vAlign w:val="center"/>
          </w:tcPr>
          <w:p w:rsidR="004A1ECC" w:rsidRPr="0068094B" w:rsidRDefault="004A1ECC" w:rsidP="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(44,266)</w:t>
            </w:r>
          </w:p>
        </w:tc>
        <w:tc>
          <w:tcPr>
            <w:tcW w:w="885" w:type="dxa"/>
            <w:tcBorders>
              <w:top w:val="single" w:sz="4" w:space="0" w:color="auto"/>
              <w:bottom w:val="single" w:sz="4" w:space="0" w:color="auto"/>
            </w:tcBorders>
            <w:shd w:val="clear" w:color="auto" w:fill="D9D9D9" w:themeFill="background1" w:themeFillShade="D9"/>
            <w:vAlign w:val="center"/>
          </w:tcPr>
          <w:p w:rsidR="004A1ECC" w:rsidRPr="0068094B" w:rsidRDefault="004A1ECC"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(1,652)</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rsidR="004A1ECC" w:rsidRPr="0068094B" w:rsidRDefault="004A1ECC" w:rsidP="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(12,434)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68094B" w:rsidRDefault="004A1ECC" w:rsidP="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(58,352)</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68094B" w:rsidRDefault="004A1ECC" w:rsidP="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(143,532)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68094B" w:rsidRDefault="004A1ECC" w:rsidP="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(201,884)</w:t>
            </w:r>
          </w:p>
        </w:tc>
      </w:tr>
      <w:tr w:rsidR="004A1ECC" w:rsidRPr="0068094B" w:rsidTr="004A1ECC">
        <w:trPr>
          <w:trHeight w:val="261"/>
        </w:trPr>
        <w:tc>
          <w:tcPr>
            <w:tcW w:w="1101" w:type="dxa"/>
            <w:tcBorders>
              <w:top w:val="single" w:sz="4" w:space="0" w:color="auto"/>
            </w:tcBorders>
            <w:vAlign w:val="center"/>
          </w:tcPr>
          <w:p w:rsidR="004A1ECC" w:rsidRPr="0068094B" w:rsidRDefault="004A1ECC">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884" w:type="dxa"/>
            <w:tcBorders>
              <w:top w:val="single" w:sz="4" w:space="0" w:color="auto"/>
            </w:tcBorders>
            <w:vAlign w:val="center"/>
          </w:tcPr>
          <w:p w:rsidR="004A1ECC" w:rsidRPr="0068094B" w:rsidRDefault="004A1ECC" w:rsidP="007F1B6F">
            <w:pPr>
              <w:pStyle w:val="BodyText1"/>
              <w:snapToGrid w:val="0"/>
              <w:ind w:left="0"/>
              <w:jc w:val="right"/>
              <w:rPr>
                <w:rFonts w:asciiTheme="minorHAnsi" w:hAnsiTheme="minorHAnsi" w:cstheme="minorHAnsi"/>
                <w:sz w:val="22"/>
                <w:szCs w:val="22"/>
              </w:rPr>
            </w:pPr>
            <w:r>
              <w:rPr>
                <w:rFonts w:asciiTheme="minorHAnsi" w:hAnsiTheme="minorHAnsi" w:cstheme="minorHAnsi"/>
                <w:bCs/>
                <w:sz w:val="22"/>
                <w:szCs w:val="22"/>
              </w:rPr>
              <w:t>0</w:t>
            </w:r>
          </w:p>
        </w:tc>
        <w:tc>
          <w:tcPr>
            <w:tcW w:w="992" w:type="dxa"/>
            <w:tcBorders>
              <w:top w:val="single" w:sz="4" w:space="0" w:color="auto"/>
              <w:right w:val="single" w:sz="4" w:space="0" w:color="auto"/>
            </w:tcBorders>
            <w:vAlign w:val="center"/>
          </w:tcPr>
          <w:p w:rsidR="004A1ECC" w:rsidRPr="0068094B" w:rsidRDefault="004A1ECC"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34" w:type="dxa"/>
            <w:tcBorders>
              <w:top w:val="single" w:sz="4" w:space="0" w:color="auto"/>
              <w:left w:val="single" w:sz="4" w:space="0" w:color="auto"/>
              <w:right w:val="single" w:sz="4" w:space="0" w:color="auto"/>
            </w:tcBorders>
            <w:shd w:val="clear" w:color="auto" w:fill="auto"/>
            <w:vAlign w:val="center"/>
          </w:tcPr>
          <w:p w:rsidR="004A1ECC" w:rsidRPr="00BA17A0" w:rsidRDefault="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rsidR="004A1ECC" w:rsidRPr="00BA17A0" w:rsidRDefault="004A1ECC">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(4)</w:t>
            </w:r>
          </w:p>
        </w:tc>
        <w:tc>
          <w:tcPr>
            <w:tcW w:w="1134" w:type="dxa"/>
            <w:tcBorders>
              <w:top w:val="single" w:sz="4" w:space="0" w:color="auto"/>
              <w:left w:val="single" w:sz="4" w:space="0" w:color="auto"/>
              <w:right w:val="single" w:sz="4" w:space="0" w:color="auto"/>
            </w:tcBorders>
            <w:shd w:val="clear" w:color="auto" w:fill="auto"/>
            <w:vAlign w:val="center"/>
          </w:tcPr>
          <w:p w:rsidR="004A1ECC" w:rsidRPr="00BA17A0" w:rsidRDefault="004A1ECC">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(4)</w:t>
            </w:r>
          </w:p>
        </w:tc>
        <w:tc>
          <w:tcPr>
            <w:tcW w:w="3144" w:type="dxa"/>
            <w:tcBorders>
              <w:left w:val="single" w:sz="4" w:space="0" w:color="auto"/>
            </w:tcBorders>
            <w:vAlign w:val="center"/>
          </w:tcPr>
          <w:p w:rsidR="004A1ECC" w:rsidRPr="0068094B" w:rsidRDefault="004A1ECC">
            <w:pPr>
              <w:pStyle w:val="BodyText1"/>
              <w:snapToGrid w:val="0"/>
              <w:spacing w:before="0" w:after="0"/>
              <w:ind w:left="0"/>
              <w:jc w:val="right"/>
              <w:rPr>
                <w:rFonts w:asciiTheme="minorHAnsi" w:hAnsiTheme="minorHAnsi" w:cstheme="minorHAnsi"/>
                <w:bCs/>
                <w:sz w:val="22"/>
                <w:szCs w:val="22"/>
              </w:rPr>
            </w:pPr>
            <w:r>
              <w:rPr>
                <w:rFonts w:asciiTheme="minorHAnsi" w:hAnsiTheme="minorHAnsi" w:cstheme="minorHAnsi"/>
                <w:bCs/>
                <w:sz w:val="22"/>
                <w:szCs w:val="22"/>
              </w:rPr>
              <w:t>Adjustments for the restatement of financial instruments</w:t>
            </w:r>
          </w:p>
        </w:tc>
        <w:tc>
          <w:tcPr>
            <w:tcW w:w="966" w:type="dxa"/>
            <w:tcBorders>
              <w:top w:val="single" w:sz="4" w:space="0" w:color="auto"/>
            </w:tcBorders>
            <w:shd w:val="clear" w:color="auto" w:fill="D9D9D9" w:themeFill="background1" w:themeFillShade="D9"/>
            <w:vAlign w:val="center"/>
          </w:tcPr>
          <w:p w:rsidR="004A1ECC" w:rsidRPr="003B1D1C" w:rsidRDefault="000252F9" w:rsidP="00BC598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885" w:type="dxa"/>
            <w:tcBorders>
              <w:top w:val="single" w:sz="4" w:space="0" w:color="auto"/>
            </w:tcBorders>
            <w:shd w:val="clear" w:color="auto" w:fill="D9D9D9" w:themeFill="background1" w:themeFillShade="D9"/>
            <w:vAlign w:val="center"/>
          </w:tcPr>
          <w:p w:rsidR="004A1ECC" w:rsidRPr="003B1D1C" w:rsidRDefault="000252F9"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tcBorders>
              <w:top w:val="single" w:sz="4" w:space="0" w:color="auto"/>
              <w:right w:val="single" w:sz="4" w:space="0" w:color="auto"/>
            </w:tcBorders>
            <w:shd w:val="clear" w:color="auto" w:fill="D9D9D9" w:themeFill="background1" w:themeFillShade="D9"/>
            <w:vAlign w:val="center"/>
          </w:tcPr>
          <w:p w:rsidR="004A1ECC" w:rsidRPr="003B1D1C" w:rsidRDefault="000252F9"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29" w:type="dxa"/>
            <w:tcBorders>
              <w:top w:val="single" w:sz="4" w:space="0" w:color="auto"/>
              <w:left w:val="single" w:sz="4" w:space="0" w:color="auto"/>
              <w:right w:val="single" w:sz="4" w:space="0" w:color="auto"/>
            </w:tcBorders>
            <w:shd w:val="clear" w:color="auto" w:fill="D9D9D9" w:themeFill="background1" w:themeFillShade="D9"/>
            <w:vAlign w:val="center"/>
          </w:tcPr>
          <w:p w:rsidR="004A1ECC" w:rsidRPr="003B1D1C" w:rsidRDefault="000252F9" w:rsidP="00BC598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69" w:type="dxa"/>
            <w:tcBorders>
              <w:top w:val="single" w:sz="4" w:space="0" w:color="auto"/>
              <w:left w:val="single" w:sz="4" w:space="0" w:color="auto"/>
              <w:right w:val="single" w:sz="4" w:space="0" w:color="auto"/>
            </w:tcBorders>
            <w:shd w:val="clear" w:color="auto" w:fill="D9D9D9" w:themeFill="background1" w:themeFillShade="D9"/>
            <w:vAlign w:val="center"/>
          </w:tcPr>
          <w:p w:rsidR="004A1ECC" w:rsidRPr="003B1D1C" w:rsidRDefault="000252F9" w:rsidP="00BC598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rsidR="004A1ECC" w:rsidRPr="003B1D1C" w:rsidRDefault="000252F9">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r>
      <w:tr w:rsidR="004A1ECC" w:rsidRPr="0068094B" w:rsidTr="004A1ECC">
        <w:trPr>
          <w:trHeight w:val="311"/>
        </w:trPr>
        <w:tc>
          <w:tcPr>
            <w:tcW w:w="1101" w:type="dxa"/>
            <w:vAlign w:val="center"/>
          </w:tcPr>
          <w:p w:rsidR="004A1ECC" w:rsidRPr="003B1D1C" w:rsidRDefault="004A1ECC" w:rsidP="007F1B6F">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(10,043)</w:t>
            </w:r>
          </w:p>
        </w:tc>
        <w:tc>
          <w:tcPr>
            <w:tcW w:w="884" w:type="dxa"/>
            <w:vAlign w:val="center"/>
          </w:tcPr>
          <w:p w:rsidR="004A1ECC" w:rsidRPr="003B1D1C" w:rsidRDefault="004A1ECC">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0</w:t>
            </w:r>
          </w:p>
        </w:tc>
        <w:tc>
          <w:tcPr>
            <w:tcW w:w="992" w:type="dxa"/>
            <w:tcBorders>
              <w:right w:val="single" w:sz="4" w:space="0" w:color="auto"/>
            </w:tcBorders>
            <w:vAlign w:val="center"/>
          </w:tcPr>
          <w:p w:rsidR="004A1ECC" w:rsidRPr="003B1D1C" w:rsidRDefault="004A1ECC">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0</w:t>
            </w:r>
          </w:p>
        </w:tc>
        <w:tc>
          <w:tcPr>
            <w:tcW w:w="1134" w:type="dxa"/>
            <w:tcBorders>
              <w:left w:val="single" w:sz="4" w:space="0" w:color="auto"/>
              <w:right w:val="single" w:sz="4" w:space="0" w:color="auto"/>
            </w:tcBorders>
            <w:shd w:val="clear" w:color="auto" w:fill="auto"/>
            <w:vAlign w:val="center"/>
          </w:tcPr>
          <w:p w:rsidR="004A1ECC" w:rsidRPr="00BA17A0" w:rsidRDefault="004A1ECC">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(10,043)</w:t>
            </w:r>
          </w:p>
        </w:tc>
        <w:tc>
          <w:tcPr>
            <w:tcW w:w="1276" w:type="dxa"/>
            <w:tcBorders>
              <w:left w:val="single" w:sz="4" w:space="0" w:color="auto"/>
              <w:right w:val="single" w:sz="4" w:space="0" w:color="auto"/>
            </w:tcBorders>
            <w:shd w:val="clear" w:color="auto" w:fill="auto"/>
            <w:vAlign w:val="center"/>
          </w:tcPr>
          <w:p w:rsidR="004A1ECC" w:rsidRPr="00BA17A0" w:rsidRDefault="004A1ECC" w:rsidP="002C214D">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945</w:t>
            </w:r>
          </w:p>
        </w:tc>
        <w:tc>
          <w:tcPr>
            <w:tcW w:w="1134" w:type="dxa"/>
            <w:tcBorders>
              <w:left w:val="single" w:sz="4" w:space="0" w:color="auto"/>
              <w:right w:val="single" w:sz="4" w:space="0" w:color="auto"/>
            </w:tcBorders>
            <w:shd w:val="clear" w:color="auto" w:fill="auto"/>
            <w:vAlign w:val="center"/>
          </w:tcPr>
          <w:p w:rsidR="004A1ECC" w:rsidRPr="00BA17A0" w:rsidRDefault="004A1ECC" w:rsidP="007F1B6F">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(9,098)</w:t>
            </w:r>
          </w:p>
        </w:tc>
        <w:tc>
          <w:tcPr>
            <w:tcW w:w="3144" w:type="dxa"/>
            <w:tcBorders>
              <w:left w:val="single" w:sz="4" w:space="0" w:color="auto"/>
            </w:tcBorders>
            <w:vAlign w:val="center"/>
          </w:tcPr>
          <w:p w:rsidR="004A1ECC" w:rsidRPr="0068094B" w:rsidRDefault="004A1ECC" w:rsidP="00D34FB9">
            <w:pPr>
              <w:pStyle w:val="BodyText1"/>
              <w:snapToGrid w:val="0"/>
              <w:spacing w:before="0" w:after="0"/>
              <w:ind w:left="0"/>
              <w:jc w:val="right"/>
              <w:rPr>
                <w:rFonts w:asciiTheme="minorHAnsi" w:hAnsiTheme="minorHAnsi" w:cstheme="minorHAnsi"/>
                <w:sz w:val="22"/>
                <w:szCs w:val="22"/>
              </w:rPr>
            </w:pPr>
            <w:r w:rsidRPr="0068094B">
              <w:rPr>
                <w:rFonts w:asciiTheme="minorHAnsi" w:hAnsiTheme="minorHAnsi" w:cstheme="minorHAnsi"/>
                <w:bCs/>
                <w:sz w:val="22"/>
                <w:szCs w:val="22"/>
              </w:rPr>
              <w:t>Total Comprehensive Income and Expenditure</w:t>
            </w:r>
          </w:p>
        </w:tc>
        <w:tc>
          <w:tcPr>
            <w:tcW w:w="966" w:type="dxa"/>
            <w:shd w:val="clear" w:color="auto" w:fill="D9D9D9" w:themeFill="background1" w:themeFillShade="D9"/>
            <w:vAlign w:val="center"/>
          </w:tcPr>
          <w:p w:rsidR="004A1ECC" w:rsidRPr="00C90778" w:rsidRDefault="0015119B" w:rsidP="000B35EF">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2,</w:t>
            </w:r>
            <w:r w:rsidR="000B35EF" w:rsidRPr="00C90778">
              <w:rPr>
                <w:rFonts w:asciiTheme="minorHAnsi" w:hAnsiTheme="minorHAnsi" w:cstheme="minorHAnsi"/>
                <w:bCs/>
                <w:sz w:val="22"/>
                <w:szCs w:val="22"/>
              </w:rPr>
              <w:t>387</w:t>
            </w:r>
          </w:p>
        </w:tc>
        <w:tc>
          <w:tcPr>
            <w:tcW w:w="885" w:type="dxa"/>
            <w:shd w:val="clear" w:color="auto" w:fill="D9D9D9" w:themeFill="background1" w:themeFillShade="D9"/>
            <w:vAlign w:val="center"/>
          </w:tcPr>
          <w:p w:rsidR="004A1ECC" w:rsidRPr="00C90778" w:rsidRDefault="000252F9" w:rsidP="007F1B6F">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0</w:t>
            </w:r>
          </w:p>
        </w:tc>
        <w:tc>
          <w:tcPr>
            <w:tcW w:w="992" w:type="dxa"/>
            <w:tcBorders>
              <w:right w:val="single" w:sz="4" w:space="0" w:color="auto"/>
            </w:tcBorders>
            <w:shd w:val="clear" w:color="auto" w:fill="D9D9D9" w:themeFill="background1" w:themeFillShade="D9"/>
            <w:vAlign w:val="center"/>
          </w:tcPr>
          <w:p w:rsidR="004A1ECC" w:rsidRPr="00C90778" w:rsidRDefault="000252F9" w:rsidP="007F1B6F">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0</w:t>
            </w:r>
          </w:p>
        </w:tc>
        <w:tc>
          <w:tcPr>
            <w:tcW w:w="1129" w:type="dxa"/>
            <w:tcBorders>
              <w:left w:val="single" w:sz="4" w:space="0" w:color="auto"/>
              <w:right w:val="single" w:sz="4" w:space="0" w:color="auto"/>
            </w:tcBorders>
            <w:shd w:val="clear" w:color="auto" w:fill="D9D9D9" w:themeFill="background1" w:themeFillShade="D9"/>
            <w:vAlign w:val="center"/>
          </w:tcPr>
          <w:p w:rsidR="004A1ECC" w:rsidRPr="00C90778" w:rsidRDefault="0015119B" w:rsidP="000B35EF">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2,</w:t>
            </w:r>
            <w:r w:rsidR="000B35EF" w:rsidRPr="00C90778">
              <w:rPr>
                <w:rFonts w:asciiTheme="minorHAnsi" w:hAnsiTheme="minorHAnsi" w:cstheme="minorHAnsi"/>
                <w:bCs/>
                <w:sz w:val="22"/>
                <w:szCs w:val="22"/>
              </w:rPr>
              <w:t>387</w:t>
            </w:r>
          </w:p>
        </w:tc>
        <w:tc>
          <w:tcPr>
            <w:tcW w:w="1169" w:type="dxa"/>
            <w:tcBorders>
              <w:left w:val="single" w:sz="4" w:space="0" w:color="auto"/>
              <w:right w:val="single" w:sz="4" w:space="0" w:color="auto"/>
            </w:tcBorders>
            <w:shd w:val="clear" w:color="auto" w:fill="D9D9D9" w:themeFill="background1" w:themeFillShade="D9"/>
            <w:vAlign w:val="center"/>
          </w:tcPr>
          <w:p w:rsidR="004A1ECC" w:rsidRPr="00C90778" w:rsidRDefault="000252F9" w:rsidP="000B35EF">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(3</w:t>
            </w:r>
            <w:r w:rsidR="00364FB9" w:rsidRPr="00C90778">
              <w:rPr>
                <w:rFonts w:asciiTheme="minorHAnsi" w:hAnsiTheme="minorHAnsi" w:cstheme="minorHAnsi"/>
                <w:bCs/>
                <w:sz w:val="22"/>
                <w:szCs w:val="22"/>
              </w:rPr>
              <w:t>3</w:t>
            </w:r>
            <w:r w:rsidRPr="00C90778">
              <w:rPr>
                <w:rFonts w:asciiTheme="minorHAnsi" w:hAnsiTheme="minorHAnsi" w:cstheme="minorHAnsi"/>
                <w:bCs/>
                <w:sz w:val="22"/>
                <w:szCs w:val="22"/>
              </w:rPr>
              <w:t>,</w:t>
            </w:r>
            <w:r w:rsidR="000B35EF" w:rsidRPr="00C90778">
              <w:rPr>
                <w:rFonts w:asciiTheme="minorHAnsi" w:hAnsiTheme="minorHAnsi" w:cstheme="minorHAnsi"/>
                <w:bCs/>
                <w:sz w:val="22"/>
                <w:szCs w:val="22"/>
              </w:rPr>
              <w:t>826</w:t>
            </w:r>
            <w:r w:rsidRPr="00C90778">
              <w:rPr>
                <w:rFonts w:asciiTheme="minorHAnsi" w:hAnsiTheme="minorHAnsi" w:cstheme="minorHAnsi"/>
                <w:bCs/>
                <w:sz w:val="22"/>
                <w:szCs w:val="22"/>
              </w:rPr>
              <w:t>)</w:t>
            </w:r>
          </w:p>
        </w:tc>
        <w:tc>
          <w:tcPr>
            <w:tcW w:w="1134" w:type="dxa"/>
            <w:tcBorders>
              <w:left w:val="single" w:sz="4" w:space="0" w:color="auto"/>
              <w:right w:val="single" w:sz="4" w:space="0" w:color="auto"/>
            </w:tcBorders>
            <w:shd w:val="clear" w:color="auto" w:fill="D9D9D9" w:themeFill="background1" w:themeFillShade="D9"/>
            <w:vAlign w:val="center"/>
          </w:tcPr>
          <w:p w:rsidR="004A1ECC" w:rsidRPr="000B35EF" w:rsidRDefault="00E2262E" w:rsidP="0091169D">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(3</w:t>
            </w:r>
            <w:r w:rsidR="00364FB9" w:rsidRPr="000B35EF">
              <w:rPr>
                <w:rFonts w:asciiTheme="minorHAnsi" w:hAnsiTheme="minorHAnsi" w:cstheme="minorHAnsi"/>
                <w:bCs/>
                <w:sz w:val="22"/>
                <w:szCs w:val="22"/>
              </w:rPr>
              <w:t>1</w:t>
            </w:r>
            <w:r w:rsidRPr="000B35EF">
              <w:rPr>
                <w:rFonts w:asciiTheme="minorHAnsi" w:hAnsiTheme="minorHAnsi" w:cstheme="minorHAnsi"/>
                <w:bCs/>
                <w:sz w:val="22"/>
                <w:szCs w:val="22"/>
              </w:rPr>
              <w:t>,</w:t>
            </w:r>
            <w:r w:rsidR="00364FB9" w:rsidRPr="000B35EF">
              <w:rPr>
                <w:rFonts w:asciiTheme="minorHAnsi" w:hAnsiTheme="minorHAnsi" w:cstheme="minorHAnsi"/>
                <w:bCs/>
                <w:sz w:val="22"/>
                <w:szCs w:val="22"/>
              </w:rPr>
              <w:t>4</w:t>
            </w:r>
            <w:r w:rsidR="0091169D" w:rsidRPr="000B35EF">
              <w:rPr>
                <w:rFonts w:asciiTheme="minorHAnsi" w:hAnsiTheme="minorHAnsi" w:cstheme="minorHAnsi"/>
                <w:bCs/>
                <w:sz w:val="22"/>
                <w:szCs w:val="22"/>
              </w:rPr>
              <w:t>39</w:t>
            </w:r>
            <w:r w:rsidRPr="000B35EF">
              <w:rPr>
                <w:rFonts w:asciiTheme="minorHAnsi" w:hAnsiTheme="minorHAnsi" w:cstheme="minorHAnsi"/>
                <w:bCs/>
                <w:sz w:val="22"/>
                <w:szCs w:val="22"/>
              </w:rPr>
              <w:t>)</w:t>
            </w:r>
          </w:p>
        </w:tc>
      </w:tr>
      <w:tr w:rsidR="004A1ECC" w:rsidRPr="0068094B" w:rsidTr="004A1ECC">
        <w:trPr>
          <w:trHeight w:val="311"/>
        </w:trPr>
        <w:tc>
          <w:tcPr>
            <w:tcW w:w="1101" w:type="dxa"/>
            <w:tcBorders>
              <w:bottom w:val="single" w:sz="4" w:space="0" w:color="auto"/>
            </w:tcBorders>
            <w:vAlign w:val="center"/>
          </w:tcPr>
          <w:p w:rsidR="004A1ECC" w:rsidRPr="0068094B" w:rsidRDefault="004A1ECC" w:rsidP="007F1B6F">
            <w:pPr>
              <w:pStyle w:val="BodyText1"/>
              <w:snapToGrid w:val="0"/>
              <w:ind w:left="0"/>
              <w:jc w:val="right"/>
              <w:rPr>
                <w:rFonts w:asciiTheme="minorHAnsi" w:hAnsiTheme="minorHAnsi" w:cstheme="minorHAnsi"/>
                <w:sz w:val="22"/>
                <w:szCs w:val="22"/>
              </w:rPr>
            </w:pPr>
            <w:r w:rsidRPr="00D16CC2">
              <w:rPr>
                <w:rFonts w:asciiTheme="minorHAnsi" w:hAnsiTheme="minorHAnsi" w:cstheme="minorHAnsi"/>
                <w:bCs/>
                <w:sz w:val="22"/>
                <w:szCs w:val="22"/>
              </w:rPr>
              <w:t>4,781</w:t>
            </w:r>
          </w:p>
        </w:tc>
        <w:tc>
          <w:tcPr>
            <w:tcW w:w="884" w:type="dxa"/>
            <w:tcBorders>
              <w:bottom w:val="single" w:sz="4" w:space="0" w:color="auto"/>
            </w:tcBorders>
            <w:vAlign w:val="center"/>
          </w:tcPr>
          <w:p w:rsidR="004A1ECC" w:rsidRPr="0068094B" w:rsidRDefault="004A1ECC">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(1,567)</w:t>
            </w:r>
          </w:p>
        </w:tc>
        <w:tc>
          <w:tcPr>
            <w:tcW w:w="992" w:type="dxa"/>
            <w:tcBorders>
              <w:bottom w:val="single" w:sz="4" w:space="0" w:color="auto"/>
              <w:right w:val="single" w:sz="4" w:space="0" w:color="auto"/>
            </w:tcBorders>
            <w:vAlign w:val="center"/>
          </w:tcPr>
          <w:p w:rsidR="004A1ECC" w:rsidRPr="0068094B" w:rsidRDefault="004A1ECC">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(4,604)</w:t>
            </w:r>
          </w:p>
        </w:tc>
        <w:tc>
          <w:tcPr>
            <w:tcW w:w="1134" w:type="dxa"/>
            <w:tcBorders>
              <w:left w:val="single" w:sz="4" w:space="0" w:color="auto"/>
              <w:bottom w:val="single" w:sz="4" w:space="0" w:color="auto"/>
              <w:right w:val="single" w:sz="4" w:space="0" w:color="auto"/>
            </w:tcBorders>
            <w:shd w:val="clear" w:color="auto" w:fill="auto"/>
            <w:vAlign w:val="center"/>
          </w:tcPr>
          <w:p w:rsidR="004A1ECC" w:rsidRPr="00BA17A0" w:rsidRDefault="004A1ECC">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(1,390)</w:t>
            </w:r>
          </w:p>
        </w:tc>
        <w:tc>
          <w:tcPr>
            <w:tcW w:w="1276" w:type="dxa"/>
            <w:tcBorders>
              <w:left w:val="single" w:sz="4" w:space="0" w:color="auto"/>
              <w:bottom w:val="single" w:sz="4" w:space="0" w:color="auto"/>
              <w:right w:val="single" w:sz="4" w:space="0" w:color="auto"/>
            </w:tcBorders>
            <w:shd w:val="clear" w:color="auto" w:fill="auto"/>
            <w:vAlign w:val="center"/>
          </w:tcPr>
          <w:p w:rsidR="004A1ECC" w:rsidRPr="00BA17A0" w:rsidRDefault="004A1ECC" w:rsidP="002C214D">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1,390</w:t>
            </w:r>
          </w:p>
        </w:tc>
        <w:tc>
          <w:tcPr>
            <w:tcW w:w="1134" w:type="dxa"/>
            <w:tcBorders>
              <w:left w:val="single" w:sz="4" w:space="0" w:color="auto"/>
              <w:bottom w:val="single" w:sz="4" w:space="0" w:color="auto"/>
              <w:right w:val="single" w:sz="4" w:space="0" w:color="auto"/>
            </w:tcBorders>
            <w:shd w:val="clear" w:color="auto" w:fill="auto"/>
            <w:vAlign w:val="center"/>
          </w:tcPr>
          <w:p w:rsidR="004A1ECC" w:rsidRPr="00BA17A0" w:rsidRDefault="004A1ECC" w:rsidP="007F1B6F">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0</w:t>
            </w:r>
          </w:p>
        </w:tc>
        <w:tc>
          <w:tcPr>
            <w:tcW w:w="3144" w:type="dxa"/>
            <w:tcBorders>
              <w:left w:val="single" w:sz="4" w:space="0" w:color="auto"/>
              <w:bottom w:val="single" w:sz="4" w:space="0" w:color="auto"/>
            </w:tcBorders>
            <w:vAlign w:val="center"/>
          </w:tcPr>
          <w:p w:rsidR="004A1ECC" w:rsidRPr="0068094B" w:rsidRDefault="004A1ECC" w:rsidP="00E61C18">
            <w:pPr>
              <w:pStyle w:val="BodyText1"/>
              <w:snapToGrid w:val="0"/>
              <w:spacing w:before="0" w:after="0"/>
              <w:ind w:left="0"/>
              <w:jc w:val="right"/>
              <w:rPr>
                <w:rFonts w:asciiTheme="minorHAnsi" w:hAnsiTheme="minorHAnsi" w:cstheme="minorHAnsi"/>
                <w:sz w:val="22"/>
                <w:szCs w:val="22"/>
                <w:shd w:val="clear" w:color="auto" w:fill="FFFF00"/>
              </w:rPr>
            </w:pPr>
            <w:r w:rsidRPr="0068094B">
              <w:rPr>
                <w:rFonts w:asciiTheme="minorHAnsi" w:hAnsiTheme="minorHAnsi" w:cstheme="minorHAnsi"/>
                <w:sz w:val="22"/>
                <w:szCs w:val="22"/>
              </w:rPr>
              <w:t>Adjustments between accounting basis &amp; funding under regulations (</w:t>
            </w:r>
            <w:r w:rsidRPr="0068094B">
              <w:rPr>
                <w:rFonts w:asciiTheme="minorHAnsi" w:hAnsiTheme="minorHAnsi" w:cstheme="minorHAnsi"/>
                <w:sz w:val="22"/>
                <w:szCs w:val="22"/>
                <w:shd w:val="clear" w:color="auto" w:fill="FFFFFF"/>
              </w:rPr>
              <w:t xml:space="preserve">Note </w:t>
            </w:r>
            <w:r>
              <w:rPr>
                <w:rFonts w:asciiTheme="minorHAnsi" w:hAnsiTheme="minorHAnsi" w:cstheme="minorHAnsi"/>
                <w:sz w:val="22"/>
                <w:szCs w:val="22"/>
                <w:shd w:val="clear" w:color="auto" w:fill="FFFFFF"/>
              </w:rPr>
              <w:t>10</w:t>
            </w:r>
            <w:r w:rsidRPr="0068094B">
              <w:rPr>
                <w:rFonts w:asciiTheme="minorHAnsi" w:hAnsiTheme="minorHAnsi" w:cstheme="minorHAnsi"/>
                <w:sz w:val="22"/>
                <w:szCs w:val="22"/>
                <w:shd w:val="clear" w:color="auto" w:fill="FFFFFF"/>
              </w:rPr>
              <w:t>)</w:t>
            </w:r>
          </w:p>
        </w:tc>
        <w:tc>
          <w:tcPr>
            <w:tcW w:w="966" w:type="dxa"/>
            <w:tcBorders>
              <w:bottom w:val="single" w:sz="4" w:space="0" w:color="auto"/>
            </w:tcBorders>
            <w:shd w:val="clear" w:color="auto" w:fill="D9D9D9" w:themeFill="background1" w:themeFillShade="D9"/>
            <w:vAlign w:val="center"/>
          </w:tcPr>
          <w:p w:rsidR="004A1ECC" w:rsidRPr="00C90778" w:rsidRDefault="00C50018" w:rsidP="000B35EF">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w:t>
            </w:r>
            <w:r w:rsidR="000B35EF" w:rsidRPr="00C90778">
              <w:rPr>
                <w:rFonts w:asciiTheme="minorHAnsi" w:hAnsiTheme="minorHAnsi" w:cstheme="minorHAnsi"/>
                <w:bCs/>
                <w:sz w:val="22"/>
                <w:szCs w:val="22"/>
              </w:rPr>
              <w:t>6</w:t>
            </w:r>
            <w:r w:rsidRPr="00C90778">
              <w:rPr>
                <w:rFonts w:asciiTheme="minorHAnsi" w:hAnsiTheme="minorHAnsi" w:cstheme="minorHAnsi"/>
                <w:bCs/>
                <w:sz w:val="22"/>
                <w:szCs w:val="22"/>
              </w:rPr>
              <w:t>,</w:t>
            </w:r>
            <w:r w:rsidR="000B35EF" w:rsidRPr="00C90778">
              <w:rPr>
                <w:rFonts w:asciiTheme="minorHAnsi" w:hAnsiTheme="minorHAnsi" w:cstheme="minorHAnsi"/>
                <w:bCs/>
                <w:sz w:val="22"/>
                <w:szCs w:val="22"/>
              </w:rPr>
              <w:t>159</w:t>
            </w:r>
            <w:r w:rsidRPr="00C90778">
              <w:rPr>
                <w:rFonts w:asciiTheme="minorHAnsi" w:hAnsiTheme="minorHAnsi" w:cstheme="minorHAnsi"/>
                <w:bCs/>
                <w:sz w:val="22"/>
                <w:szCs w:val="22"/>
              </w:rPr>
              <w:t>)</w:t>
            </w:r>
          </w:p>
        </w:tc>
        <w:tc>
          <w:tcPr>
            <w:tcW w:w="885" w:type="dxa"/>
            <w:tcBorders>
              <w:bottom w:val="single" w:sz="4" w:space="0" w:color="auto"/>
            </w:tcBorders>
            <w:shd w:val="clear" w:color="auto" w:fill="D9D9D9" w:themeFill="background1" w:themeFillShade="D9"/>
            <w:vAlign w:val="center"/>
          </w:tcPr>
          <w:p w:rsidR="004A1ECC" w:rsidRPr="00C90778" w:rsidRDefault="006765A7" w:rsidP="00466C78">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(276)</w:t>
            </w:r>
          </w:p>
        </w:tc>
        <w:tc>
          <w:tcPr>
            <w:tcW w:w="992" w:type="dxa"/>
            <w:tcBorders>
              <w:bottom w:val="single" w:sz="4" w:space="0" w:color="auto"/>
              <w:right w:val="single" w:sz="4" w:space="0" w:color="auto"/>
            </w:tcBorders>
            <w:shd w:val="clear" w:color="auto" w:fill="D9D9D9" w:themeFill="background1" w:themeFillShade="D9"/>
            <w:vAlign w:val="center"/>
          </w:tcPr>
          <w:p w:rsidR="004A1ECC" w:rsidRPr="00C90778" w:rsidRDefault="006765A7" w:rsidP="00AA2FCC">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(845)</w:t>
            </w:r>
          </w:p>
        </w:tc>
        <w:tc>
          <w:tcPr>
            <w:tcW w:w="1129" w:type="dxa"/>
            <w:tcBorders>
              <w:left w:val="single" w:sz="4" w:space="0" w:color="auto"/>
              <w:bottom w:val="single" w:sz="4" w:space="0" w:color="auto"/>
              <w:right w:val="single" w:sz="4" w:space="0" w:color="auto"/>
            </w:tcBorders>
            <w:shd w:val="clear" w:color="auto" w:fill="D9D9D9" w:themeFill="background1" w:themeFillShade="D9"/>
            <w:vAlign w:val="center"/>
          </w:tcPr>
          <w:p w:rsidR="004A1ECC" w:rsidRPr="00C90778" w:rsidRDefault="00C50018" w:rsidP="000B35EF">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(7,</w:t>
            </w:r>
            <w:r w:rsidR="000B35EF" w:rsidRPr="00C90778">
              <w:rPr>
                <w:rFonts w:asciiTheme="minorHAnsi" w:hAnsiTheme="minorHAnsi" w:cstheme="minorHAnsi"/>
                <w:bCs/>
                <w:sz w:val="22"/>
                <w:szCs w:val="22"/>
              </w:rPr>
              <w:t>280</w:t>
            </w:r>
            <w:r w:rsidRPr="00C90778">
              <w:rPr>
                <w:rFonts w:asciiTheme="minorHAnsi" w:hAnsiTheme="minorHAnsi" w:cstheme="minorHAnsi"/>
                <w:bCs/>
                <w:sz w:val="22"/>
                <w:szCs w:val="22"/>
              </w:rPr>
              <w:t>)</w:t>
            </w:r>
          </w:p>
        </w:tc>
        <w:tc>
          <w:tcPr>
            <w:tcW w:w="1169" w:type="dxa"/>
            <w:tcBorders>
              <w:left w:val="single" w:sz="4" w:space="0" w:color="auto"/>
              <w:bottom w:val="single" w:sz="4" w:space="0" w:color="auto"/>
              <w:right w:val="single" w:sz="4" w:space="0" w:color="auto"/>
            </w:tcBorders>
            <w:shd w:val="clear" w:color="auto" w:fill="D9D9D9" w:themeFill="background1" w:themeFillShade="D9"/>
            <w:vAlign w:val="center"/>
          </w:tcPr>
          <w:p w:rsidR="004A1ECC" w:rsidRPr="00C90778" w:rsidRDefault="00C50018" w:rsidP="000B35EF">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7,</w:t>
            </w:r>
            <w:r w:rsidR="00364FB9" w:rsidRPr="00C90778">
              <w:rPr>
                <w:rFonts w:asciiTheme="minorHAnsi" w:hAnsiTheme="minorHAnsi" w:cstheme="minorHAnsi"/>
                <w:bCs/>
                <w:sz w:val="22"/>
                <w:szCs w:val="22"/>
              </w:rPr>
              <w:t>2</w:t>
            </w:r>
            <w:r w:rsidR="000B35EF" w:rsidRPr="00C90778">
              <w:rPr>
                <w:rFonts w:asciiTheme="minorHAnsi" w:hAnsiTheme="minorHAnsi" w:cstheme="minorHAnsi"/>
                <w:bCs/>
                <w:sz w:val="22"/>
                <w:szCs w:val="22"/>
              </w:rPr>
              <w:t>80</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C50018" w:rsidP="007F1B6F">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0</w:t>
            </w:r>
          </w:p>
        </w:tc>
      </w:tr>
      <w:tr w:rsidR="004A1ECC" w:rsidRPr="0068094B" w:rsidTr="00364FB9">
        <w:trPr>
          <w:trHeight w:val="375"/>
        </w:trPr>
        <w:tc>
          <w:tcPr>
            <w:tcW w:w="1101" w:type="dxa"/>
            <w:tcBorders>
              <w:top w:val="single" w:sz="4" w:space="0" w:color="auto"/>
              <w:bottom w:val="single" w:sz="4" w:space="0" w:color="auto"/>
            </w:tcBorders>
            <w:vAlign w:val="center"/>
          </w:tcPr>
          <w:p w:rsidR="004A1ECC" w:rsidRPr="0068094B" w:rsidRDefault="004A1ECC" w:rsidP="007F1B6F">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(5,262)</w:t>
            </w:r>
          </w:p>
        </w:tc>
        <w:tc>
          <w:tcPr>
            <w:tcW w:w="884" w:type="dxa"/>
            <w:tcBorders>
              <w:top w:val="single" w:sz="4" w:space="0" w:color="auto"/>
              <w:bottom w:val="single" w:sz="4" w:space="0" w:color="auto"/>
            </w:tcBorders>
            <w:vAlign w:val="center"/>
          </w:tcPr>
          <w:p w:rsidR="004A1ECC" w:rsidRPr="0068094B" w:rsidRDefault="004A1ECC">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(1,567)</w:t>
            </w:r>
          </w:p>
        </w:tc>
        <w:tc>
          <w:tcPr>
            <w:tcW w:w="992" w:type="dxa"/>
            <w:tcBorders>
              <w:top w:val="single" w:sz="4" w:space="0" w:color="auto"/>
              <w:bottom w:val="single" w:sz="4" w:space="0" w:color="auto"/>
              <w:right w:val="single" w:sz="4" w:space="0" w:color="auto"/>
            </w:tcBorders>
            <w:vAlign w:val="center"/>
          </w:tcPr>
          <w:p w:rsidR="004A1ECC" w:rsidRPr="0068094B" w:rsidRDefault="004A1ECC">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(4,604)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ECC" w:rsidRPr="00BA17A0" w:rsidRDefault="004A1ECC" w:rsidP="007F1B6F">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(11,433)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1ECC" w:rsidRPr="00BA17A0" w:rsidRDefault="004A1ECC" w:rsidP="007F1B6F">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2,331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ECC" w:rsidRPr="00BA17A0" w:rsidRDefault="004A1ECC" w:rsidP="007F1B6F">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(9,102)</w:t>
            </w:r>
          </w:p>
        </w:tc>
        <w:tc>
          <w:tcPr>
            <w:tcW w:w="3144" w:type="dxa"/>
            <w:tcBorders>
              <w:top w:val="single" w:sz="4" w:space="0" w:color="auto"/>
              <w:left w:val="single" w:sz="4" w:space="0" w:color="auto"/>
              <w:bottom w:val="single" w:sz="4" w:space="0" w:color="auto"/>
            </w:tcBorders>
            <w:vAlign w:val="center"/>
          </w:tcPr>
          <w:p w:rsidR="004A1ECC" w:rsidRPr="0068094B" w:rsidRDefault="004A1ECC" w:rsidP="00B9327C">
            <w:pPr>
              <w:pStyle w:val="BodyText1"/>
              <w:snapToGrid w:val="0"/>
              <w:spacing w:before="0" w:after="0"/>
              <w:ind w:left="0"/>
              <w:jc w:val="right"/>
              <w:rPr>
                <w:rFonts w:asciiTheme="minorHAnsi" w:hAnsiTheme="minorHAnsi" w:cstheme="minorHAnsi"/>
                <w:bCs/>
                <w:sz w:val="22"/>
                <w:szCs w:val="22"/>
              </w:rPr>
            </w:pPr>
            <w:r>
              <w:rPr>
                <w:rFonts w:asciiTheme="minorHAnsi" w:hAnsiTheme="minorHAnsi" w:cstheme="minorHAnsi"/>
                <w:bCs/>
                <w:sz w:val="22"/>
                <w:szCs w:val="22"/>
              </w:rPr>
              <w:t>(</w:t>
            </w:r>
            <w:r w:rsidRPr="0068094B">
              <w:rPr>
                <w:rFonts w:asciiTheme="minorHAnsi" w:hAnsiTheme="minorHAnsi" w:cstheme="minorHAnsi"/>
                <w:bCs/>
                <w:sz w:val="22"/>
                <w:szCs w:val="22"/>
              </w:rPr>
              <w:t>Increase</w:t>
            </w:r>
            <w:r>
              <w:rPr>
                <w:rFonts w:asciiTheme="minorHAnsi" w:hAnsiTheme="minorHAnsi" w:cstheme="minorHAnsi"/>
                <w:bCs/>
                <w:sz w:val="22"/>
                <w:szCs w:val="22"/>
              </w:rPr>
              <w:t>)</w:t>
            </w:r>
            <w:r w:rsidRPr="0068094B">
              <w:rPr>
                <w:rFonts w:asciiTheme="minorHAnsi" w:hAnsiTheme="minorHAnsi" w:cstheme="minorHAnsi"/>
                <w:bCs/>
                <w:sz w:val="22"/>
                <w:szCs w:val="22"/>
              </w:rPr>
              <w:t xml:space="preserve"> / Decrease In year</w:t>
            </w:r>
          </w:p>
        </w:tc>
        <w:tc>
          <w:tcPr>
            <w:tcW w:w="966" w:type="dxa"/>
            <w:tcBorders>
              <w:top w:val="single" w:sz="4" w:space="0" w:color="auto"/>
              <w:bottom w:val="single" w:sz="4" w:space="0" w:color="auto"/>
            </w:tcBorders>
            <w:shd w:val="clear" w:color="auto" w:fill="D9D9D9" w:themeFill="background1" w:themeFillShade="D9"/>
            <w:vAlign w:val="center"/>
          </w:tcPr>
          <w:p w:rsidR="004A1ECC" w:rsidRPr="000B35EF" w:rsidRDefault="0015119B" w:rsidP="0091169D">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(3,7</w:t>
            </w:r>
            <w:r w:rsidR="0091169D" w:rsidRPr="000B35EF">
              <w:rPr>
                <w:rFonts w:asciiTheme="minorHAnsi" w:hAnsiTheme="minorHAnsi" w:cstheme="minorHAnsi"/>
                <w:bCs/>
                <w:sz w:val="22"/>
                <w:szCs w:val="22"/>
              </w:rPr>
              <w:t>72</w:t>
            </w:r>
            <w:r w:rsidRPr="000B35EF">
              <w:rPr>
                <w:rFonts w:asciiTheme="minorHAnsi" w:hAnsiTheme="minorHAnsi" w:cstheme="minorHAnsi"/>
                <w:bCs/>
                <w:sz w:val="22"/>
                <w:szCs w:val="22"/>
              </w:rPr>
              <w:t>)</w:t>
            </w:r>
          </w:p>
        </w:tc>
        <w:tc>
          <w:tcPr>
            <w:tcW w:w="885" w:type="dxa"/>
            <w:tcBorders>
              <w:top w:val="single" w:sz="4" w:space="0" w:color="auto"/>
              <w:bottom w:val="single" w:sz="4" w:space="0" w:color="auto"/>
            </w:tcBorders>
            <w:shd w:val="clear" w:color="auto" w:fill="D9D9D9" w:themeFill="background1" w:themeFillShade="D9"/>
            <w:vAlign w:val="center"/>
          </w:tcPr>
          <w:p w:rsidR="004A1ECC" w:rsidRPr="000B35EF" w:rsidRDefault="006765A7" w:rsidP="00466C78">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(276)</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6765A7" w:rsidP="00AA2FCC">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(845)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15119B" w:rsidP="000448EB">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(4,</w:t>
            </w:r>
            <w:r w:rsidR="000448EB">
              <w:rPr>
                <w:rFonts w:asciiTheme="minorHAnsi" w:hAnsiTheme="minorHAnsi" w:cstheme="minorHAnsi"/>
                <w:bCs/>
                <w:sz w:val="22"/>
                <w:szCs w:val="22"/>
              </w:rPr>
              <w:t>8</w:t>
            </w:r>
            <w:r w:rsidR="0091169D" w:rsidRPr="000B35EF">
              <w:rPr>
                <w:rFonts w:asciiTheme="minorHAnsi" w:hAnsiTheme="minorHAnsi" w:cstheme="minorHAnsi"/>
                <w:bCs/>
                <w:sz w:val="22"/>
                <w:szCs w:val="22"/>
              </w:rPr>
              <w:t>93</w:t>
            </w:r>
            <w:r w:rsidRPr="000B35EF">
              <w:rPr>
                <w:rFonts w:asciiTheme="minorHAnsi" w:hAnsiTheme="minorHAnsi" w:cstheme="minorHAnsi"/>
                <w:bCs/>
                <w:sz w:val="22"/>
                <w:szCs w:val="22"/>
              </w:rPr>
              <w:t>)</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15119B" w:rsidP="00364FB9">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(2</w:t>
            </w:r>
            <w:r w:rsidR="00364FB9" w:rsidRPr="000B35EF">
              <w:rPr>
                <w:rFonts w:asciiTheme="minorHAnsi" w:hAnsiTheme="minorHAnsi" w:cstheme="minorHAnsi"/>
                <w:bCs/>
                <w:sz w:val="22"/>
                <w:szCs w:val="22"/>
              </w:rPr>
              <w:t>6</w:t>
            </w:r>
            <w:r w:rsidRPr="000B35EF">
              <w:rPr>
                <w:rFonts w:asciiTheme="minorHAnsi" w:hAnsiTheme="minorHAnsi" w:cstheme="minorHAnsi"/>
                <w:bCs/>
                <w:sz w:val="22"/>
                <w:szCs w:val="22"/>
              </w:rPr>
              <w:t>,</w:t>
            </w:r>
            <w:r w:rsidR="00364FB9" w:rsidRPr="000B35EF">
              <w:rPr>
                <w:rFonts w:asciiTheme="minorHAnsi" w:hAnsiTheme="minorHAnsi" w:cstheme="minorHAnsi"/>
                <w:bCs/>
                <w:sz w:val="22"/>
                <w:szCs w:val="22"/>
              </w:rPr>
              <w:t>546</w:t>
            </w:r>
            <w:r w:rsidRPr="000B35EF">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E2262E" w:rsidP="0091169D">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(3</w:t>
            </w:r>
            <w:r w:rsidR="00364FB9" w:rsidRPr="000B35EF">
              <w:rPr>
                <w:rFonts w:asciiTheme="minorHAnsi" w:hAnsiTheme="minorHAnsi" w:cstheme="minorHAnsi"/>
                <w:bCs/>
                <w:sz w:val="22"/>
                <w:szCs w:val="22"/>
              </w:rPr>
              <w:t>1</w:t>
            </w:r>
            <w:r w:rsidRPr="000B35EF">
              <w:rPr>
                <w:rFonts w:asciiTheme="minorHAnsi" w:hAnsiTheme="minorHAnsi" w:cstheme="minorHAnsi"/>
                <w:bCs/>
                <w:sz w:val="22"/>
                <w:szCs w:val="22"/>
              </w:rPr>
              <w:t>,</w:t>
            </w:r>
            <w:r w:rsidR="00364FB9" w:rsidRPr="000B35EF">
              <w:rPr>
                <w:rFonts w:asciiTheme="minorHAnsi" w:hAnsiTheme="minorHAnsi" w:cstheme="minorHAnsi"/>
                <w:bCs/>
                <w:sz w:val="22"/>
                <w:szCs w:val="22"/>
              </w:rPr>
              <w:t>4</w:t>
            </w:r>
            <w:r w:rsidR="0091169D" w:rsidRPr="000B35EF">
              <w:rPr>
                <w:rFonts w:asciiTheme="minorHAnsi" w:hAnsiTheme="minorHAnsi" w:cstheme="minorHAnsi"/>
                <w:bCs/>
                <w:sz w:val="22"/>
                <w:szCs w:val="22"/>
              </w:rPr>
              <w:t>39</w:t>
            </w:r>
            <w:r w:rsidRPr="000B35EF">
              <w:rPr>
                <w:rFonts w:asciiTheme="minorHAnsi" w:hAnsiTheme="minorHAnsi" w:cstheme="minorHAnsi"/>
                <w:bCs/>
                <w:sz w:val="22"/>
                <w:szCs w:val="22"/>
              </w:rPr>
              <w:t>)</w:t>
            </w:r>
          </w:p>
        </w:tc>
      </w:tr>
      <w:tr w:rsidR="004A1ECC" w:rsidRPr="0068094B" w:rsidTr="004A1ECC">
        <w:trPr>
          <w:trHeight w:val="567"/>
        </w:trPr>
        <w:tc>
          <w:tcPr>
            <w:tcW w:w="1101" w:type="dxa"/>
            <w:tcBorders>
              <w:top w:val="single" w:sz="4" w:space="0" w:color="auto"/>
              <w:bottom w:val="single" w:sz="4" w:space="0" w:color="auto"/>
            </w:tcBorders>
            <w:vAlign w:val="center"/>
          </w:tcPr>
          <w:p w:rsidR="004A1ECC" w:rsidRPr="0068094B" w:rsidRDefault="004A1ECC" w:rsidP="007F1B6F">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(44,266)</w:t>
            </w:r>
          </w:p>
        </w:tc>
        <w:tc>
          <w:tcPr>
            <w:tcW w:w="884" w:type="dxa"/>
            <w:tcBorders>
              <w:top w:val="single" w:sz="4" w:space="0" w:color="auto"/>
              <w:bottom w:val="single" w:sz="4" w:space="0" w:color="auto"/>
            </w:tcBorders>
            <w:vAlign w:val="center"/>
          </w:tcPr>
          <w:p w:rsidR="004A1ECC" w:rsidRPr="0068094B" w:rsidRDefault="004A1ECC" w:rsidP="007F1B6F">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(1,652)</w:t>
            </w:r>
          </w:p>
        </w:tc>
        <w:tc>
          <w:tcPr>
            <w:tcW w:w="992" w:type="dxa"/>
            <w:tcBorders>
              <w:top w:val="single" w:sz="4" w:space="0" w:color="auto"/>
              <w:bottom w:val="single" w:sz="4" w:space="0" w:color="auto"/>
              <w:right w:val="single" w:sz="4" w:space="0" w:color="auto"/>
            </w:tcBorders>
            <w:vAlign w:val="center"/>
          </w:tcPr>
          <w:p w:rsidR="004A1ECC" w:rsidRPr="0068094B" w:rsidRDefault="004A1ECC" w:rsidP="007F1B6F">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(12,434)</w:t>
            </w:r>
          </w:p>
        </w:tc>
        <w:tc>
          <w:tcPr>
            <w:tcW w:w="1134" w:type="dxa"/>
            <w:tcBorders>
              <w:top w:val="single" w:sz="4" w:space="0" w:color="auto"/>
              <w:left w:val="single" w:sz="4" w:space="0" w:color="auto"/>
              <w:bottom w:val="single" w:sz="4" w:space="0" w:color="auto"/>
              <w:right w:val="single" w:sz="4" w:space="0" w:color="auto"/>
            </w:tcBorders>
            <w:vAlign w:val="center"/>
          </w:tcPr>
          <w:p w:rsidR="004A1ECC" w:rsidRPr="0068094B" w:rsidRDefault="004A1ECC" w:rsidP="007F1B6F">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(58,352)</w:t>
            </w:r>
          </w:p>
        </w:tc>
        <w:tc>
          <w:tcPr>
            <w:tcW w:w="1276" w:type="dxa"/>
            <w:tcBorders>
              <w:top w:val="single" w:sz="4" w:space="0" w:color="auto"/>
              <w:left w:val="single" w:sz="4" w:space="0" w:color="auto"/>
              <w:bottom w:val="single" w:sz="4" w:space="0" w:color="auto"/>
              <w:right w:val="single" w:sz="4" w:space="0" w:color="auto"/>
            </w:tcBorders>
            <w:vAlign w:val="center"/>
          </w:tcPr>
          <w:p w:rsidR="004A1ECC" w:rsidRPr="0068094B" w:rsidRDefault="004A1ECC" w:rsidP="002C214D">
            <w:pPr>
              <w:pStyle w:val="BodyText1"/>
              <w:ind w:left="0"/>
              <w:jc w:val="right"/>
              <w:rPr>
                <w:rFonts w:asciiTheme="minorHAnsi" w:hAnsiTheme="minorHAnsi" w:cstheme="minorHAnsi"/>
                <w:bCs/>
                <w:sz w:val="22"/>
                <w:szCs w:val="22"/>
              </w:rPr>
            </w:pPr>
            <w:r w:rsidRPr="00D16CC2">
              <w:rPr>
                <w:rFonts w:asciiTheme="minorHAnsi" w:hAnsiTheme="minorHAnsi" w:cstheme="minorHAnsi"/>
                <w:bCs/>
                <w:sz w:val="22"/>
                <w:szCs w:val="22"/>
              </w:rPr>
              <w:t>(143,532)</w:t>
            </w:r>
          </w:p>
        </w:tc>
        <w:tc>
          <w:tcPr>
            <w:tcW w:w="1134" w:type="dxa"/>
            <w:tcBorders>
              <w:top w:val="single" w:sz="4" w:space="0" w:color="auto"/>
              <w:left w:val="single" w:sz="4" w:space="0" w:color="auto"/>
              <w:bottom w:val="single" w:sz="4" w:space="0" w:color="auto"/>
              <w:right w:val="single" w:sz="4" w:space="0" w:color="auto"/>
            </w:tcBorders>
            <w:vAlign w:val="center"/>
          </w:tcPr>
          <w:p w:rsidR="004A1ECC" w:rsidRPr="0068094B" w:rsidRDefault="004A1ECC" w:rsidP="007F1B6F">
            <w:pPr>
              <w:pStyle w:val="BodyText1"/>
              <w:snapToGrid w:val="0"/>
              <w:ind w:left="0"/>
              <w:jc w:val="right"/>
              <w:rPr>
                <w:rFonts w:asciiTheme="minorHAnsi" w:hAnsiTheme="minorHAnsi" w:cstheme="minorHAnsi"/>
                <w:bCs/>
                <w:sz w:val="22"/>
                <w:szCs w:val="22"/>
              </w:rPr>
            </w:pPr>
            <w:r w:rsidRPr="00D16CC2">
              <w:rPr>
                <w:rFonts w:asciiTheme="minorHAnsi" w:hAnsiTheme="minorHAnsi" w:cstheme="minorHAnsi"/>
                <w:bCs/>
                <w:sz w:val="22"/>
                <w:szCs w:val="22"/>
              </w:rPr>
              <w:t>(201,884)</w:t>
            </w:r>
          </w:p>
        </w:tc>
        <w:tc>
          <w:tcPr>
            <w:tcW w:w="3144" w:type="dxa"/>
            <w:tcBorders>
              <w:top w:val="single" w:sz="4" w:space="0" w:color="auto"/>
              <w:left w:val="single" w:sz="4" w:space="0" w:color="auto"/>
              <w:bottom w:val="single" w:sz="4" w:space="0" w:color="auto"/>
            </w:tcBorders>
            <w:vAlign w:val="center"/>
          </w:tcPr>
          <w:p w:rsidR="004A1ECC" w:rsidRPr="0068094B" w:rsidRDefault="004A1ECC" w:rsidP="007F1B6F">
            <w:pPr>
              <w:pStyle w:val="BodyText1"/>
              <w:snapToGrid w:val="0"/>
              <w:spacing w:before="0" w:after="0"/>
              <w:ind w:left="0"/>
              <w:jc w:val="right"/>
              <w:rPr>
                <w:rFonts w:asciiTheme="minorHAnsi" w:hAnsiTheme="minorHAnsi" w:cstheme="minorHAnsi"/>
                <w:bCs/>
                <w:sz w:val="22"/>
                <w:szCs w:val="22"/>
              </w:rPr>
            </w:pPr>
            <w:r w:rsidRPr="0068094B">
              <w:rPr>
                <w:rFonts w:asciiTheme="minorHAnsi" w:hAnsiTheme="minorHAnsi" w:cstheme="minorHAnsi"/>
                <w:bCs/>
                <w:sz w:val="22"/>
                <w:szCs w:val="22"/>
              </w:rPr>
              <w:t>Balance carried forward</w:t>
            </w:r>
          </w:p>
        </w:tc>
        <w:tc>
          <w:tcPr>
            <w:tcW w:w="966" w:type="dxa"/>
            <w:tcBorders>
              <w:top w:val="single" w:sz="4" w:space="0" w:color="auto"/>
              <w:bottom w:val="single" w:sz="4" w:space="0" w:color="auto"/>
            </w:tcBorders>
            <w:shd w:val="clear" w:color="auto" w:fill="D9D9D9" w:themeFill="background1" w:themeFillShade="D9"/>
            <w:vAlign w:val="center"/>
          </w:tcPr>
          <w:p w:rsidR="004A1ECC" w:rsidRPr="000B35EF" w:rsidRDefault="0015119B" w:rsidP="0091169D">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(48,0</w:t>
            </w:r>
            <w:r w:rsidR="0091169D" w:rsidRPr="000B35EF">
              <w:rPr>
                <w:rFonts w:asciiTheme="minorHAnsi" w:hAnsiTheme="minorHAnsi" w:cstheme="minorHAnsi"/>
                <w:bCs/>
                <w:sz w:val="22"/>
                <w:szCs w:val="22"/>
              </w:rPr>
              <w:t>38</w:t>
            </w:r>
            <w:r w:rsidRPr="000B35EF">
              <w:rPr>
                <w:rFonts w:asciiTheme="minorHAnsi" w:hAnsiTheme="minorHAnsi" w:cstheme="minorHAnsi"/>
                <w:bCs/>
                <w:sz w:val="22"/>
                <w:szCs w:val="22"/>
              </w:rPr>
              <w:t>)</w:t>
            </w:r>
          </w:p>
        </w:tc>
        <w:tc>
          <w:tcPr>
            <w:tcW w:w="885" w:type="dxa"/>
            <w:tcBorders>
              <w:top w:val="single" w:sz="4" w:space="0" w:color="auto"/>
              <w:bottom w:val="single" w:sz="4" w:space="0" w:color="auto"/>
            </w:tcBorders>
            <w:shd w:val="clear" w:color="auto" w:fill="D9D9D9" w:themeFill="background1" w:themeFillShade="D9"/>
            <w:vAlign w:val="center"/>
          </w:tcPr>
          <w:p w:rsidR="004A1ECC" w:rsidRPr="000B35EF" w:rsidRDefault="006765A7" w:rsidP="00466C78">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(1,928)</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6765A7" w:rsidP="00AA2FCC">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(13,279)</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15119B" w:rsidP="0091169D">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(63,2</w:t>
            </w:r>
            <w:r w:rsidR="0091169D" w:rsidRPr="000B35EF">
              <w:rPr>
                <w:rFonts w:asciiTheme="minorHAnsi" w:hAnsiTheme="minorHAnsi" w:cstheme="minorHAnsi"/>
                <w:bCs/>
                <w:sz w:val="22"/>
                <w:szCs w:val="22"/>
              </w:rPr>
              <w:t>45</w:t>
            </w:r>
            <w:r w:rsidRPr="000B35EF">
              <w:rPr>
                <w:rFonts w:asciiTheme="minorHAnsi" w:hAnsiTheme="minorHAnsi" w:cstheme="minorHAnsi"/>
                <w:bCs/>
                <w:sz w:val="22"/>
                <w:szCs w:val="22"/>
              </w:rPr>
              <w:t>)</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15119B" w:rsidP="00364FB9">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(1</w:t>
            </w:r>
            <w:r w:rsidR="00364FB9" w:rsidRPr="000B35EF">
              <w:rPr>
                <w:rFonts w:asciiTheme="minorHAnsi" w:hAnsiTheme="minorHAnsi" w:cstheme="minorHAnsi"/>
                <w:bCs/>
                <w:sz w:val="22"/>
                <w:szCs w:val="22"/>
              </w:rPr>
              <w:t>70</w:t>
            </w:r>
            <w:r w:rsidRPr="000B35EF">
              <w:rPr>
                <w:rFonts w:asciiTheme="minorHAnsi" w:hAnsiTheme="minorHAnsi" w:cstheme="minorHAnsi"/>
                <w:bCs/>
                <w:sz w:val="22"/>
                <w:szCs w:val="22"/>
              </w:rPr>
              <w:t>,</w:t>
            </w:r>
            <w:r w:rsidR="00364FB9" w:rsidRPr="000B35EF">
              <w:rPr>
                <w:rFonts w:asciiTheme="minorHAnsi" w:hAnsiTheme="minorHAnsi" w:cstheme="minorHAnsi"/>
                <w:bCs/>
                <w:sz w:val="22"/>
                <w:szCs w:val="22"/>
              </w:rPr>
              <w:t>078</w:t>
            </w:r>
            <w:r w:rsidRPr="000B35EF">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ECC" w:rsidRPr="000B35EF" w:rsidRDefault="0015119B" w:rsidP="0091169D">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(23</w:t>
            </w:r>
            <w:r w:rsidR="00364FB9" w:rsidRPr="000B35EF">
              <w:rPr>
                <w:rFonts w:asciiTheme="minorHAnsi" w:hAnsiTheme="minorHAnsi" w:cstheme="minorHAnsi"/>
                <w:bCs/>
                <w:sz w:val="22"/>
                <w:szCs w:val="22"/>
              </w:rPr>
              <w:t>3</w:t>
            </w:r>
            <w:r w:rsidRPr="000B35EF">
              <w:rPr>
                <w:rFonts w:asciiTheme="minorHAnsi" w:hAnsiTheme="minorHAnsi" w:cstheme="minorHAnsi"/>
                <w:bCs/>
                <w:sz w:val="22"/>
                <w:szCs w:val="22"/>
              </w:rPr>
              <w:t>,</w:t>
            </w:r>
            <w:r w:rsidR="00C43C30" w:rsidRPr="000B35EF">
              <w:rPr>
                <w:rFonts w:asciiTheme="minorHAnsi" w:hAnsiTheme="minorHAnsi" w:cstheme="minorHAnsi"/>
                <w:bCs/>
                <w:sz w:val="22"/>
                <w:szCs w:val="22"/>
              </w:rPr>
              <w:t>3</w:t>
            </w:r>
            <w:r w:rsidR="0091169D" w:rsidRPr="000B35EF">
              <w:rPr>
                <w:rFonts w:asciiTheme="minorHAnsi" w:hAnsiTheme="minorHAnsi" w:cstheme="minorHAnsi"/>
                <w:bCs/>
                <w:sz w:val="22"/>
                <w:szCs w:val="22"/>
              </w:rPr>
              <w:t>23</w:t>
            </w:r>
            <w:r w:rsidRPr="000B35EF">
              <w:rPr>
                <w:rFonts w:asciiTheme="minorHAnsi" w:hAnsiTheme="minorHAnsi" w:cstheme="minorHAnsi"/>
                <w:bCs/>
                <w:sz w:val="22"/>
                <w:szCs w:val="22"/>
              </w:rPr>
              <w:t>)</w:t>
            </w:r>
          </w:p>
        </w:tc>
      </w:tr>
    </w:tbl>
    <w:p w:rsidR="00BC517A" w:rsidRPr="0068094B" w:rsidRDefault="00BC517A">
      <w:pPr>
        <w:pStyle w:val="BodyText1"/>
        <w:ind w:left="0"/>
        <w:rPr>
          <w:rFonts w:asciiTheme="minorHAnsi" w:hAnsiTheme="minorHAnsi" w:cstheme="minorHAnsi"/>
          <w:b/>
          <w:bCs/>
          <w:sz w:val="22"/>
          <w:szCs w:val="22"/>
        </w:rPr>
        <w:sectPr w:rsidR="00BC517A" w:rsidRPr="0068094B" w:rsidSect="00420C36">
          <w:footnotePr>
            <w:pos w:val="beneathText"/>
          </w:footnotePr>
          <w:pgSz w:w="16838" w:h="11906" w:orient="landscape"/>
          <w:pgMar w:top="851" w:right="851" w:bottom="1736" w:left="1418" w:header="284" w:footer="576" w:gutter="0"/>
          <w:cols w:space="720"/>
          <w:docGrid w:linePitch="360"/>
        </w:sectPr>
      </w:pPr>
    </w:p>
    <w:p w:rsidR="00936345" w:rsidRPr="00650803" w:rsidRDefault="004A6511" w:rsidP="00650803">
      <w:pPr>
        <w:pStyle w:val="BodyText1"/>
        <w:spacing w:after="1080"/>
        <w:ind w:left="0"/>
        <w:rPr>
          <w:rFonts w:asciiTheme="minorHAnsi" w:hAnsiTheme="minorHAnsi" w:cstheme="minorHAnsi"/>
          <w:b/>
          <w:bCs/>
        </w:rPr>
      </w:pPr>
      <w:r w:rsidRPr="00FF3FE4">
        <w:rPr>
          <w:rFonts w:asciiTheme="minorHAnsi" w:hAnsiTheme="minorHAnsi" w:cstheme="minorHAnsi"/>
          <w:b/>
          <w:bCs/>
        </w:rPr>
        <w:lastRenderedPageBreak/>
        <w:t>Cash Flow Statement</w:t>
      </w:r>
    </w:p>
    <w:p w:rsidR="00183652" w:rsidRPr="0068094B" w:rsidRDefault="004A6511">
      <w:pPr>
        <w:widowControl/>
        <w:autoSpaceDE w:val="0"/>
        <w:rPr>
          <w:rFonts w:asciiTheme="minorHAnsi" w:hAnsiTheme="minorHAnsi" w:cstheme="minorHAnsi"/>
          <w:sz w:val="22"/>
          <w:szCs w:val="22"/>
        </w:rPr>
      </w:pPr>
      <w:r w:rsidRPr="0068094B">
        <w:rPr>
          <w:rFonts w:asciiTheme="minorHAnsi" w:hAnsiTheme="minorHAnsi" w:cstheme="minorHAnsi"/>
          <w:sz w:val="22"/>
          <w:szCs w:val="22"/>
        </w:rPr>
        <w:t xml:space="preserve">The Cash Flow Statement shows the changes in cash and cash equivalents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during the reporting period. The statement shows how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generates and uses cash and cash equivalents by classifying cash flows as operating, investing and financing activities</w:t>
      </w:r>
      <w:r w:rsidR="00650803">
        <w:rPr>
          <w:rFonts w:asciiTheme="minorHAnsi" w:hAnsiTheme="minorHAnsi" w:cstheme="minorHAnsi"/>
          <w:sz w:val="22"/>
          <w:szCs w:val="22"/>
        </w:rPr>
        <w:t>.</w:t>
      </w:r>
    </w:p>
    <w:p w:rsidR="00183652" w:rsidRPr="0068094B" w:rsidRDefault="00183652">
      <w:pPr>
        <w:widowControl/>
        <w:autoSpaceDE w:val="0"/>
        <w:rPr>
          <w:rFonts w:asciiTheme="minorHAnsi" w:hAnsiTheme="minorHAnsi" w:cstheme="minorHAnsi"/>
          <w:sz w:val="22"/>
          <w:szCs w:val="22"/>
        </w:rPr>
      </w:pPr>
    </w:p>
    <w:p w:rsidR="00183652" w:rsidRPr="0068094B" w:rsidRDefault="00183652">
      <w:pPr>
        <w:pStyle w:val="FootnoteTex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400"/>
        <w:gridCol w:w="409"/>
        <w:gridCol w:w="5619"/>
        <w:gridCol w:w="1517"/>
      </w:tblGrid>
      <w:tr w:rsidR="00183652" w:rsidRPr="0068094B" w:rsidTr="00673B42">
        <w:tc>
          <w:tcPr>
            <w:tcW w:w="1400" w:type="dxa"/>
            <w:vAlign w:val="center"/>
          </w:tcPr>
          <w:p w:rsidR="00CE4114" w:rsidRPr="0068094B" w:rsidRDefault="00CE4114" w:rsidP="00D124D1">
            <w:pPr>
              <w:pStyle w:val="Header"/>
              <w:tabs>
                <w:tab w:val="clear" w:pos="4320"/>
                <w:tab w:val="clear" w:pos="8640"/>
              </w:tabs>
              <w:snapToGrid w:val="0"/>
              <w:jc w:val="right"/>
              <w:rPr>
                <w:rFonts w:asciiTheme="minorHAnsi" w:hAnsiTheme="minorHAnsi" w:cstheme="minorHAnsi"/>
                <w:b/>
                <w:bCs/>
                <w:sz w:val="22"/>
                <w:szCs w:val="22"/>
              </w:rPr>
            </w:pPr>
          </w:p>
          <w:p w:rsidR="00183652" w:rsidRPr="0068094B" w:rsidRDefault="00233918" w:rsidP="0059540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201</w:t>
            </w:r>
            <w:r w:rsidR="00595404">
              <w:rPr>
                <w:rFonts w:asciiTheme="minorHAnsi" w:hAnsiTheme="minorHAnsi" w:cstheme="minorHAnsi"/>
                <w:b/>
                <w:bCs/>
                <w:sz w:val="22"/>
                <w:szCs w:val="22"/>
              </w:rPr>
              <w:t>8</w:t>
            </w:r>
            <w:r w:rsidRPr="0068094B">
              <w:rPr>
                <w:rFonts w:asciiTheme="minorHAnsi" w:hAnsiTheme="minorHAnsi" w:cstheme="minorHAnsi"/>
                <w:b/>
                <w:bCs/>
                <w:sz w:val="22"/>
                <w:szCs w:val="22"/>
              </w:rPr>
              <w:t>-1</w:t>
            </w:r>
            <w:r w:rsidR="00595404">
              <w:rPr>
                <w:rFonts w:asciiTheme="minorHAnsi" w:hAnsiTheme="minorHAnsi" w:cstheme="minorHAnsi"/>
                <w:b/>
                <w:bCs/>
                <w:sz w:val="22"/>
                <w:szCs w:val="22"/>
              </w:rPr>
              <w:t>9</w:t>
            </w:r>
          </w:p>
        </w:tc>
        <w:tc>
          <w:tcPr>
            <w:tcW w:w="409" w:type="dxa"/>
            <w:vAlign w:val="center"/>
          </w:tcPr>
          <w:p w:rsidR="00183652" w:rsidRPr="0068094B" w:rsidRDefault="00183652">
            <w:pPr>
              <w:snapToGrid w:val="0"/>
              <w:rPr>
                <w:rFonts w:asciiTheme="minorHAnsi" w:hAnsiTheme="minorHAnsi" w:cstheme="minorHAnsi"/>
                <w:sz w:val="22"/>
                <w:szCs w:val="22"/>
              </w:rPr>
            </w:pPr>
          </w:p>
        </w:tc>
        <w:tc>
          <w:tcPr>
            <w:tcW w:w="5619" w:type="dxa"/>
            <w:vAlign w:val="center"/>
          </w:tcPr>
          <w:p w:rsidR="00183652" w:rsidRPr="0068094B" w:rsidRDefault="0018365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rsidR="00C95D56" w:rsidRPr="0068094B" w:rsidRDefault="00C95D56" w:rsidP="00D124D1">
            <w:pPr>
              <w:pStyle w:val="Header"/>
              <w:tabs>
                <w:tab w:val="clear" w:pos="4320"/>
                <w:tab w:val="clear" w:pos="8640"/>
              </w:tabs>
              <w:snapToGrid w:val="0"/>
              <w:jc w:val="right"/>
              <w:rPr>
                <w:rFonts w:asciiTheme="minorHAnsi" w:hAnsiTheme="minorHAnsi" w:cstheme="minorHAnsi"/>
                <w:b/>
                <w:bCs/>
                <w:sz w:val="22"/>
                <w:szCs w:val="22"/>
              </w:rPr>
            </w:pPr>
          </w:p>
          <w:p w:rsidR="00183652" w:rsidRPr="0068094B" w:rsidRDefault="00233918" w:rsidP="0059540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201</w:t>
            </w:r>
            <w:r w:rsidR="00595404">
              <w:rPr>
                <w:rFonts w:asciiTheme="minorHAnsi" w:hAnsiTheme="minorHAnsi" w:cstheme="minorHAnsi"/>
                <w:b/>
                <w:bCs/>
                <w:sz w:val="22"/>
                <w:szCs w:val="22"/>
              </w:rPr>
              <w:t>9</w:t>
            </w:r>
            <w:r w:rsidRPr="0068094B">
              <w:rPr>
                <w:rFonts w:asciiTheme="minorHAnsi" w:hAnsiTheme="minorHAnsi" w:cstheme="minorHAnsi"/>
                <w:b/>
                <w:bCs/>
                <w:sz w:val="22"/>
                <w:szCs w:val="22"/>
              </w:rPr>
              <w:t>-</w:t>
            </w:r>
            <w:r w:rsidR="00595404">
              <w:rPr>
                <w:rFonts w:asciiTheme="minorHAnsi" w:hAnsiTheme="minorHAnsi" w:cstheme="minorHAnsi"/>
                <w:b/>
                <w:bCs/>
                <w:sz w:val="22"/>
                <w:szCs w:val="22"/>
              </w:rPr>
              <w:t>20</w:t>
            </w:r>
          </w:p>
        </w:tc>
      </w:tr>
      <w:tr w:rsidR="00183652" w:rsidRPr="0068094B" w:rsidTr="00673B42">
        <w:trPr>
          <w:trHeight w:val="273"/>
        </w:trPr>
        <w:tc>
          <w:tcPr>
            <w:tcW w:w="1400" w:type="dxa"/>
            <w:tcBorders>
              <w:bottom w:val="single" w:sz="4" w:space="0" w:color="000000"/>
            </w:tcBorders>
            <w:vAlign w:val="center"/>
          </w:tcPr>
          <w:p w:rsidR="00183652" w:rsidRPr="0068094B" w:rsidRDefault="004A6511">
            <w:pPr>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409" w:type="dxa"/>
            <w:vAlign w:val="center"/>
          </w:tcPr>
          <w:p w:rsidR="00183652" w:rsidRPr="0068094B" w:rsidRDefault="00183652">
            <w:pPr>
              <w:snapToGrid w:val="0"/>
              <w:rPr>
                <w:rFonts w:asciiTheme="minorHAnsi" w:hAnsiTheme="minorHAnsi" w:cstheme="minorHAnsi"/>
                <w:sz w:val="22"/>
                <w:szCs w:val="22"/>
              </w:rPr>
            </w:pPr>
          </w:p>
        </w:tc>
        <w:tc>
          <w:tcPr>
            <w:tcW w:w="5619" w:type="dxa"/>
            <w:vAlign w:val="center"/>
          </w:tcPr>
          <w:p w:rsidR="00183652" w:rsidRPr="0068094B" w:rsidRDefault="00183652">
            <w:pPr>
              <w:snapToGrid w:val="0"/>
              <w:rPr>
                <w:rFonts w:asciiTheme="minorHAnsi" w:hAnsiTheme="minorHAnsi" w:cstheme="minorHAnsi"/>
                <w:sz w:val="22"/>
                <w:szCs w:val="22"/>
              </w:rPr>
            </w:pPr>
          </w:p>
        </w:tc>
        <w:tc>
          <w:tcPr>
            <w:tcW w:w="1517" w:type="dxa"/>
            <w:tcBorders>
              <w:bottom w:val="single" w:sz="4" w:space="0" w:color="000000"/>
            </w:tcBorders>
            <w:shd w:val="clear" w:color="auto" w:fill="D9D9D9" w:themeFill="background1" w:themeFillShade="D9"/>
            <w:vAlign w:val="center"/>
          </w:tcPr>
          <w:p w:rsidR="00183652" w:rsidRPr="0068094B" w:rsidRDefault="004A6511">
            <w:pPr>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595404" w:rsidRPr="0068094B" w:rsidTr="003B4D7E">
        <w:trPr>
          <w:trHeight w:val="299"/>
        </w:trPr>
        <w:tc>
          <w:tcPr>
            <w:tcW w:w="1400" w:type="dxa"/>
            <w:tcBorders>
              <w:top w:val="single" w:sz="4" w:space="0" w:color="000000"/>
            </w:tcBorders>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(10,043)</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Net (surplus) or deficit on the provision of services</w:t>
            </w:r>
          </w:p>
        </w:tc>
        <w:tc>
          <w:tcPr>
            <w:tcW w:w="1517" w:type="dxa"/>
            <w:tcBorders>
              <w:top w:val="single" w:sz="4" w:space="0" w:color="000000"/>
            </w:tcBorders>
            <w:shd w:val="clear" w:color="auto" w:fill="D9D9D9" w:themeFill="background1" w:themeFillShade="D9"/>
            <w:vAlign w:val="center"/>
          </w:tcPr>
          <w:p w:rsidR="00595404" w:rsidRPr="00C90778" w:rsidRDefault="002C6BF9" w:rsidP="00D65979">
            <w:pPr>
              <w:snapToGrid w:val="0"/>
              <w:jc w:val="right"/>
              <w:rPr>
                <w:rFonts w:asciiTheme="minorHAnsi" w:hAnsiTheme="minorHAnsi" w:cstheme="minorHAnsi"/>
                <w:sz w:val="22"/>
                <w:szCs w:val="22"/>
              </w:rPr>
            </w:pPr>
            <w:r w:rsidRPr="00C90778">
              <w:rPr>
                <w:rFonts w:asciiTheme="minorHAnsi" w:hAnsiTheme="minorHAnsi" w:cstheme="minorHAnsi"/>
                <w:sz w:val="22"/>
                <w:szCs w:val="22"/>
              </w:rPr>
              <w:t>2,</w:t>
            </w:r>
            <w:r w:rsidR="00D65979" w:rsidRPr="00C90778">
              <w:rPr>
                <w:rFonts w:asciiTheme="minorHAnsi" w:hAnsiTheme="minorHAnsi" w:cstheme="minorHAnsi"/>
                <w:sz w:val="22"/>
                <w:szCs w:val="22"/>
              </w:rPr>
              <w:t>387</w:t>
            </w:r>
            <w:r w:rsidR="00D4423B" w:rsidRPr="00C90778">
              <w:rPr>
                <w:rFonts w:asciiTheme="minorHAnsi" w:hAnsiTheme="minorHAnsi" w:cstheme="minorHAnsi"/>
                <w:sz w:val="22"/>
                <w:szCs w:val="22"/>
              </w:rPr>
              <w:t xml:space="preserve">  </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7,503</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rsidP="00182A32">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Adjustments to net surplus or deficit on the provision of services for non-cash</w:t>
            </w:r>
          </w:p>
        </w:tc>
        <w:tc>
          <w:tcPr>
            <w:tcW w:w="1517" w:type="dxa"/>
            <w:shd w:val="clear" w:color="auto" w:fill="D9D9D9" w:themeFill="background1" w:themeFillShade="D9"/>
            <w:vAlign w:val="center"/>
          </w:tcPr>
          <w:p w:rsidR="00595404" w:rsidRPr="00C90778" w:rsidRDefault="00D4423B" w:rsidP="00D65979">
            <w:pPr>
              <w:snapToGrid w:val="0"/>
              <w:jc w:val="right"/>
              <w:rPr>
                <w:rFonts w:asciiTheme="minorHAnsi" w:hAnsiTheme="minorHAnsi" w:cstheme="minorHAnsi"/>
                <w:sz w:val="22"/>
                <w:szCs w:val="22"/>
              </w:rPr>
            </w:pPr>
            <w:r w:rsidRPr="00C90778">
              <w:rPr>
                <w:rFonts w:asciiTheme="minorHAnsi" w:hAnsiTheme="minorHAnsi" w:cstheme="minorHAnsi"/>
                <w:sz w:val="22"/>
                <w:szCs w:val="22"/>
              </w:rPr>
              <w:t>(4,</w:t>
            </w:r>
            <w:r w:rsidR="00D65979" w:rsidRPr="00C90778">
              <w:rPr>
                <w:rFonts w:asciiTheme="minorHAnsi" w:hAnsiTheme="minorHAnsi" w:cstheme="minorHAnsi"/>
                <w:sz w:val="22"/>
                <w:szCs w:val="22"/>
              </w:rPr>
              <w:t>264</w:t>
            </w:r>
            <w:r w:rsidRPr="00C90778">
              <w:rPr>
                <w:rFonts w:asciiTheme="minorHAnsi" w:hAnsiTheme="minorHAnsi" w:cstheme="minorHAnsi"/>
                <w:sz w:val="22"/>
                <w:szCs w:val="22"/>
              </w:rPr>
              <w:t>)</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1,549</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Adjustment for items included in the net surplus or deficit on the provision of services that are investing and financing activities</w:t>
            </w:r>
          </w:p>
        </w:tc>
        <w:tc>
          <w:tcPr>
            <w:tcW w:w="1517" w:type="dxa"/>
            <w:shd w:val="clear" w:color="auto" w:fill="D9D9D9" w:themeFill="background1" w:themeFillShade="D9"/>
            <w:vAlign w:val="center"/>
          </w:tcPr>
          <w:p w:rsidR="00595404" w:rsidRPr="00C90778" w:rsidRDefault="00D4423B" w:rsidP="007245D3">
            <w:pPr>
              <w:snapToGrid w:val="0"/>
              <w:jc w:val="right"/>
              <w:rPr>
                <w:rFonts w:asciiTheme="minorHAnsi" w:hAnsiTheme="minorHAnsi" w:cstheme="minorHAnsi"/>
                <w:sz w:val="22"/>
                <w:szCs w:val="22"/>
              </w:rPr>
            </w:pPr>
            <w:r w:rsidRPr="00C90778">
              <w:rPr>
                <w:rFonts w:asciiTheme="minorHAnsi" w:hAnsiTheme="minorHAnsi" w:cstheme="minorHAnsi"/>
                <w:sz w:val="22"/>
                <w:szCs w:val="22"/>
              </w:rPr>
              <w:t>1,532</w:t>
            </w:r>
          </w:p>
        </w:tc>
      </w:tr>
      <w:tr w:rsidR="00595404" w:rsidRPr="0068094B" w:rsidTr="003B4D7E">
        <w:trPr>
          <w:trHeight w:val="399"/>
        </w:trPr>
        <w:tc>
          <w:tcPr>
            <w:tcW w:w="1400" w:type="dxa"/>
            <w:tcBorders>
              <w:top w:val="single" w:sz="4" w:space="0" w:color="000000"/>
            </w:tcBorders>
            <w:vAlign w:val="center"/>
          </w:tcPr>
          <w:p w:rsidR="00595404" w:rsidRPr="0068094B" w:rsidRDefault="00595404" w:rsidP="00E21253">
            <w:pPr>
              <w:snapToGrid w:val="0"/>
              <w:jc w:val="right"/>
              <w:rPr>
                <w:rFonts w:asciiTheme="minorHAnsi" w:hAnsiTheme="minorHAnsi" w:cstheme="minorHAnsi"/>
                <w:b/>
                <w:sz w:val="22"/>
                <w:szCs w:val="22"/>
              </w:rPr>
            </w:pPr>
            <w:r w:rsidRPr="00D16CC2">
              <w:rPr>
                <w:rFonts w:asciiTheme="minorHAnsi" w:hAnsiTheme="minorHAnsi" w:cstheme="minorHAnsi"/>
                <w:b/>
                <w:sz w:val="22"/>
                <w:szCs w:val="22"/>
              </w:rPr>
              <w:t>(991)</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Operating Activities</w:t>
            </w:r>
          </w:p>
        </w:tc>
        <w:tc>
          <w:tcPr>
            <w:tcW w:w="1517" w:type="dxa"/>
            <w:tcBorders>
              <w:top w:val="single" w:sz="4" w:space="0" w:color="000000"/>
            </w:tcBorders>
            <w:shd w:val="clear" w:color="auto" w:fill="D9D9D9" w:themeFill="background1" w:themeFillShade="D9"/>
            <w:vAlign w:val="center"/>
          </w:tcPr>
          <w:p w:rsidR="00595404" w:rsidRPr="00D16CC2" w:rsidRDefault="00D4423B" w:rsidP="00497F9E">
            <w:pPr>
              <w:snapToGrid w:val="0"/>
              <w:jc w:val="right"/>
              <w:rPr>
                <w:rFonts w:asciiTheme="minorHAnsi" w:hAnsiTheme="minorHAnsi" w:cstheme="minorHAnsi"/>
                <w:b/>
                <w:sz w:val="22"/>
                <w:szCs w:val="22"/>
              </w:rPr>
            </w:pPr>
            <w:r>
              <w:rPr>
                <w:rFonts w:asciiTheme="minorHAnsi" w:hAnsiTheme="minorHAnsi" w:cstheme="minorHAnsi"/>
                <w:b/>
                <w:sz w:val="22"/>
                <w:szCs w:val="22"/>
              </w:rPr>
              <w:t>(</w:t>
            </w:r>
            <w:r w:rsidR="00497F9E" w:rsidRPr="00A246B0">
              <w:rPr>
                <w:rFonts w:asciiTheme="minorHAnsi" w:hAnsiTheme="minorHAnsi" w:cstheme="minorHAnsi"/>
                <w:b/>
                <w:sz w:val="22"/>
                <w:szCs w:val="22"/>
              </w:rPr>
              <w:t>345</w:t>
            </w:r>
            <w:r>
              <w:rPr>
                <w:rFonts w:asciiTheme="minorHAnsi" w:hAnsiTheme="minorHAnsi" w:cstheme="minorHAnsi"/>
                <w:b/>
                <w:sz w:val="22"/>
                <w:szCs w:val="22"/>
              </w:rPr>
              <w:t>)</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b/>
                <w:sz w:val="22"/>
                <w:szCs w:val="22"/>
              </w:rPr>
            </w:pPr>
            <w:r w:rsidRPr="0068094B">
              <w:rPr>
                <w:rFonts w:asciiTheme="minorHAnsi" w:hAnsiTheme="minorHAnsi" w:cstheme="minorHAnsi"/>
                <w:b/>
                <w:sz w:val="22"/>
                <w:szCs w:val="22"/>
              </w:rPr>
              <w:t>Interest</w:t>
            </w:r>
          </w:p>
        </w:tc>
        <w:tc>
          <w:tcPr>
            <w:tcW w:w="1517" w:type="dxa"/>
            <w:shd w:val="clear" w:color="auto" w:fill="D9D9D9" w:themeFill="background1" w:themeFillShade="D9"/>
            <w:vAlign w:val="center"/>
          </w:tcPr>
          <w:p w:rsidR="00595404" w:rsidRPr="00D16CC2" w:rsidRDefault="00595404">
            <w:pPr>
              <w:snapToGrid w:val="0"/>
              <w:jc w:val="right"/>
              <w:rPr>
                <w:rFonts w:asciiTheme="minorHAnsi" w:hAnsiTheme="minorHAnsi" w:cstheme="minorHAnsi"/>
                <w:sz w:val="22"/>
                <w:szCs w:val="22"/>
              </w:rPr>
            </w:pP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Interest Paid</w:t>
            </w:r>
          </w:p>
        </w:tc>
        <w:tc>
          <w:tcPr>
            <w:tcW w:w="1517" w:type="dxa"/>
            <w:shd w:val="clear" w:color="auto" w:fill="D9D9D9" w:themeFill="background1" w:themeFillShade="D9"/>
            <w:vAlign w:val="center"/>
          </w:tcPr>
          <w:p w:rsidR="00595404" w:rsidRPr="00D16CC2" w:rsidRDefault="00D4423B">
            <w:pPr>
              <w:snapToGrid w:val="0"/>
              <w:jc w:val="right"/>
              <w:rPr>
                <w:rFonts w:asciiTheme="minorHAnsi" w:hAnsiTheme="minorHAnsi" w:cstheme="minorHAnsi"/>
                <w:sz w:val="22"/>
                <w:szCs w:val="22"/>
              </w:rPr>
            </w:pPr>
            <w:r>
              <w:rPr>
                <w:rFonts w:asciiTheme="minorHAnsi" w:hAnsiTheme="minorHAnsi" w:cstheme="minorHAnsi"/>
                <w:sz w:val="22"/>
                <w:szCs w:val="22"/>
              </w:rPr>
              <w:t>12</w:t>
            </w:r>
          </w:p>
        </w:tc>
      </w:tr>
      <w:tr w:rsidR="00595404" w:rsidRPr="0068094B" w:rsidTr="003B4D7E">
        <w:tc>
          <w:tcPr>
            <w:tcW w:w="1400" w:type="dxa"/>
            <w:tcBorders>
              <w:bottom w:val="single" w:sz="4" w:space="0" w:color="auto"/>
            </w:tcBorders>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(1,636)</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Interest Received</w:t>
            </w:r>
          </w:p>
        </w:tc>
        <w:tc>
          <w:tcPr>
            <w:tcW w:w="1517" w:type="dxa"/>
            <w:tcBorders>
              <w:bottom w:val="single" w:sz="4" w:space="0" w:color="auto"/>
            </w:tcBorders>
            <w:shd w:val="clear" w:color="auto" w:fill="D9D9D9" w:themeFill="background1" w:themeFillShade="D9"/>
            <w:vAlign w:val="center"/>
          </w:tcPr>
          <w:p w:rsidR="00595404" w:rsidRPr="00D16CC2" w:rsidRDefault="00D4423B" w:rsidP="007245D3">
            <w:pPr>
              <w:snapToGrid w:val="0"/>
              <w:jc w:val="right"/>
              <w:rPr>
                <w:rFonts w:asciiTheme="minorHAnsi" w:hAnsiTheme="minorHAnsi" w:cstheme="minorHAnsi"/>
                <w:sz w:val="22"/>
                <w:szCs w:val="22"/>
              </w:rPr>
            </w:pPr>
            <w:r>
              <w:rPr>
                <w:rFonts w:asciiTheme="minorHAnsi" w:hAnsiTheme="minorHAnsi" w:cstheme="minorHAnsi"/>
                <w:sz w:val="22"/>
                <w:szCs w:val="22"/>
              </w:rPr>
              <w:t>(1,644)</w:t>
            </w:r>
          </w:p>
        </w:tc>
      </w:tr>
      <w:tr w:rsidR="00595404" w:rsidRPr="0068094B" w:rsidTr="003B4D7E">
        <w:tc>
          <w:tcPr>
            <w:tcW w:w="1400" w:type="dxa"/>
            <w:tcBorders>
              <w:top w:val="single" w:sz="4" w:space="0" w:color="auto"/>
            </w:tcBorders>
            <w:vAlign w:val="center"/>
          </w:tcPr>
          <w:p w:rsidR="00595404" w:rsidRPr="0068094B" w:rsidRDefault="00595404" w:rsidP="00E21253">
            <w:pPr>
              <w:snapToGrid w:val="0"/>
              <w:jc w:val="right"/>
              <w:rPr>
                <w:rFonts w:asciiTheme="minorHAnsi" w:hAnsiTheme="minorHAnsi" w:cstheme="minorHAnsi"/>
                <w:b/>
                <w:sz w:val="22"/>
                <w:szCs w:val="22"/>
              </w:rPr>
            </w:pPr>
            <w:r w:rsidRPr="00D16CC2">
              <w:rPr>
                <w:rFonts w:asciiTheme="minorHAnsi" w:hAnsiTheme="minorHAnsi" w:cstheme="minorHAnsi"/>
                <w:b/>
                <w:sz w:val="22"/>
                <w:szCs w:val="22"/>
              </w:rPr>
              <w:t>(1,636)</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p>
        </w:tc>
        <w:tc>
          <w:tcPr>
            <w:tcW w:w="1517" w:type="dxa"/>
            <w:tcBorders>
              <w:top w:val="single" w:sz="4" w:space="0" w:color="auto"/>
            </w:tcBorders>
            <w:shd w:val="clear" w:color="auto" w:fill="D9D9D9" w:themeFill="background1" w:themeFillShade="D9"/>
            <w:vAlign w:val="center"/>
          </w:tcPr>
          <w:p w:rsidR="00595404" w:rsidRPr="00D16CC2" w:rsidRDefault="00D4423B" w:rsidP="007245D3">
            <w:pPr>
              <w:snapToGrid w:val="0"/>
              <w:jc w:val="right"/>
              <w:rPr>
                <w:rFonts w:asciiTheme="minorHAnsi" w:hAnsiTheme="minorHAnsi" w:cstheme="minorHAnsi"/>
                <w:b/>
                <w:sz w:val="22"/>
                <w:szCs w:val="22"/>
              </w:rPr>
            </w:pPr>
            <w:r>
              <w:rPr>
                <w:rFonts w:asciiTheme="minorHAnsi" w:hAnsiTheme="minorHAnsi" w:cstheme="minorHAnsi"/>
                <w:b/>
                <w:sz w:val="22"/>
                <w:szCs w:val="22"/>
              </w:rPr>
              <w:t>(1,632)</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p>
        </w:tc>
        <w:tc>
          <w:tcPr>
            <w:tcW w:w="1517" w:type="dxa"/>
            <w:shd w:val="clear" w:color="auto" w:fill="D9D9D9" w:themeFill="background1" w:themeFillShade="D9"/>
            <w:vAlign w:val="center"/>
          </w:tcPr>
          <w:p w:rsidR="00595404" w:rsidRPr="00D16CC2" w:rsidRDefault="00595404">
            <w:pPr>
              <w:snapToGrid w:val="0"/>
              <w:jc w:val="right"/>
              <w:rPr>
                <w:rFonts w:asciiTheme="minorHAnsi" w:hAnsiTheme="minorHAnsi" w:cstheme="minorHAnsi"/>
                <w:sz w:val="22"/>
                <w:szCs w:val="22"/>
              </w:rPr>
            </w:pP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b/>
                <w:bCs/>
                <w:sz w:val="22"/>
                <w:szCs w:val="22"/>
              </w:rPr>
            </w:pPr>
            <w:r w:rsidRPr="0068094B">
              <w:rPr>
                <w:rFonts w:asciiTheme="minorHAnsi" w:hAnsiTheme="minorHAnsi" w:cstheme="minorHAnsi"/>
                <w:b/>
                <w:bCs/>
                <w:sz w:val="22"/>
                <w:szCs w:val="22"/>
              </w:rPr>
              <w:t>Investing Activities</w:t>
            </w:r>
          </w:p>
        </w:tc>
        <w:tc>
          <w:tcPr>
            <w:tcW w:w="1517" w:type="dxa"/>
            <w:shd w:val="clear" w:color="auto" w:fill="D9D9D9" w:themeFill="background1" w:themeFillShade="D9"/>
            <w:vAlign w:val="center"/>
          </w:tcPr>
          <w:p w:rsidR="00595404" w:rsidRPr="00D16CC2" w:rsidRDefault="00595404">
            <w:pPr>
              <w:snapToGrid w:val="0"/>
              <w:jc w:val="right"/>
              <w:rPr>
                <w:rFonts w:asciiTheme="minorHAnsi" w:hAnsiTheme="minorHAnsi" w:cstheme="minorHAnsi"/>
                <w:sz w:val="22"/>
                <w:szCs w:val="22"/>
              </w:rPr>
            </w:pP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2,713</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Purchase of property, plant and equipment, investment property and intangible assets</w:t>
            </w:r>
          </w:p>
        </w:tc>
        <w:tc>
          <w:tcPr>
            <w:tcW w:w="1517" w:type="dxa"/>
            <w:shd w:val="clear" w:color="auto" w:fill="D9D9D9" w:themeFill="background1" w:themeFillShade="D9"/>
            <w:vAlign w:val="center"/>
          </w:tcPr>
          <w:p w:rsidR="00595404" w:rsidRPr="00D16CC2" w:rsidRDefault="00D4423B" w:rsidP="0030316F">
            <w:pPr>
              <w:snapToGrid w:val="0"/>
              <w:jc w:val="right"/>
              <w:rPr>
                <w:rFonts w:asciiTheme="minorHAnsi" w:hAnsiTheme="minorHAnsi" w:cstheme="minorHAnsi"/>
                <w:sz w:val="22"/>
                <w:szCs w:val="22"/>
              </w:rPr>
            </w:pPr>
            <w:r>
              <w:rPr>
                <w:rFonts w:asciiTheme="minorHAnsi" w:hAnsiTheme="minorHAnsi" w:cstheme="minorHAnsi"/>
                <w:sz w:val="22"/>
                <w:szCs w:val="22"/>
              </w:rPr>
              <w:t>3,878</w:t>
            </w:r>
          </w:p>
        </w:tc>
      </w:tr>
      <w:tr w:rsidR="00595404" w:rsidRPr="0068094B" w:rsidTr="003B4D7E">
        <w:tc>
          <w:tcPr>
            <w:tcW w:w="1400" w:type="dxa"/>
            <w:vAlign w:val="center"/>
          </w:tcPr>
          <w:p w:rsidR="00595404" w:rsidRPr="0068094B" w:rsidRDefault="00595404" w:rsidP="00060F53">
            <w:pPr>
              <w:snapToGrid w:val="0"/>
              <w:jc w:val="right"/>
              <w:rPr>
                <w:rFonts w:asciiTheme="minorHAnsi" w:hAnsiTheme="minorHAnsi" w:cstheme="minorHAnsi"/>
                <w:sz w:val="22"/>
                <w:szCs w:val="22"/>
              </w:rPr>
            </w:pPr>
            <w:r w:rsidRPr="00D16CC2">
              <w:rPr>
                <w:rFonts w:asciiTheme="minorHAnsi" w:hAnsiTheme="minorHAnsi" w:cstheme="minorHAnsi"/>
                <w:sz w:val="22"/>
                <w:szCs w:val="22"/>
              </w:rPr>
              <w:t>240,471</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Purchase of short-term and long-term investments</w:t>
            </w:r>
          </w:p>
        </w:tc>
        <w:tc>
          <w:tcPr>
            <w:tcW w:w="1517" w:type="dxa"/>
            <w:shd w:val="clear" w:color="auto" w:fill="D9D9D9" w:themeFill="background1" w:themeFillShade="D9"/>
            <w:vAlign w:val="center"/>
          </w:tcPr>
          <w:p w:rsidR="00595404" w:rsidRPr="00D16CC2" w:rsidRDefault="00D4423B" w:rsidP="003B0FCC">
            <w:pPr>
              <w:snapToGrid w:val="0"/>
              <w:jc w:val="right"/>
              <w:rPr>
                <w:rFonts w:asciiTheme="minorHAnsi" w:hAnsiTheme="minorHAnsi" w:cstheme="minorHAnsi"/>
                <w:sz w:val="22"/>
                <w:szCs w:val="22"/>
              </w:rPr>
            </w:pPr>
            <w:r>
              <w:rPr>
                <w:rFonts w:asciiTheme="minorHAnsi" w:hAnsiTheme="minorHAnsi" w:cstheme="minorHAnsi"/>
                <w:sz w:val="22"/>
                <w:szCs w:val="22"/>
              </w:rPr>
              <w:t>254,578</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128</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Other payments for investing activities</w:t>
            </w:r>
          </w:p>
        </w:tc>
        <w:tc>
          <w:tcPr>
            <w:tcW w:w="1517" w:type="dxa"/>
            <w:shd w:val="clear" w:color="auto" w:fill="D9D9D9" w:themeFill="background1" w:themeFillShade="D9"/>
            <w:vAlign w:val="center"/>
          </w:tcPr>
          <w:p w:rsidR="00595404" w:rsidRPr="00D16CC2" w:rsidRDefault="00D4423B" w:rsidP="00D228B8">
            <w:pPr>
              <w:snapToGrid w:val="0"/>
              <w:jc w:val="right"/>
              <w:rPr>
                <w:rFonts w:asciiTheme="minorHAnsi" w:hAnsiTheme="minorHAnsi" w:cstheme="minorHAnsi"/>
                <w:sz w:val="22"/>
                <w:szCs w:val="22"/>
              </w:rPr>
            </w:pPr>
            <w:r>
              <w:rPr>
                <w:rFonts w:asciiTheme="minorHAnsi" w:hAnsiTheme="minorHAnsi" w:cstheme="minorHAnsi"/>
                <w:sz w:val="22"/>
                <w:szCs w:val="22"/>
              </w:rPr>
              <w:t>99</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(2,330)</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rsidP="00217AD9">
            <w:pPr>
              <w:snapToGrid w:val="0"/>
              <w:rPr>
                <w:rFonts w:asciiTheme="minorHAnsi" w:hAnsiTheme="minorHAnsi" w:cstheme="minorHAnsi"/>
                <w:sz w:val="22"/>
                <w:szCs w:val="22"/>
              </w:rPr>
            </w:pPr>
            <w:r w:rsidRPr="0068094B">
              <w:rPr>
                <w:rFonts w:asciiTheme="minorHAnsi" w:hAnsiTheme="minorHAnsi" w:cstheme="minorHAnsi"/>
                <w:sz w:val="22"/>
                <w:szCs w:val="22"/>
              </w:rPr>
              <w:t>Proceeds from the sale of property, plant and equipment, non-current assets held for sale, investment property and intangible assets</w:t>
            </w:r>
          </w:p>
        </w:tc>
        <w:tc>
          <w:tcPr>
            <w:tcW w:w="1517" w:type="dxa"/>
            <w:shd w:val="clear" w:color="auto" w:fill="D9D9D9" w:themeFill="background1" w:themeFillShade="D9"/>
            <w:vAlign w:val="center"/>
          </w:tcPr>
          <w:p w:rsidR="00595404" w:rsidRPr="00D16CC2" w:rsidRDefault="00D4423B" w:rsidP="003B0FCC">
            <w:pPr>
              <w:snapToGrid w:val="0"/>
              <w:jc w:val="right"/>
              <w:rPr>
                <w:rFonts w:asciiTheme="minorHAnsi" w:hAnsiTheme="minorHAnsi" w:cstheme="minorHAnsi"/>
                <w:sz w:val="22"/>
                <w:szCs w:val="22"/>
              </w:rPr>
            </w:pPr>
            <w:r>
              <w:rPr>
                <w:rFonts w:asciiTheme="minorHAnsi" w:hAnsiTheme="minorHAnsi" w:cstheme="minorHAnsi"/>
                <w:sz w:val="22"/>
                <w:szCs w:val="22"/>
              </w:rPr>
              <w:t>(506)</w:t>
            </w:r>
          </w:p>
        </w:tc>
      </w:tr>
      <w:tr w:rsidR="00595404" w:rsidRPr="0068094B" w:rsidTr="003B4D7E">
        <w:tc>
          <w:tcPr>
            <w:tcW w:w="1400" w:type="dxa"/>
            <w:vAlign w:val="center"/>
          </w:tcPr>
          <w:p w:rsidR="00595404" w:rsidRPr="0068094B" w:rsidRDefault="00595404" w:rsidP="00060F53">
            <w:pPr>
              <w:snapToGrid w:val="0"/>
              <w:jc w:val="right"/>
              <w:rPr>
                <w:rFonts w:asciiTheme="minorHAnsi" w:hAnsiTheme="minorHAnsi" w:cstheme="minorHAnsi"/>
                <w:sz w:val="22"/>
                <w:szCs w:val="22"/>
              </w:rPr>
            </w:pPr>
            <w:r w:rsidRPr="00D16CC2">
              <w:rPr>
                <w:rFonts w:asciiTheme="minorHAnsi" w:hAnsiTheme="minorHAnsi" w:cstheme="minorHAnsi"/>
                <w:sz w:val="22"/>
                <w:szCs w:val="22"/>
              </w:rPr>
              <w:t>(224,642)</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Proceeds from short-term and long-term investments</w:t>
            </w:r>
          </w:p>
        </w:tc>
        <w:tc>
          <w:tcPr>
            <w:tcW w:w="1517" w:type="dxa"/>
            <w:shd w:val="clear" w:color="auto" w:fill="D9D9D9" w:themeFill="background1" w:themeFillShade="D9"/>
            <w:vAlign w:val="center"/>
          </w:tcPr>
          <w:p w:rsidR="00595404" w:rsidRPr="00D16CC2" w:rsidRDefault="00D4423B" w:rsidP="00497F9E">
            <w:pPr>
              <w:snapToGrid w:val="0"/>
              <w:jc w:val="right"/>
              <w:rPr>
                <w:rFonts w:asciiTheme="minorHAnsi" w:hAnsiTheme="minorHAnsi" w:cstheme="minorHAnsi"/>
                <w:sz w:val="22"/>
                <w:szCs w:val="22"/>
              </w:rPr>
            </w:pPr>
            <w:r w:rsidRPr="00A246B0">
              <w:rPr>
                <w:rFonts w:asciiTheme="minorHAnsi" w:hAnsiTheme="minorHAnsi" w:cstheme="minorHAnsi"/>
                <w:sz w:val="22"/>
                <w:szCs w:val="22"/>
              </w:rPr>
              <w:t>(245,55</w:t>
            </w:r>
            <w:r w:rsidR="00497F9E" w:rsidRPr="00A246B0">
              <w:rPr>
                <w:rFonts w:asciiTheme="minorHAnsi" w:hAnsiTheme="minorHAnsi" w:cstheme="minorHAnsi"/>
                <w:sz w:val="22"/>
                <w:szCs w:val="22"/>
              </w:rPr>
              <w:t>0</w:t>
            </w:r>
            <w:r w:rsidRPr="00A246B0">
              <w:rPr>
                <w:rFonts w:asciiTheme="minorHAnsi" w:hAnsiTheme="minorHAnsi" w:cstheme="minorHAnsi"/>
                <w:sz w:val="22"/>
                <w:szCs w:val="22"/>
              </w:rPr>
              <w:t>)</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(6,202)</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Capital Grants</w:t>
            </w:r>
          </w:p>
        </w:tc>
        <w:tc>
          <w:tcPr>
            <w:tcW w:w="1517" w:type="dxa"/>
            <w:shd w:val="clear" w:color="auto" w:fill="D9D9D9" w:themeFill="background1" w:themeFillShade="D9"/>
            <w:vAlign w:val="center"/>
          </w:tcPr>
          <w:p w:rsidR="00595404" w:rsidRPr="00D16CC2" w:rsidRDefault="00D4423B" w:rsidP="003B0FCC">
            <w:pPr>
              <w:snapToGrid w:val="0"/>
              <w:jc w:val="right"/>
              <w:rPr>
                <w:rFonts w:asciiTheme="minorHAnsi" w:hAnsiTheme="minorHAnsi" w:cstheme="minorHAnsi"/>
                <w:sz w:val="22"/>
                <w:szCs w:val="22"/>
              </w:rPr>
            </w:pPr>
            <w:r>
              <w:rPr>
                <w:rFonts w:asciiTheme="minorHAnsi" w:hAnsiTheme="minorHAnsi" w:cstheme="minorHAnsi"/>
                <w:sz w:val="22"/>
                <w:szCs w:val="22"/>
              </w:rPr>
              <w:t>(9,963)</w:t>
            </w:r>
          </w:p>
        </w:tc>
      </w:tr>
      <w:tr w:rsidR="00595404" w:rsidRPr="0068094B" w:rsidTr="003B4D7E">
        <w:tc>
          <w:tcPr>
            <w:tcW w:w="1400" w:type="dxa"/>
            <w:tcBorders>
              <w:bottom w:val="single" w:sz="4" w:space="0" w:color="auto"/>
            </w:tcBorders>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(976)</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Other receipts from investing activities</w:t>
            </w:r>
          </w:p>
        </w:tc>
        <w:tc>
          <w:tcPr>
            <w:tcW w:w="1517" w:type="dxa"/>
            <w:tcBorders>
              <w:bottom w:val="single" w:sz="4" w:space="0" w:color="000000"/>
            </w:tcBorders>
            <w:shd w:val="clear" w:color="auto" w:fill="D9D9D9" w:themeFill="background1" w:themeFillShade="D9"/>
            <w:vAlign w:val="center"/>
          </w:tcPr>
          <w:p w:rsidR="00595404" w:rsidRPr="00D16CC2" w:rsidRDefault="00D4423B" w:rsidP="007245D3">
            <w:pPr>
              <w:snapToGrid w:val="0"/>
              <w:jc w:val="right"/>
              <w:rPr>
                <w:rFonts w:asciiTheme="minorHAnsi" w:hAnsiTheme="minorHAnsi" w:cstheme="minorHAnsi"/>
                <w:sz w:val="22"/>
                <w:szCs w:val="22"/>
              </w:rPr>
            </w:pPr>
            <w:r>
              <w:rPr>
                <w:rFonts w:asciiTheme="minorHAnsi" w:hAnsiTheme="minorHAnsi" w:cstheme="minorHAnsi"/>
                <w:sz w:val="22"/>
                <w:szCs w:val="22"/>
              </w:rPr>
              <w:t>(1,062)</w:t>
            </w:r>
          </w:p>
        </w:tc>
      </w:tr>
      <w:tr w:rsidR="00595404" w:rsidRPr="0068094B" w:rsidTr="003B4D7E">
        <w:tc>
          <w:tcPr>
            <w:tcW w:w="1400" w:type="dxa"/>
            <w:tcBorders>
              <w:top w:val="single" w:sz="4" w:space="0" w:color="auto"/>
            </w:tcBorders>
            <w:vAlign w:val="center"/>
          </w:tcPr>
          <w:p w:rsidR="00595404" w:rsidRPr="0068094B" w:rsidRDefault="00595404" w:rsidP="00E21253">
            <w:pPr>
              <w:snapToGrid w:val="0"/>
              <w:jc w:val="right"/>
              <w:rPr>
                <w:rFonts w:asciiTheme="minorHAnsi" w:hAnsiTheme="minorHAnsi" w:cstheme="minorHAnsi"/>
                <w:b/>
                <w:sz w:val="22"/>
                <w:szCs w:val="22"/>
              </w:rPr>
            </w:pPr>
            <w:r w:rsidRPr="00D16CC2">
              <w:rPr>
                <w:rFonts w:asciiTheme="minorHAnsi" w:hAnsiTheme="minorHAnsi" w:cstheme="minorHAnsi"/>
                <w:b/>
                <w:sz w:val="22"/>
                <w:szCs w:val="22"/>
              </w:rPr>
              <w:t>9,162</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rsidP="008B6465">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Investing Activities</w:t>
            </w:r>
          </w:p>
        </w:tc>
        <w:tc>
          <w:tcPr>
            <w:tcW w:w="1517" w:type="dxa"/>
            <w:tcBorders>
              <w:top w:val="single" w:sz="4" w:space="0" w:color="000000"/>
            </w:tcBorders>
            <w:shd w:val="clear" w:color="auto" w:fill="D9D9D9" w:themeFill="background1" w:themeFillShade="D9"/>
            <w:vAlign w:val="center"/>
          </w:tcPr>
          <w:p w:rsidR="00595404" w:rsidRPr="00D16CC2" w:rsidRDefault="00D4423B" w:rsidP="00497F9E">
            <w:pPr>
              <w:snapToGrid w:val="0"/>
              <w:jc w:val="right"/>
              <w:rPr>
                <w:rFonts w:asciiTheme="minorHAnsi" w:hAnsiTheme="minorHAnsi" w:cstheme="minorHAnsi"/>
                <w:b/>
                <w:sz w:val="22"/>
                <w:szCs w:val="22"/>
              </w:rPr>
            </w:pPr>
            <w:r w:rsidRPr="00A246B0">
              <w:rPr>
                <w:rFonts w:asciiTheme="minorHAnsi" w:hAnsiTheme="minorHAnsi" w:cstheme="minorHAnsi"/>
                <w:b/>
                <w:sz w:val="22"/>
                <w:szCs w:val="22"/>
              </w:rPr>
              <w:t>1,47</w:t>
            </w:r>
            <w:r w:rsidR="00497F9E" w:rsidRPr="00A246B0">
              <w:rPr>
                <w:rFonts w:asciiTheme="minorHAnsi" w:hAnsiTheme="minorHAnsi" w:cstheme="minorHAnsi"/>
                <w:b/>
                <w:sz w:val="22"/>
                <w:szCs w:val="22"/>
              </w:rPr>
              <w:t>4</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p>
        </w:tc>
        <w:tc>
          <w:tcPr>
            <w:tcW w:w="1517" w:type="dxa"/>
            <w:shd w:val="clear" w:color="auto" w:fill="D9D9D9" w:themeFill="background1" w:themeFillShade="D9"/>
            <w:vAlign w:val="center"/>
          </w:tcPr>
          <w:p w:rsidR="00595404" w:rsidRPr="00517C83" w:rsidRDefault="00595404">
            <w:pPr>
              <w:snapToGrid w:val="0"/>
              <w:jc w:val="right"/>
              <w:rPr>
                <w:rFonts w:asciiTheme="minorHAnsi" w:hAnsiTheme="minorHAnsi" w:cstheme="minorHAnsi"/>
                <w:sz w:val="22"/>
                <w:szCs w:val="22"/>
              </w:rPr>
            </w:pP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Financing Activities</w:t>
            </w:r>
          </w:p>
        </w:tc>
        <w:tc>
          <w:tcPr>
            <w:tcW w:w="1517" w:type="dxa"/>
            <w:shd w:val="clear" w:color="auto" w:fill="D9D9D9" w:themeFill="background1" w:themeFillShade="D9"/>
            <w:vAlign w:val="center"/>
          </w:tcPr>
          <w:p w:rsidR="00595404" w:rsidRPr="00517C83" w:rsidRDefault="00595404">
            <w:pPr>
              <w:snapToGrid w:val="0"/>
              <w:jc w:val="right"/>
              <w:rPr>
                <w:rFonts w:asciiTheme="minorHAnsi" w:hAnsiTheme="minorHAnsi" w:cstheme="minorHAnsi"/>
                <w:sz w:val="22"/>
                <w:szCs w:val="22"/>
              </w:rPr>
            </w:pP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 xml:space="preserve">(442) </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Other receipts from financing activities</w:t>
            </w:r>
          </w:p>
        </w:tc>
        <w:tc>
          <w:tcPr>
            <w:tcW w:w="1517" w:type="dxa"/>
            <w:shd w:val="clear" w:color="auto" w:fill="D9D9D9" w:themeFill="background1" w:themeFillShade="D9"/>
            <w:vAlign w:val="center"/>
          </w:tcPr>
          <w:p w:rsidR="00595404" w:rsidRPr="00D16CC2" w:rsidRDefault="00D4423B" w:rsidP="003B0FCC">
            <w:pPr>
              <w:snapToGrid w:val="0"/>
              <w:jc w:val="right"/>
              <w:rPr>
                <w:rFonts w:asciiTheme="minorHAnsi" w:hAnsiTheme="minorHAnsi" w:cstheme="minorHAnsi"/>
                <w:sz w:val="22"/>
                <w:szCs w:val="22"/>
              </w:rPr>
            </w:pPr>
            <w:r>
              <w:rPr>
                <w:rFonts w:asciiTheme="minorHAnsi" w:hAnsiTheme="minorHAnsi" w:cstheme="minorHAnsi"/>
                <w:sz w:val="22"/>
                <w:szCs w:val="22"/>
              </w:rPr>
              <w:t>(670)</w:t>
            </w:r>
          </w:p>
        </w:tc>
      </w:tr>
      <w:tr w:rsidR="00595404" w:rsidRPr="0068094B" w:rsidTr="003B4D7E">
        <w:tc>
          <w:tcPr>
            <w:tcW w:w="1400" w:type="dxa"/>
            <w:tcBorders>
              <w:bottom w:val="single" w:sz="4" w:space="0" w:color="000000"/>
            </w:tcBorders>
            <w:vAlign w:val="center"/>
          </w:tcPr>
          <w:p w:rsidR="00595404" w:rsidRPr="0068094B" w:rsidRDefault="00595404" w:rsidP="00E21253">
            <w:pPr>
              <w:snapToGrid w:val="0"/>
              <w:jc w:val="right"/>
              <w:rPr>
                <w:rFonts w:asciiTheme="minorHAnsi" w:hAnsiTheme="minorHAnsi" w:cstheme="minorHAnsi"/>
                <w:sz w:val="22"/>
                <w:szCs w:val="22"/>
              </w:rPr>
            </w:pPr>
            <w:r w:rsidRPr="00D16CC2">
              <w:rPr>
                <w:rFonts w:asciiTheme="minorHAnsi" w:hAnsiTheme="minorHAnsi" w:cstheme="minorHAnsi"/>
                <w:sz w:val="22"/>
                <w:szCs w:val="22"/>
              </w:rPr>
              <w:t>(18)</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sz w:val="22"/>
                <w:szCs w:val="22"/>
              </w:rPr>
            </w:pPr>
            <w:r w:rsidRPr="0068094B">
              <w:rPr>
                <w:rFonts w:asciiTheme="minorHAnsi" w:hAnsiTheme="minorHAnsi" w:cstheme="minorHAnsi"/>
                <w:sz w:val="22"/>
                <w:szCs w:val="22"/>
              </w:rPr>
              <w:t>Other payments from financing activities</w:t>
            </w:r>
          </w:p>
        </w:tc>
        <w:tc>
          <w:tcPr>
            <w:tcW w:w="1517" w:type="dxa"/>
            <w:tcBorders>
              <w:bottom w:val="single" w:sz="4" w:space="0" w:color="000000"/>
            </w:tcBorders>
            <w:shd w:val="clear" w:color="auto" w:fill="D9D9D9" w:themeFill="background1" w:themeFillShade="D9"/>
            <w:vAlign w:val="center"/>
          </w:tcPr>
          <w:p w:rsidR="00595404" w:rsidRPr="00D16CC2" w:rsidRDefault="00D4423B" w:rsidP="003B0FCC">
            <w:pPr>
              <w:snapToGrid w:val="0"/>
              <w:jc w:val="right"/>
              <w:rPr>
                <w:rFonts w:asciiTheme="minorHAnsi" w:hAnsiTheme="minorHAnsi" w:cstheme="minorHAnsi"/>
                <w:sz w:val="22"/>
                <w:szCs w:val="22"/>
              </w:rPr>
            </w:pPr>
            <w:r>
              <w:rPr>
                <w:rFonts w:asciiTheme="minorHAnsi" w:hAnsiTheme="minorHAnsi" w:cstheme="minorHAnsi"/>
                <w:sz w:val="22"/>
                <w:szCs w:val="22"/>
              </w:rPr>
              <w:t>(284)</w:t>
            </w:r>
          </w:p>
        </w:tc>
      </w:tr>
      <w:tr w:rsidR="00595404" w:rsidRPr="0068094B" w:rsidTr="003B4D7E">
        <w:trPr>
          <w:trHeight w:val="319"/>
        </w:trPr>
        <w:tc>
          <w:tcPr>
            <w:tcW w:w="1400" w:type="dxa"/>
            <w:tcBorders>
              <w:top w:val="single" w:sz="4" w:space="0" w:color="000000"/>
            </w:tcBorders>
            <w:vAlign w:val="center"/>
          </w:tcPr>
          <w:p w:rsidR="00595404" w:rsidRPr="0068094B" w:rsidRDefault="00595404" w:rsidP="00E21253">
            <w:pPr>
              <w:snapToGrid w:val="0"/>
              <w:jc w:val="right"/>
              <w:rPr>
                <w:rFonts w:asciiTheme="minorHAnsi" w:hAnsiTheme="minorHAnsi" w:cstheme="minorHAnsi"/>
                <w:b/>
                <w:sz w:val="22"/>
                <w:szCs w:val="22"/>
              </w:rPr>
            </w:pPr>
            <w:r w:rsidRPr="00D16CC2">
              <w:rPr>
                <w:rFonts w:asciiTheme="minorHAnsi" w:hAnsiTheme="minorHAnsi" w:cstheme="minorHAnsi"/>
                <w:b/>
                <w:sz w:val="22"/>
                <w:szCs w:val="22"/>
              </w:rPr>
              <w:t>(460)</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rsidP="008B6465">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Financing Activities</w:t>
            </w:r>
          </w:p>
        </w:tc>
        <w:tc>
          <w:tcPr>
            <w:tcW w:w="1517" w:type="dxa"/>
            <w:tcBorders>
              <w:top w:val="single" w:sz="4" w:space="0" w:color="000000"/>
            </w:tcBorders>
            <w:shd w:val="clear" w:color="auto" w:fill="D9D9D9" w:themeFill="background1" w:themeFillShade="D9"/>
            <w:vAlign w:val="center"/>
          </w:tcPr>
          <w:p w:rsidR="00595404" w:rsidRPr="00D16CC2" w:rsidRDefault="00D4423B" w:rsidP="003B0FCC">
            <w:pPr>
              <w:snapToGrid w:val="0"/>
              <w:jc w:val="right"/>
              <w:rPr>
                <w:rFonts w:asciiTheme="minorHAnsi" w:hAnsiTheme="minorHAnsi" w:cstheme="minorHAnsi"/>
                <w:b/>
                <w:sz w:val="22"/>
                <w:szCs w:val="22"/>
              </w:rPr>
            </w:pPr>
            <w:r>
              <w:rPr>
                <w:rFonts w:asciiTheme="minorHAnsi" w:hAnsiTheme="minorHAnsi" w:cstheme="minorHAnsi"/>
                <w:b/>
                <w:sz w:val="22"/>
                <w:szCs w:val="22"/>
              </w:rPr>
              <w:t>(954)</w:t>
            </w:r>
          </w:p>
        </w:tc>
      </w:tr>
      <w:tr w:rsidR="00595404" w:rsidRPr="0068094B" w:rsidTr="003B4D7E">
        <w:trPr>
          <w:trHeight w:val="319"/>
        </w:trPr>
        <w:tc>
          <w:tcPr>
            <w:tcW w:w="1400" w:type="dxa"/>
            <w:tcBorders>
              <w:bottom w:val="single" w:sz="4" w:space="0" w:color="000000"/>
            </w:tcBorders>
            <w:vAlign w:val="center"/>
          </w:tcPr>
          <w:p w:rsidR="00595404" w:rsidRPr="0068094B" w:rsidRDefault="00595404" w:rsidP="00E21253">
            <w:pPr>
              <w:snapToGrid w:val="0"/>
              <w:jc w:val="right"/>
              <w:rPr>
                <w:rFonts w:asciiTheme="minorHAnsi" w:hAnsiTheme="minorHAnsi" w:cstheme="minorHAnsi"/>
                <w:b/>
                <w:sz w:val="22"/>
                <w:szCs w:val="22"/>
              </w:rPr>
            </w:pP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b/>
                <w:bCs/>
                <w:sz w:val="22"/>
                <w:szCs w:val="22"/>
              </w:rPr>
            </w:pPr>
          </w:p>
        </w:tc>
        <w:tc>
          <w:tcPr>
            <w:tcW w:w="1517" w:type="dxa"/>
            <w:tcBorders>
              <w:bottom w:val="single" w:sz="4" w:space="0" w:color="000000"/>
            </w:tcBorders>
            <w:shd w:val="clear" w:color="auto" w:fill="D9D9D9" w:themeFill="background1" w:themeFillShade="D9"/>
            <w:vAlign w:val="center"/>
          </w:tcPr>
          <w:p w:rsidR="00595404" w:rsidRPr="0068094B" w:rsidRDefault="00595404">
            <w:pPr>
              <w:snapToGrid w:val="0"/>
              <w:jc w:val="right"/>
              <w:rPr>
                <w:rFonts w:asciiTheme="minorHAnsi" w:hAnsiTheme="minorHAnsi" w:cstheme="minorHAnsi"/>
                <w:b/>
                <w:sz w:val="22"/>
                <w:szCs w:val="22"/>
              </w:rPr>
            </w:pPr>
          </w:p>
        </w:tc>
      </w:tr>
      <w:tr w:rsidR="00595404" w:rsidRPr="0068094B" w:rsidTr="003B4D7E">
        <w:trPr>
          <w:trHeight w:val="319"/>
        </w:trPr>
        <w:tc>
          <w:tcPr>
            <w:tcW w:w="1400" w:type="dxa"/>
            <w:tcBorders>
              <w:top w:val="single" w:sz="4" w:space="0" w:color="000000"/>
              <w:bottom w:val="double" w:sz="4" w:space="0" w:color="auto"/>
            </w:tcBorders>
            <w:vAlign w:val="center"/>
          </w:tcPr>
          <w:p w:rsidR="00595404" w:rsidRPr="0068094B" w:rsidRDefault="00595404" w:rsidP="00E21253">
            <w:pPr>
              <w:snapToGrid w:val="0"/>
              <w:jc w:val="right"/>
              <w:rPr>
                <w:rFonts w:asciiTheme="minorHAnsi" w:hAnsiTheme="minorHAnsi" w:cstheme="minorHAnsi"/>
                <w:b/>
                <w:sz w:val="22"/>
                <w:szCs w:val="22"/>
              </w:rPr>
            </w:pPr>
            <w:r>
              <w:rPr>
                <w:rFonts w:asciiTheme="minorHAnsi" w:hAnsiTheme="minorHAnsi" w:cstheme="minorHAnsi"/>
                <w:b/>
                <w:sz w:val="22"/>
                <w:szCs w:val="22"/>
              </w:rPr>
              <w:t>6,075</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(increase) / decrease in cash and cash equivalents</w:t>
            </w:r>
          </w:p>
        </w:tc>
        <w:tc>
          <w:tcPr>
            <w:tcW w:w="1517" w:type="dxa"/>
            <w:tcBorders>
              <w:top w:val="single" w:sz="4" w:space="0" w:color="000000"/>
              <w:bottom w:val="double" w:sz="4" w:space="0" w:color="auto"/>
            </w:tcBorders>
            <w:shd w:val="clear" w:color="auto" w:fill="D9D9D9" w:themeFill="background1" w:themeFillShade="D9"/>
            <w:vAlign w:val="center"/>
          </w:tcPr>
          <w:p w:rsidR="00595404" w:rsidRPr="0068094B" w:rsidRDefault="00DC5FDF" w:rsidP="00497F9E">
            <w:pPr>
              <w:snapToGrid w:val="0"/>
              <w:jc w:val="right"/>
              <w:rPr>
                <w:rFonts w:asciiTheme="minorHAnsi" w:hAnsiTheme="minorHAnsi" w:cstheme="minorHAnsi"/>
                <w:b/>
                <w:sz w:val="22"/>
                <w:szCs w:val="22"/>
              </w:rPr>
            </w:pPr>
            <w:r w:rsidRPr="00A246B0">
              <w:rPr>
                <w:rFonts w:asciiTheme="minorHAnsi" w:hAnsiTheme="minorHAnsi" w:cstheme="minorHAnsi"/>
                <w:b/>
                <w:sz w:val="22"/>
                <w:szCs w:val="22"/>
              </w:rPr>
              <w:t>(1,</w:t>
            </w:r>
            <w:r w:rsidR="00497F9E" w:rsidRPr="00A246B0">
              <w:rPr>
                <w:rFonts w:asciiTheme="minorHAnsi" w:hAnsiTheme="minorHAnsi" w:cstheme="minorHAnsi"/>
                <w:b/>
                <w:sz w:val="22"/>
                <w:szCs w:val="22"/>
              </w:rPr>
              <w:t>4</w:t>
            </w:r>
            <w:r w:rsidRPr="00A246B0">
              <w:rPr>
                <w:rFonts w:asciiTheme="minorHAnsi" w:hAnsiTheme="minorHAnsi" w:cstheme="minorHAnsi"/>
                <w:b/>
                <w:sz w:val="22"/>
                <w:szCs w:val="22"/>
              </w:rPr>
              <w:t>57)</w:t>
            </w:r>
          </w:p>
        </w:tc>
      </w:tr>
      <w:tr w:rsidR="00595404" w:rsidRPr="0068094B" w:rsidTr="003B4D7E">
        <w:tc>
          <w:tcPr>
            <w:tcW w:w="1400" w:type="dxa"/>
            <w:tcBorders>
              <w:top w:val="double" w:sz="4" w:space="0" w:color="auto"/>
            </w:tcBorders>
            <w:vAlign w:val="center"/>
          </w:tcPr>
          <w:p w:rsidR="00595404" w:rsidRPr="0068094B" w:rsidRDefault="00595404" w:rsidP="00E21253">
            <w:pPr>
              <w:snapToGrid w:val="0"/>
              <w:jc w:val="right"/>
              <w:rPr>
                <w:rFonts w:asciiTheme="minorHAnsi" w:hAnsiTheme="minorHAnsi" w:cstheme="minorHAnsi"/>
                <w:sz w:val="22"/>
                <w:szCs w:val="22"/>
              </w:rPr>
            </w:pP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pPr>
              <w:snapToGrid w:val="0"/>
              <w:rPr>
                <w:rFonts w:asciiTheme="minorHAnsi" w:hAnsiTheme="minorHAnsi" w:cstheme="minorHAnsi"/>
                <w:b/>
                <w:bCs/>
                <w:sz w:val="22"/>
                <w:szCs w:val="22"/>
              </w:rPr>
            </w:pPr>
          </w:p>
        </w:tc>
        <w:tc>
          <w:tcPr>
            <w:tcW w:w="1517" w:type="dxa"/>
            <w:tcBorders>
              <w:top w:val="double" w:sz="4" w:space="0" w:color="auto"/>
            </w:tcBorders>
            <w:shd w:val="clear" w:color="auto" w:fill="D9D9D9" w:themeFill="background1" w:themeFillShade="D9"/>
            <w:vAlign w:val="center"/>
          </w:tcPr>
          <w:p w:rsidR="00595404" w:rsidRPr="0068094B" w:rsidRDefault="00595404">
            <w:pPr>
              <w:snapToGrid w:val="0"/>
              <w:jc w:val="right"/>
              <w:rPr>
                <w:rFonts w:asciiTheme="minorHAnsi" w:hAnsiTheme="minorHAnsi" w:cstheme="minorHAnsi"/>
                <w:sz w:val="22"/>
                <w:szCs w:val="22"/>
              </w:rPr>
            </w:pP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rsidP="006F5C2B">
            <w:pPr>
              <w:snapToGrid w:val="0"/>
              <w:rPr>
                <w:rFonts w:asciiTheme="minorHAnsi" w:hAnsiTheme="minorHAnsi" w:cstheme="minorHAnsi"/>
                <w:b/>
                <w:bCs/>
                <w:sz w:val="22"/>
                <w:szCs w:val="22"/>
              </w:rPr>
            </w:pPr>
            <w:r w:rsidRPr="0068094B">
              <w:rPr>
                <w:rFonts w:asciiTheme="minorHAnsi" w:hAnsiTheme="minorHAnsi" w:cstheme="minorHAnsi"/>
                <w:b/>
                <w:bCs/>
                <w:sz w:val="22"/>
                <w:szCs w:val="22"/>
              </w:rPr>
              <w:t>Cash and cash equivalents (Note 1</w:t>
            </w:r>
            <w:r>
              <w:rPr>
                <w:rFonts w:asciiTheme="minorHAnsi" w:hAnsiTheme="minorHAnsi" w:cstheme="minorHAnsi"/>
                <w:b/>
                <w:bCs/>
                <w:sz w:val="22"/>
                <w:szCs w:val="22"/>
              </w:rPr>
              <w:t>7</w:t>
            </w:r>
            <w:r w:rsidRPr="0068094B">
              <w:rPr>
                <w:rFonts w:asciiTheme="minorHAnsi" w:hAnsiTheme="minorHAnsi" w:cstheme="minorHAnsi"/>
                <w:b/>
                <w:bCs/>
                <w:sz w:val="22"/>
                <w:szCs w:val="22"/>
              </w:rPr>
              <w:t>)</w:t>
            </w:r>
          </w:p>
        </w:tc>
        <w:tc>
          <w:tcPr>
            <w:tcW w:w="1517" w:type="dxa"/>
            <w:shd w:val="clear" w:color="auto" w:fill="D9D9D9" w:themeFill="background1" w:themeFillShade="D9"/>
            <w:vAlign w:val="center"/>
          </w:tcPr>
          <w:p w:rsidR="00595404" w:rsidRPr="0068094B" w:rsidRDefault="00595404">
            <w:pPr>
              <w:snapToGrid w:val="0"/>
              <w:jc w:val="right"/>
              <w:rPr>
                <w:rFonts w:asciiTheme="minorHAnsi" w:hAnsiTheme="minorHAnsi" w:cstheme="minorHAnsi"/>
                <w:sz w:val="22"/>
                <w:szCs w:val="22"/>
              </w:rPr>
            </w:pP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Pr>
                <w:rFonts w:asciiTheme="minorHAnsi" w:hAnsiTheme="minorHAnsi" w:cstheme="minorHAnsi"/>
                <w:sz w:val="22"/>
                <w:szCs w:val="22"/>
              </w:rPr>
              <w:t>10,938</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rsidP="007D7B32">
            <w:pPr>
              <w:pStyle w:val="ListParagraph"/>
              <w:numPr>
                <w:ilvl w:val="1"/>
                <w:numId w:val="33"/>
              </w:numPr>
              <w:snapToGrid w:val="0"/>
              <w:rPr>
                <w:rFonts w:asciiTheme="minorHAnsi" w:hAnsiTheme="minorHAnsi" w:cstheme="minorHAnsi"/>
                <w:bCs/>
                <w:szCs w:val="22"/>
              </w:rPr>
            </w:pPr>
            <w:r w:rsidRPr="0068094B">
              <w:rPr>
                <w:rFonts w:asciiTheme="minorHAnsi" w:hAnsiTheme="minorHAnsi" w:cstheme="minorHAnsi"/>
                <w:bCs/>
                <w:szCs w:val="22"/>
              </w:rPr>
              <w:t>at the beginning of the reporting period</w:t>
            </w:r>
          </w:p>
        </w:tc>
        <w:tc>
          <w:tcPr>
            <w:tcW w:w="1517" w:type="dxa"/>
            <w:shd w:val="clear" w:color="auto" w:fill="D9D9D9" w:themeFill="background1" w:themeFillShade="D9"/>
            <w:vAlign w:val="center"/>
          </w:tcPr>
          <w:p w:rsidR="00595404" w:rsidRPr="0068094B" w:rsidRDefault="00DC5FDF">
            <w:pPr>
              <w:snapToGrid w:val="0"/>
              <w:jc w:val="right"/>
              <w:rPr>
                <w:rFonts w:asciiTheme="minorHAnsi" w:hAnsiTheme="minorHAnsi" w:cstheme="minorHAnsi"/>
                <w:sz w:val="22"/>
                <w:szCs w:val="22"/>
              </w:rPr>
            </w:pPr>
            <w:r>
              <w:rPr>
                <w:rFonts w:asciiTheme="minorHAnsi" w:hAnsiTheme="minorHAnsi" w:cstheme="minorHAnsi"/>
                <w:sz w:val="22"/>
                <w:szCs w:val="22"/>
              </w:rPr>
              <w:t>4,863</w:t>
            </w:r>
          </w:p>
        </w:tc>
      </w:tr>
      <w:tr w:rsidR="00595404" w:rsidRPr="0068094B" w:rsidTr="003B4D7E">
        <w:tc>
          <w:tcPr>
            <w:tcW w:w="1400" w:type="dxa"/>
            <w:vAlign w:val="center"/>
          </w:tcPr>
          <w:p w:rsidR="00595404" w:rsidRPr="0068094B" w:rsidRDefault="00595404" w:rsidP="00E21253">
            <w:pPr>
              <w:snapToGrid w:val="0"/>
              <w:jc w:val="right"/>
              <w:rPr>
                <w:rFonts w:asciiTheme="minorHAnsi" w:hAnsiTheme="minorHAnsi" w:cstheme="minorHAnsi"/>
                <w:sz w:val="22"/>
                <w:szCs w:val="22"/>
              </w:rPr>
            </w:pPr>
            <w:r>
              <w:rPr>
                <w:rFonts w:asciiTheme="minorHAnsi" w:hAnsiTheme="minorHAnsi" w:cstheme="minorHAnsi"/>
                <w:sz w:val="22"/>
                <w:szCs w:val="22"/>
              </w:rPr>
              <w:t>4,863</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rsidP="007D7B32">
            <w:pPr>
              <w:pStyle w:val="ListParagraph"/>
              <w:numPr>
                <w:ilvl w:val="1"/>
                <w:numId w:val="33"/>
              </w:numPr>
              <w:snapToGrid w:val="0"/>
              <w:rPr>
                <w:rFonts w:asciiTheme="minorHAnsi" w:hAnsiTheme="minorHAnsi" w:cstheme="minorHAnsi"/>
                <w:bCs/>
                <w:szCs w:val="22"/>
              </w:rPr>
            </w:pPr>
            <w:r w:rsidRPr="0068094B">
              <w:rPr>
                <w:rFonts w:asciiTheme="minorHAnsi" w:hAnsiTheme="minorHAnsi" w:cstheme="minorHAnsi"/>
                <w:bCs/>
                <w:szCs w:val="22"/>
              </w:rPr>
              <w:t>at the end of the reporting period</w:t>
            </w:r>
          </w:p>
        </w:tc>
        <w:tc>
          <w:tcPr>
            <w:tcW w:w="1517" w:type="dxa"/>
            <w:shd w:val="clear" w:color="auto" w:fill="D9D9D9" w:themeFill="background1" w:themeFillShade="D9"/>
            <w:vAlign w:val="center"/>
          </w:tcPr>
          <w:p w:rsidR="00595404" w:rsidRPr="00A246B0" w:rsidRDefault="00DC5FDF" w:rsidP="00F34986">
            <w:pPr>
              <w:snapToGrid w:val="0"/>
              <w:jc w:val="right"/>
              <w:rPr>
                <w:rFonts w:asciiTheme="minorHAnsi" w:hAnsiTheme="minorHAnsi" w:cstheme="minorHAnsi"/>
                <w:sz w:val="22"/>
                <w:szCs w:val="22"/>
              </w:rPr>
            </w:pPr>
            <w:r w:rsidRPr="00A246B0">
              <w:rPr>
                <w:rFonts w:asciiTheme="minorHAnsi" w:hAnsiTheme="minorHAnsi" w:cstheme="minorHAnsi"/>
                <w:sz w:val="22"/>
                <w:szCs w:val="22"/>
              </w:rPr>
              <w:t>6,</w:t>
            </w:r>
            <w:r w:rsidR="00F34986" w:rsidRPr="00A246B0">
              <w:rPr>
                <w:rFonts w:asciiTheme="minorHAnsi" w:hAnsiTheme="minorHAnsi" w:cstheme="minorHAnsi"/>
                <w:sz w:val="22"/>
                <w:szCs w:val="22"/>
              </w:rPr>
              <w:t>3</w:t>
            </w:r>
            <w:r w:rsidRPr="00A246B0">
              <w:rPr>
                <w:rFonts w:asciiTheme="minorHAnsi" w:hAnsiTheme="minorHAnsi" w:cstheme="minorHAnsi"/>
                <w:sz w:val="22"/>
                <w:szCs w:val="22"/>
              </w:rPr>
              <w:t>20</w:t>
            </w:r>
          </w:p>
        </w:tc>
      </w:tr>
      <w:tr w:rsidR="00595404" w:rsidRPr="0068094B" w:rsidTr="003B4D7E">
        <w:tc>
          <w:tcPr>
            <w:tcW w:w="1400" w:type="dxa"/>
            <w:tcBorders>
              <w:top w:val="single" w:sz="4" w:space="0" w:color="000000"/>
              <w:bottom w:val="double" w:sz="4" w:space="0" w:color="000000"/>
            </w:tcBorders>
            <w:vAlign w:val="center"/>
          </w:tcPr>
          <w:p w:rsidR="00595404" w:rsidRPr="0068094B" w:rsidRDefault="00595404" w:rsidP="00E21253">
            <w:pPr>
              <w:snapToGrid w:val="0"/>
              <w:jc w:val="right"/>
              <w:rPr>
                <w:rFonts w:asciiTheme="minorHAnsi" w:hAnsiTheme="minorHAnsi" w:cstheme="minorHAnsi"/>
                <w:b/>
                <w:sz w:val="22"/>
                <w:szCs w:val="22"/>
              </w:rPr>
            </w:pPr>
            <w:r>
              <w:rPr>
                <w:rFonts w:asciiTheme="minorHAnsi" w:hAnsiTheme="minorHAnsi" w:cstheme="minorHAnsi"/>
                <w:b/>
                <w:sz w:val="22"/>
                <w:szCs w:val="22"/>
              </w:rPr>
              <w:t>6,075</w:t>
            </w:r>
          </w:p>
        </w:tc>
        <w:tc>
          <w:tcPr>
            <w:tcW w:w="409" w:type="dxa"/>
            <w:vAlign w:val="center"/>
          </w:tcPr>
          <w:p w:rsidR="00595404" w:rsidRPr="0068094B" w:rsidRDefault="00595404">
            <w:pPr>
              <w:snapToGrid w:val="0"/>
              <w:rPr>
                <w:rFonts w:asciiTheme="minorHAnsi" w:hAnsiTheme="minorHAnsi" w:cstheme="minorHAnsi"/>
                <w:sz w:val="22"/>
                <w:szCs w:val="22"/>
              </w:rPr>
            </w:pPr>
          </w:p>
        </w:tc>
        <w:tc>
          <w:tcPr>
            <w:tcW w:w="5619" w:type="dxa"/>
            <w:vAlign w:val="center"/>
          </w:tcPr>
          <w:p w:rsidR="00595404" w:rsidRPr="0068094B" w:rsidRDefault="00595404" w:rsidP="007226CC">
            <w:pPr>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Movement in Cash (increase)/decrease </w:t>
            </w:r>
          </w:p>
        </w:tc>
        <w:tc>
          <w:tcPr>
            <w:tcW w:w="1517" w:type="dxa"/>
            <w:tcBorders>
              <w:top w:val="single" w:sz="4" w:space="0" w:color="000000"/>
              <w:bottom w:val="double" w:sz="4" w:space="0" w:color="000000"/>
            </w:tcBorders>
            <w:shd w:val="clear" w:color="auto" w:fill="D9D9D9" w:themeFill="background1" w:themeFillShade="D9"/>
            <w:vAlign w:val="center"/>
          </w:tcPr>
          <w:p w:rsidR="00595404" w:rsidRPr="00A246B0" w:rsidRDefault="00DC5FDF" w:rsidP="00F34986">
            <w:pPr>
              <w:snapToGrid w:val="0"/>
              <w:jc w:val="right"/>
              <w:rPr>
                <w:rFonts w:asciiTheme="minorHAnsi" w:hAnsiTheme="minorHAnsi" w:cstheme="minorHAnsi"/>
                <w:b/>
                <w:sz w:val="22"/>
                <w:szCs w:val="22"/>
              </w:rPr>
            </w:pPr>
            <w:r w:rsidRPr="00A246B0">
              <w:rPr>
                <w:rFonts w:asciiTheme="minorHAnsi" w:hAnsiTheme="minorHAnsi" w:cstheme="minorHAnsi"/>
                <w:b/>
                <w:sz w:val="22"/>
                <w:szCs w:val="22"/>
              </w:rPr>
              <w:t>(1,</w:t>
            </w:r>
            <w:r w:rsidR="00F34986" w:rsidRPr="00A246B0">
              <w:rPr>
                <w:rFonts w:asciiTheme="minorHAnsi" w:hAnsiTheme="minorHAnsi" w:cstheme="minorHAnsi"/>
                <w:b/>
                <w:sz w:val="22"/>
                <w:szCs w:val="22"/>
              </w:rPr>
              <w:t>4</w:t>
            </w:r>
            <w:r w:rsidRPr="00A246B0">
              <w:rPr>
                <w:rFonts w:asciiTheme="minorHAnsi" w:hAnsiTheme="minorHAnsi" w:cstheme="minorHAnsi"/>
                <w:b/>
                <w:sz w:val="22"/>
                <w:szCs w:val="22"/>
              </w:rPr>
              <w:t>57)</w:t>
            </w:r>
          </w:p>
        </w:tc>
      </w:tr>
    </w:tbl>
    <w:p w:rsidR="00B9552B" w:rsidRPr="0068094B" w:rsidRDefault="00B9552B" w:rsidP="00B9552B">
      <w:pPr>
        <w:rPr>
          <w:rFonts w:asciiTheme="minorHAnsi" w:hAnsiTheme="minorHAnsi" w:cstheme="minorHAnsi"/>
          <w:sz w:val="22"/>
          <w:szCs w:val="22"/>
        </w:rPr>
      </w:pPr>
    </w:p>
    <w:p w:rsidR="007226CC" w:rsidRPr="0068094B" w:rsidRDefault="007226CC" w:rsidP="00B9552B">
      <w:pPr>
        <w:rPr>
          <w:rFonts w:asciiTheme="minorHAnsi" w:hAnsiTheme="minorHAnsi" w:cstheme="minorHAnsi"/>
          <w:sz w:val="22"/>
          <w:szCs w:val="22"/>
        </w:rPr>
      </w:pPr>
    </w:p>
    <w:p w:rsidR="00183652" w:rsidRPr="00650803" w:rsidRDefault="004A6511" w:rsidP="00650803">
      <w:pPr>
        <w:pStyle w:val="Heading1"/>
        <w:numPr>
          <w:ilvl w:val="0"/>
          <w:numId w:val="0"/>
        </w:numPr>
        <w:spacing w:after="960"/>
        <w:jc w:val="left"/>
        <w:rPr>
          <w:rFonts w:asciiTheme="minorHAnsi" w:hAnsiTheme="minorHAnsi" w:cstheme="minorHAnsi"/>
          <w:sz w:val="24"/>
          <w:szCs w:val="24"/>
        </w:rPr>
      </w:pPr>
      <w:r w:rsidRPr="00FF3FE4">
        <w:rPr>
          <w:rFonts w:asciiTheme="minorHAnsi" w:hAnsiTheme="minorHAnsi" w:cstheme="minorHAnsi"/>
          <w:sz w:val="24"/>
          <w:szCs w:val="24"/>
        </w:rPr>
        <w:lastRenderedPageBreak/>
        <w:t>Notes to the Accounts</w:t>
      </w:r>
    </w:p>
    <w:p w:rsidR="00C02A61" w:rsidRPr="0068094B" w:rsidRDefault="00C02A61" w:rsidP="00C02A61">
      <w:pPr>
        <w:jc w:val="both"/>
        <w:rPr>
          <w:rFonts w:asciiTheme="minorHAnsi" w:hAnsiTheme="minorHAnsi" w:cstheme="minorHAnsi"/>
          <w:sz w:val="22"/>
          <w:szCs w:val="22"/>
        </w:rPr>
      </w:pPr>
    </w:p>
    <w:p w:rsidR="00C02A61" w:rsidRPr="0068094B" w:rsidRDefault="00C02A61" w:rsidP="00C02A61">
      <w:pPr>
        <w:numPr>
          <w:ilvl w:val="0"/>
          <w:numId w:val="8"/>
        </w:numPr>
        <w:tabs>
          <w:tab w:val="left" w:pos="567"/>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Accounting Policies</w:t>
      </w:r>
    </w:p>
    <w:p w:rsidR="00C02A61" w:rsidRPr="0068094B" w:rsidRDefault="00C02A61" w:rsidP="00C02A61">
      <w:pPr>
        <w:jc w:val="both"/>
        <w:rPr>
          <w:rFonts w:asciiTheme="minorHAnsi" w:hAnsiTheme="minorHAnsi" w:cstheme="minorHAnsi"/>
          <w:b/>
          <w:bCs/>
          <w:sz w:val="22"/>
          <w:szCs w:val="22"/>
        </w:rPr>
      </w:pPr>
    </w:p>
    <w:p w:rsidR="00CF437F" w:rsidRDefault="00CF437F" w:rsidP="00CF437F">
      <w:pPr>
        <w:numPr>
          <w:ilvl w:val="1"/>
          <w:numId w:val="6"/>
        </w:numPr>
        <w:tabs>
          <w:tab w:val="left" w:pos="540"/>
        </w:tabs>
        <w:autoSpaceDE w:val="0"/>
        <w:rPr>
          <w:rFonts w:asciiTheme="minorHAnsi" w:hAnsiTheme="minorHAnsi" w:cstheme="minorHAnsi"/>
          <w:b/>
          <w:bCs/>
          <w:sz w:val="22"/>
          <w:szCs w:val="22"/>
        </w:rPr>
      </w:pPr>
      <w:r>
        <w:rPr>
          <w:rFonts w:asciiTheme="minorHAnsi" w:hAnsiTheme="minorHAnsi" w:cstheme="minorHAnsi"/>
          <w:b/>
          <w:bCs/>
          <w:sz w:val="22"/>
          <w:szCs w:val="22"/>
        </w:rPr>
        <w:t>General Principles</w:t>
      </w:r>
    </w:p>
    <w:p w:rsidR="00CF437F" w:rsidRDefault="00CF437F" w:rsidP="00CF437F">
      <w:pPr>
        <w:tabs>
          <w:tab w:val="left" w:pos="540"/>
        </w:tabs>
        <w:autoSpaceDE w:val="0"/>
        <w:ind w:left="360"/>
        <w:rPr>
          <w:rFonts w:asciiTheme="minorHAnsi" w:hAnsiTheme="minorHAnsi" w:cstheme="minorHAnsi"/>
          <w:b/>
          <w:bCs/>
          <w:sz w:val="22"/>
          <w:szCs w:val="22"/>
        </w:rPr>
      </w:pPr>
    </w:p>
    <w:p w:rsidR="00CF437F" w:rsidRPr="0068094B" w:rsidRDefault="00CF437F" w:rsidP="00CF437F">
      <w:pPr>
        <w:pStyle w:val="FootnoteText"/>
        <w:widowControl/>
        <w:autoSpaceDE w:val="0"/>
        <w:rPr>
          <w:rFonts w:asciiTheme="minorHAnsi" w:hAnsiTheme="minorHAnsi" w:cstheme="minorHAnsi"/>
          <w:sz w:val="22"/>
          <w:szCs w:val="22"/>
        </w:rPr>
      </w:pPr>
      <w:r w:rsidRPr="0068094B">
        <w:rPr>
          <w:rFonts w:asciiTheme="minorHAnsi" w:hAnsiTheme="minorHAnsi" w:cstheme="minorHAnsi"/>
          <w:sz w:val="22"/>
          <w:szCs w:val="22"/>
        </w:rPr>
        <w:t>The Statement of Accounts summarises the Council’s transactions for the 201</w:t>
      </w:r>
      <w:r w:rsidR="00725298">
        <w:rPr>
          <w:rFonts w:asciiTheme="minorHAnsi" w:hAnsiTheme="minorHAnsi" w:cstheme="minorHAnsi"/>
          <w:sz w:val="22"/>
          <w:szCs w:val="22"/>
        </w:rPr>
        <w:t>9</w:t>
      </w:r>
      <w:r w:rsidRPr="0068094B">
        <w:rPr>
          <w:rFonts w:asciiTheme="minorHAnsi" w:hAnsiTheme="minorHAnsi" w:cstheme="minorHAnsi"/>
          <w:sz w:val="22"/>
          <w:szCs w:val="22"/>
        </w:rPr>
        <w:t>-</w:t>
      </w:r>
      <w:r w:rsidR="00725298">
        <w:rPr>
          <w:rFonts w:asciiTheme="minorHAnsi" w:hAnsiTheme="minorHAnsi" w:cstheme="minorHAnsi"/>
          <w:sz w:val="22"/>
          <w:szCs w:val="22"/>
        </w:rPr>
        <w:t>20</w:t>
      </w:r>
      <w:r w:rsidRPr="0068094B">
        <w:rPr>
          <w:rFonts w:asciiTheme="minorHAnsi" w:hAnsiTheme="minorHAnsi" w:cstheme="minorHAnsi"/>
          <w:sz w:val="22"/>
          <w:szCs w:val="22"/>
        </w:rPr>
        <w:t xml:space="preserve"> financial year and its position at the year-end of 31 March 20</w:t>
      </w:r>
      <w:r w:rsidR="00725298">
        <w:rPr>
          <w:rFonts w:asciiTheme="minorHAnsi" w:hAnsiTheme="minorHAnsi" w:cstheme="minorHAnsi"/>
          <w:sz w:val="22"/>
          <w:szCs w:val="22"/>
        </w:rPr>
        <w:t>20</w:t>
      </w:r>
      <w:r w:rsidRPr="0068094B">
        <w:rPr>
          <w:rFonts w:asciiTheme="minorHAnsi" w:hAnsiTheme="minorHAnsi" w:cstheme="minorHAnsi"/>
          <w:sz w:val="22"/>
          <w:szCs w:val="22"/>
        </w:rPr>
        <w:t>. The Council is required to prepare an annual Statement of Accounts by the Accounts and Audit Regulations 2015 in accordance with proper accounting practices. These practices primarily comprise the Code of Practice on Local Authority Accounting in the United Kingdom 201</w:t>
      </w:r>
      <w:r w:rsidR="00725298">
        <w:rPr>
          <w:rFonts w:asciiTheme="minorHAnsi" w:hAnsiTheme="minorHAnsi" w:cstheme="minorHAnsi"/>
          <w:sz w:val="22"/>
          <w:szCs w:val="22"/>
        </w:rPr>
        <w:t>9</w:t>
      </w:r>
      <w:r w:rsidRPr="0068094B">
        <w:rPr>
          <w:rFonts w:asciiTheme="minorHAnsi" w:hAnsiTheme="minorHAnsi" w:cstheme="minorHAnsi"/>
          <w:sz w:val="22"/>
          <w:szCs w:val="22"/>
        </w:rPr>
        <w:t>-</w:t>
      </w:r>
      <w:r w:rsidR="00725298">
        <w:rPr>
          <w:rFonts w:asciiTheme="minorHAnsi" w:hAnsiTheme="minorHAnsi" w:cstheme="minorHAnsi"/>
          <w:sz w:val="22"/>
          <w:szCs w:val="22"/>
        </w:rPr>
        <w:t>20</w:t>
      </w:r>
      <w:r w:rsidRPr="0068094B">
        <w:rPr>
          <w:rFonts w:asciiTheme="minorHAnsi" w:hAnsiTheme="minorHAnsi" w:cstheme="minorHAnsi"/>
          <w:sz w:val="22"/>
          <w:szCs w:val="22"/>
        </w:rPr>
        <w:t xml:space="preserve"> supported by International Financial Reporting Standards (IFRS).</w:t>
      </w:r>
    </w:p>
    <w:p w:rsidR="00CF437F" w:rsidRPr="0068094B" w:rsidRDefault="00CF437F" w:rsidP="00CF437F">
      <w:pPr>
        <w:autoSpaceDE w:val="0"/>
        <w:rPr>
          <w:rFonts w:asciiTheme="minorHAnsi" w:hAnsiTheme="minorHAnsi" w:cstheme="minorHAnsi"/>
          <w:sz w:val="22"/>
          <w:szCs w:val="22"/>
        </w:rPr>
      </w:pPr>
    </w:p>
    <w:p w:rsidR="0049556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The accounting convention adopted in the Statement of Accounts is principally historical cost, modified by the revaluation of certain categories of non-current assets and financial instruments.</w:t>
      </w:r>
      <w:r>
        <w:rPr>
          <w:rFonts w:asciiTheme="minorHAnsi" w:hAnsiTheme="minorHAnsi" w:cstheme="minorHAnsi"/>
          <w:sz w:val="22"/>
          <w:szCs w:val="22"/>
        </w:rPr>
        <w:t xml:space="preserve"> </w:t>
      </w:r>
    </w:p>
    <w:p w:rsidR="0049556B" w:rsidRDefault="0049556B" w:rsidP="00CF437F">
      <w:pPr>
        <w:pStyle w:val="PlainText"/>
        <w:rPr>
          <w:rFonts w:asciiTheme="minorHAnsi" w:hAnsiTheme="minorHAnsi" w:cstheme="minorHAnsi"/>
          <w:sz w:val="22"/>
          <w:szCs w:val="22"/>
        </w:rPr>
      </w:pPr>
    </w:p>
    <w:p w:rsidR="00294BAC" w:rsidRDefault="00294BAC" w:rsidP="00294BAC">
      <w:pPr>
        <w:numPr>
          <w:ilvl w:val="1"/>
          <w:numId w:val="6"/>
        </w:numPr>
        <w:tabs>
          <w:tab w:val="left" w:pos="540"/>
        </w:tabs>
        <w:autoSpaceDE w:val="0"/>
        <w:rPr>
          <w:rFonts w:asciiTheme="minorHAnsi" w:hAnsiTheme="minorHAnsi" w:cstheme="minorHAnsi"/>
          <w:b/>
          <w:bCs/>
          <w:sz w:val="22"/>
          <w:szCs w:val="22"/>
        </w:rPr>
      </w:pPr>
      <w:r w:rsidRPr="00294BAC">
        <w:rPr>
          <w:rFonts w:asciiTheme="minorHAnsi" w:hAnsiTheme="minorHAnsi" w:cstheme="minorHAnsi"/>
          <w:b/>
          <w:bCs/>
          <w:sz w:val="22"/>
          <w:szCs w:val="22"/>
        </w:rPr>
        <w:t>Going Concern</w:t>
      </w:r>
    </w:p>
    <w:p w:rsidR="00AF2628" w:rsidRPr="00AF2628" w:rsidRDefault="00AF2628" w:rsidP="00AF2628">
      <w:pPr>
        <w:rPr>
          <w:rFonts w:asciiTheme="minorHAnsi" w:hAnsiTheme="minorHAnsi" w:cstheme="minorHAnsi"/>
          <w:sz w:val="22"/>
          <w:szCs w:val="22"/>
        </w:rPr>
      </w:pPr>
    </w:p>
    <w:p w:rsidR="00F71200" w:rsidRPr="00967A2A" w:rsidRDefault="00F71200" w:rsidP="00F71200">
      <w:pPr>
        <w:rPr>
          <w:rFonts w:asciiTheme="minorHAnsi" w:hAnsiTheme="minorHAnsi" w:cstheme="minorHAnsi"/>
          <w:sz w:val="22"/>
          <w:szCs w:val="22"/>
        </w:rPr>
      </w:pPr>
      <w:r w:rsidRPr="00967A2A">
        <w:rPr>
          <w:rFonts w:asciiTheme="minorHAnsi" w:hAnsiTheme="minorHAnsi" w:cstheme="minorHAnsi"/>
          <w:sz w:val="22"/>
          <w:szCs w:val="22"/>
        </w:rPr>
        <w:t xml:space="preserve">The provisions in the Code of Audit Practice in respect of going concern reporting requirements reflect the economic and statutory environment in which local authorities operate. These provisions confirm that, as the Council cannot be created or dissolved without statutory prescription, these accounts must be prepared on a going concern basis of accounting. </w:t>
      </w:r>
    </w:p>
    <w:p w:rsidR="00F71200" w:rsidRPr="00967A2A" w:rsidRDefault="00F71200" w:rsidP="00F71200">
      <w:pPr>
        <w:rPr>
          <w:rFonts w:asciiTheme="minorHAnsi" w:hAnsiTheme="minorHAnsi" w:cstheme="minorHAnsi"/>
          <w:sz w:val="22"/>
          <w:szCs w:val="22"/>
        </w:rPr>
      </w:pPr>
    </w:p>
    <w:p w:rsidR="00F71200" w:rsidRPr="00967A2A" w:rsidRDefault="00F71200" w:rsidP="00F71200">
      <w:pPr>
        <w:rPr>
          <w:rFonts w:asciiTheme="minorHAnsi" w:hAnsiTheme="minorHAnsi" w:cstheme="minorHAnsi"/>
          <w:sz w:val="22"/>
          <w:szCs w:val="22"/>
        </w:rPr>
      </w:pPr>
      <w:r w:rsidRPr="00967A2A">
        <w:rPr>
          <w:rFonts w:asciiTheme="minorHAnsi" w:hAnsiTheme="minorHAnsi" w:cstheme="minorHAnsi"/>
          <w:sz w:val="22"/>
          <w:szCs w:val="22"/>
        </w:rPr>
        <w:t>As the Council carries out functions essential to the local community and i</w:t>
      </w:r>
      <w:r w:rsidR="00967A2A">
        <w:rPr>
          <w:rFonts w:asciiTheme="minorHAnsi" w:hAnsiTheme="minorHAnsi" w:cstheme="minorHAnsi"/>
          <w:sz w:val="22"/>
          <w:szCs w:val="22"/>
        </w:rPr>
        <w:t xml:space="preserve">s itself a revenue-raising </w:t>
      </w:r>
      <w:proofErr w:type="gramStart"/>
      <w:r w:rsidR="00967A2A">
        <w:rPr>
          <w:rFonts w:asciiTheme="minorHAnsi" w:hAnsiTheme="minorHAnsi" w:cstheme="minorHAnsi"/>
          <w:sz w:val="22"/>
          <w:szCs w:val="22"/>
        </w:rPr>
        <w:t>body;</w:t>
      </w:r>
      <w:r w:rsidRPr="00967A2A">
        <w:rPr>
          <w:rFonts w:asciiTheme="minorHAnsi" w:hAnsiTheme="minorHAnsi" w:cstheme="minorHAnsi"/>
          <w:sz w:val="22"/>
          <w:szCs w:val="22"/>
        </w:rPr>
        <w:t xml:space="preserve">  If</w:t>
      </w:r>
      <w:proofErr w:type="gramEnd"/>
      <w:r w:rsidRPr="00967A2A">
        <w:rPr>
          <w:rFonts w:asciiTheme="minorHAnsi" w:hAnsiTheme="minorHAnsi" w:cstheme="minorHAnsi"/>
          <w:sz w:val="22"/>
          <w:szCs w:val="22"/>
        </w:rPr>
        <w:t xml:space="preserve"> the Council was in financial difficulty, the prospects are thus that alternative arrangements might be made by central government either for the continuation of the services it provides or for assistance with the recovery of a deficit over more than one financial year. </w:t>
      </w:r>
    </w:p>
    <w:p w:rsidR="00F71200" w:rsidRPr="00967A2A" w:rsidRDefault="00F71200" w:rsidP="00F71200">
      <w:pPr>
        <w:rPr>
          <w:rFonts w:asciiTheme="minorHAnsi" w:hAnsiTheme="minorHAnsi" w:cstheme="minorHAnsi"/>
          <w:sz w:val="22"/>
          <w:szCs w:val="22"/>
        </w:rPr>
      </w:pPr>
    </w:p>
    <w:p w:rsidR="00F71200" w:rsidRPr="00967A2A" w:rsidRDefault="00F71200" w:rsidP="00F71200">
      <w:pPr>
        <w:rPr>
          <w:rFonts w:asciiTheme="minorHAnsi" w:hAnsiTheme="minorHAnsi" w:cstheme="minorHAnsi"/>
          <w:sz w:val="22"/>
          <w:szCs w:val="22"/>
        </w:rPr>
      </w:pPr>
      <w:r w:rsidRPr="00967A2A">
        <w:rPr>
          <w:rFonts w:asciiTheme="minorHAnsi" w:hAnsiTheme="minorHAnsi" w:cstheme="minorHAnsi"/>
          <w:sz w:val="22"/>
          <w:szCs w:val="22"/>
        </w:rPr>
        <w:t>Accounts drawn up under the Code, therefore, assume that a local authority’s services will continue to operate on a going concern basis for the foreseeable future.</w:t>
      </w:r>
    </w:p>
    <w:p w:rsidR="00F71200" w:rsidRPr="00967A2A" w:rsidRDefault="00F71200" w:rsidP="00F71200">
      <w:pPr>
        <w:rPr>
          <w:rFonts w:asciiTheme="minorHAnsi" w:hAnsiTheme="minorHAnsi" w:cstheme="minorHAnsi"/>
          <w:sz w:val="22"/>
          <w:szCs w:val="22"/>
        </w:rPr>
      </w:pPr>
    </w:p>
    <w:p w:rsidR="00F71200" w:rsidRPr="00967A2A" w:rsidRDefault="00F71200" w:rsidP="00F71200">
      <w:pPr>
        <w:rPr>
          <w:rFonts w:asciiTheme="minorHAnsi" w:hAnsiTheme="minorHAnsi" w:cstheme="minorHAnsi"/>
          <w:sz w:val="22"/>
          <w:szCs w:val="22"/>
        </w:rPr>
      </w:pPr>
      <w:r w:rsidRPr="00967A2A">
        <w:rPr>
          <w:rFonts w:asciiTheme="minorHAnsi" w:hAnsiTheme="minorHAnsi" w:cstheme="minorHAnsi"/>
          <w:sz w:val="22"/>
          <w:szCs w:val="22"/>
        </w:rPr>
        <w:t>The impact of COVID-19, and the national response to this challenge</w:t>
      </w:r>
      <w:r w:rsidR="00967A2A">
        <w:rPr>
          <w:rFonts w:asciiTheme="minorHAnsi" w:hAnsiTheme="minorHAnsi" w:cstheme="minorHAnsi"/>
          <w:sz w:val="22"/>
          <w:szCs w:val="22"/>
        </w:rPr>
        <w:t>,</w:t>
      </w:r>
      <w:r w:rsidRPr="00967A2A">
        <w:rPr>
          <w:rFonts w:asciiTheme="minorHAnsi" w:hAnsiTheme="minorHAnsi" w:cstheme="minorHAnsi"/>
          <w:sz w:val="22"/>
          <w:szCs w:val="22"/>
        </w:rPr>
        <w:t xml:space="preserve"> has created significant issues for many businesses and residents across the District, resulting in Council cashflows and some revenue streams being adversely affected from late March 2020 onward</w:t>
      </w:r>
      <w:r w:rsidR="00650803">
        <w:rPr>
          <w:rFonts w:asciiTheme="minorHAnsi" w:hAnsiTheme="minorHAnsi" w:cstheme="minorHAnsi"/>
          <w:sz w:val="22"/>
          <w:szCs w:val="22"/>
        </w:rPr>
        <w:t>s.</w:t>
      </w:r>
    </w:p>
    <w:p w:rsidR="00F71200" w:rsidRPr="00F71200" w:rsidRDefault="00F71200" w:rsidP="00F71200">
      <w:pPr>
        <w:rPr>
          <w:rFonts w:asciiTheme="minorHAnsi" w:hAnsiTheme="minorHAnsi" w:cstheme="minorHAnsi"/>
          <w:sz w:val="22"/>
          <w:szCs w:val="22"/>
          <w:highlight w:val="yellow"/>
        </w:rPr>
      </w:pPr>
    </w:p>
    <w:p w:rsidR="00967A2A" w:rsidRDefault="00B749AD" w:rsidP="00B749AD">
      <w:pPr>
        <w:rPr>
          <w:rFonts w:asciiTheme="minorHAnsi" w:hAnsiTheme="minorHAnsi" w:cstheme="minorHAnsi"/>
          <w:sz w:val="22"/>
          <w:szCs w:val="22"/>
        </w:rPr>
      </w:pPr>
      <w:r w:rsidRPr="00B749AD">
        <w:rPr>
          <w:rFonts w:asciiTheme="minorHAnsi" w:hAnsiTheme="minorHAnsi" w:cstheme="minorHAnsi"/>
          <w:sz w:val="22"/>
          <w:szCs w:val="22"/>
        </w:rPr>
        <w:t xml:space="preserve">The present estimate is that the Council suffered a loss of income in the region of £1m per month during the period to the end of June 2020, with a full year effect projected at £8m (comprising a reduction in income of £7m and £1m increased costs). </w:t>
      </w:r>
      <w:r>
        <w:rPr>
          <w:rFonts w:asciiTheme="minorHAnsi" w:hAnsiTheme="minorHAnsi" w:cstheme="minorHAnsi"/>
          <w:sz w:val="22"/>
          <w:szCs w:val="22"/>
        </w:rPr>
        <w:t xml:space="preserve"> Set against this deficit is </w:t>
      </w:r>
      <w:r w:rsidRPr="00B749AD">
        <w:rPr>
          <w:rFonts w:asciiTheme="minorHAnsi" w:hAnsiTheme="minorHAnsi" w:cstheme="minorHAnsi"/>
          <w:sz w:val="22"/>
          <w:szCs w:val="22"/>
        </w:rPr>
        <w:t>Government grant funding for CO</w:t>
      </w:r>
      <w:r>
        <w:rPr>
          <w:rFonts w:asciiTheme="minorHAnsi" w:hAnsiTheme="minorHAnsi" w:cstheme="minorHAnsi"/>
          <w:sz w:val="22"/>
          <w:szCs w:val="22"/>
        </w:rPr>
        <w:t>VID related expenditure (£1.4m), and loss of income from r</w:t>
      </w:r>
      <w:r w:rsidR="00967A2A">
        <w:rPr>
          <w:rFonts w:asciiTheme="minorHAnsi" w:hAnsiTheme="minorHAnsi" w:cstheme="minorHAnsi"/>
          <w:sz w:val="22"/>
          <w:szCs w:val="22"/>
        </w:rPr>
        <w:t>educed sales, fees and charges, which is</w:t>
      </w:r>
      <w:r>
        <w:rPr>
          <w:rFonts w:asciiTheme="minorHAnsi" w:hAnsiTheme="minorHAnsi" w:cstheme="minorHAnsi"/>
          <w:sz w:val="22"/>
          <w:szCs w:val="22"/>
        </w:rPr>
        <w:t xml:space="preserve"> expect</w:t>
      </w:r>
      <w:r w:rsidR="00967A2A">
        <w:rPr>
          <w:rFonts w:asciiTheme="minorHAnsi" w:hAnsiTheme="minorHAnsi" w:cstheme="minorHAnsi"/>
          <w:sz w:val="22"/>
          <w:szCs w:val="22"/>
        </w:rPr>
        <w:t>ed</w:t>
      </w:r>
      <w:r>
        <w:rPr>
          <w:rFonts w:asciiTheme="minorHAnsi" w:hAnsiTheme="minorHAnsi" w:cstheme="minorHAnsi"/>
          <w:sz w:val="22"/>
          <w:szCs w:val="22"/>
        </w:rPr>
        <w:t xml:space="preserve"> to be in the region of £4m for 2020-21. </w:t>
      </w:r>
    </w:p>
    <w:p w:rsidR="00967A2A" w:rsidRDefault="00967A2A" w:rsidP="00B749AD">
      <w:pPr>
        <w:rPr>
          <w:rFonts w:asciiTheme="minorHAnsi" w:hAnsiTheme="minorHAnsi" w:cstheme="minorHAnsi"/>
          <w:sz w:val="22"/>
          <w:szCs w:val="22"/>
        </w:rPr>
      </w:pPr>
    </w:p>
    <w:p w:rsidR="00967A2A" w:rsidRDefault="00B749AD" w:rsidP="00B749AD">
      <w:pPr>
        <w:rPr>
          <w:rFonts w:asciiTheme="minorHAnsi" w:hAnsiTheme="minorHAnsi" w:cstheme="minorHAnsi"/>
          <w:sz w:val="22"/>
          <w:szCs w:val="22"/>
        </w:rPr>
      </w:pPr>
      <w:r>
        <w:rPr>
          <w:rFonts w:asciiTheme="minorHAnsi" w:hAnsiTheme="minorHAnsi" w:cstheme="minorHAnsi"/>
          <w:sz w:val="22"/>
          <w:szCs w:val="22"/>
        </w:rPr>
        <w:t>I</w:t>
      </w:r>
      <w:r w:rsidRPr="00B749AD">
        <w:rPr>
          <w:rFonts w:asciiTheme="minorHAnsi" w:hAnsiTheme="minorHAnsi" w:cstheme="minorHAnsi"/>
          <w:sz w:val="22"/>
          <w:szCs w:val="22"/>
        </w:rPr>
        <w:t xml:space="preserve">f received, </w:t>
      </w:r>
      <w:r>
        <w:rPr>
          <w:rFonts w:asciiTheme="minorHAnsi" w:hAnsiTheme="minorHAnsi" w:cstheme="minorHAnsi"/>
          <w:sz w:val="22"/>
          <w:szCs w:val="22"/>
        </w:rPr>
        <w:t xml:space="preserve">these grants </w:t>
      </w:r>
      <w:r w:rsidRPr="00B749AD">
        <w:rPr>
          <w:rFonts w:asciiTheme="minorHAnsi" w:hAnsiTheme="minorHAnsi" w:cstheme="minorHAnsi"/>
          <w:sz w:val="22"/>
          <w:szCs w:val="22"/>
        </w:rPr>
        <w:t>will offset the in-year</w:t>
      </w:r>
      <w:r w:rsidR="00662DD9">
        <w:rPr>
          <w:rFonts w:asciiTheme="minorHAnsi" w:hAnsiTheme="minorHAnsi" w:cstheme="minorHAnsi"/>
          <w:sz w:val="22"/>
          <w:szCs w:val="22"/>
        </w:rPr>
        <w:t xml:space="preserve"> effects of the pandemic</w:t>
      </w:r>
      <w:r w:rsidRPr="00B749AD">
        <w:rPr>
          <w:rFonts w:asciiTheme="minorHAnsi" w:hAnsiTheme="minorHAnsi" w:cstheme="minorHAnsi"/>
          <w:sz w:val="22"/>
          <w:szCs w:val="22"/>
        </w:rPr>
        <w:t xml:space="preserve"> estimated above</w:t>
      </w:r>
      <w:r w:rsidR="00967A2A">
        <w:rPr>
          <w:rFonts w:asciiTheme="minorHAnsi" w:hAnsiTheme="minorHAnsi" w:cstheme="minorHAnsi"/>
          <w:sz w:val="22"/>
          <w:szCs w:val="22"/>
        </w:rPr>
        <w:t xml:space="preserve"> leaving a 2020-21 outturn </w:t>
      </w:r>
      <w:r>
        <w:rPr>
          <w:rFonts w:asciiTheme="minorHAnsi" w:hAnsiTheme="minorHAnsi" w:cstheme="minorHAnsi"/>
          <w:sz w:val="22"/>
          <w:szCs w:val="22"/>
        </w:rPr>
        <w:t xml:space="preserve">deficit of between £3m and £4m. </w:t>
      </w:r>
      <w:r w:rsidR="00967A2A">
        <w:rPr>
          <w:rFonts w:asciiTheme="minorHAnsi" w:hAnsiTheme="minorHAnsi" w:cstheme="minorHAnsi"/>
          <w:sz w:val="22"/>
          <w:szCs w:val="22"/>
        </w:rPr>
        <w:t>T</w:t>
      </w:r>
      <w:r w:rsidR="00967A2A" w:rsidRPr="00967A2A">
        <w:rPr>
          <w:rFonts w:asciiTheme="minorHAnsi" w:hAnsiTheme="minorHAnsi" w:cstheme="minorHAnsi"/>
          <w:sz w:val="22"/>
          <w:szCs w:val="22"/>
        </w:rPr>
        <w:t xml:space="preserve">he Council </w:t>
      </w:r>
      <w:r w:rsidR="00967A2A">
        <w:rPr>
          <w:rFonts w:asciiTheme="minorHAnsi" w:hAnsiTheme="minorHAnsi" w:cstheme="minorHAnsi"/>
          <w:sz w:val="22"/>
          <w:szCs w:val="22"/>
        </w:rPr>
        <w:t xml:space="preserve">has already </w:t>
      </w:r>
      <w:r w:rsidR="00967A2A" w:rsidRPr="00967A2A">
        <w:rPr>
          <w:rFonts w:asciiTheme="minorHAnsi" w:hAnsiTheme="minorHAnsi" w:cstheme="minorHAnsi"/>
          <w:sz w:val="22"/>
          <w:szCs w:val="22"/>
        </w:rPr>
        <w:t xml:space="preserve">approved a recovery plan </w:t>
      </w:r>
      <w:r w:rsidR="00967A2A">
        <w:rPr>
          <w:rFonts w:asciiTheme="minorHAnsi" w:hAnsiTheme="minorHAnsi" w:cstheme="minorHAnsi"/>
          <w:sz w:val="22"/>
          <w:szCs w:val="22"/>
        </w:rPr>
        <w:t xml:space="preserve">that </w:t>
      </w:r>
      <w:r w:rsidR="00967A2A" w:rsidRPr="00967A2A">
        <w:rPr>
          <w:rFonts w:asciiTheme="minorHAnsi" w:hAnsiTheme="minorHAnsi" w:cstheme="minorHAnsi"/>
          <w:sz w:val="22"/>
          <w:szCs w:val="22"/>
        </w:rPr>
        <w:t>support</w:t>
      </w:r>
      <w:r w:rsidR="00967A2A">
        <w:rPr>
          <w:rFonts w:asciiTheme="minorHAnsi" w:hAnsiTheme="minorHAnsi" w:cstheme="minorHAnsi"/>
          <w:sz w:val="22"/>
          <w:szCs w:val="22"/>
        </w:rPr>
        <w:t>s</w:t>
      </w:r>
      <w:r w:rsidR="00967A2A" w:rsidRPr="00967A2A">
        <w:rPr>
          <w:rFonts w:asciiTheme="minorHAnsi" w:hAnsiTheme="minorHAnsi" w:cstheme="minorHAnsi"/>
          <w:sz w:val="22"/>
          <w:szCs w:val="22"/>
        </w:rPr>
        <w:t xml:space="preserve"> to our co</w:t>
      </w:r>
      <w:r w:rsidR="00967A2A">
        <w:rPr>
          <w:rFonts w:asciiTheme="minorHAnsi" w:hAnsiTheme="minorHAnsi" w:cstheme="minorHAnsi"/>
          <w:sz w:val="22"/>
          <w:szCs w:val="22"/>
        </w:rPr>
        <w:t>mmunities and our</w:t>
      </w:r>
      <w:r w:rsidR="00967A2A" w:rsidRPr="00967A2A">
        <w:rPr>
          <w:rFonts w:asciiTheme="minorHAnsi" w:hAnsiTheme="minorHAnsi" w:cstheme="minorHAnsi"/>
          <w:sz w:val="22"/>
          <w:szCs w:val="22"/>
        </w:rPr>
        <w:t xml:space="preserve"> financial position through a range of service efficiencies and reprioritisation</w:t>
      </w:r>
      <w:r w:rsidR="00967A2A">
        <w:rPr>
          <w:rFonts w:asciiTheme="minorHAnsi" w:hAnsiTheme="minorHAnsi" w:cstheme="minorHAnsi"/>
          <w:sz w:val="22"/>
          <w:szCs w:val="22"/>
        </w:rPr>
        <w:t xml:space="preserve">. This is expected </w:t>
      </w:r>
      <w:r w:rsidR="00967A2A" w:rsidRPr="00967A2A">
        <w:rPr>
          <w:rFonts w:asciiTheme="minorHAnsi" w:hAnsiTheme="minorHAnsi" w:cstheme="minorHAnsi"/>
          <w:sz w:val="22"/>
          <w:szCs w:val="22"/>
        </w:rPr>
        <w:t>to deliver a savings target to mitigate the impact on reserves and also achieve a balanced budget position over the medium term</w:t>
      </w:r>
      <w:r w:rsidR="00650803">
        <w:rPr>
          <w:rFonts w:asciiTheme="minorHAnsi" w:hAnsiTheme="minorHAnsi" w:cstheme="minorHAnsi"/>
          <w:sz w:val="22"/>
          <w:szCs w:val="22"/>
        </w:rPr>
        <w:t>.</w:t>
      </w:r>
    </w:p>
    <w:p w:rsidR="00967A2A" w:rsidRDefault="00967A2A" w:rsidP="00B749AD">
      <w:pPr>
        <w:rPr>
          <w:rFonts w:asciiTheme="minorHAnsi" w:hAnsiTheme="minorHAnsi" w:cstheme="minorHAnsi"/>
          <w:sz w:val="22"/>
          <w:szCs w:val="22"/>
        </w:rPr>
      </w:pPr>
    </w:p>
    <w:p w:rsidR="00B749AD" w:rsidRPr="00B749AD" w:rsidRDefault="00B749AD" w:rsidP="00B749AD">
      <w:pPr>
        <w:rPr>
          <w:rFonts w:asciiTheme="minorHAnsi" w:hAnsiTheme="minorHAnsi" w:cstheme="minorHAnsi"/>
          <w:sz w:val="22"/>
          <w:szCs w:val="22"/>
        </w:rPr>
      </w:pPr>
      <w:r>
        <w:rPr>
          <w:rFonts w:asciiTheme="minorHAnsi" w:hAnsiTheme="minorHAnsi" w:cstheme="minorHAnsi"/>
          <w:sz w:val="22"/>
          <w:szCs w:val="22"/>
        </w:rPr>
        <w:t>Even if</w:t>
      </w:r>
      <w:r w:rsidR="00967A2A">
        <w:rPr>
          <w:rFonts w:asciiTheme="minorHAnsi" w:hAnsiTheme="minorHAnsi" w:cstheme="minorHAnsi"/>
          <w:sz w:val="22"/>
          <w:szCs w:val="22"/>
        </w:rPr>
        <w:t xml:space="preserve"> this level of deficit continued unabated</w:t>
      </w:r>
      <w:r>
        <w:rPr>
          <w:rFonts w:asciiTheme="minorHAnsi" w:hAnsiTheme="minorHAnsi" w:cstheme="minorHAnsi"/>
          <w:sz w:val="22"/>
          <w:szCs w:val="22"/>
        </w:rPr>
        <w:t xml:space="preserve"> into </w:t>
      </w:r>
      <w:r w:rsidR="00886D22">
        <w:rPr>
          <w:rFonts w:asciiTheme="minorHAnsi" w:hAnsiTheme="minorHAnsi" w:cstheme="minorHAnsi"/>
          <w:sz w:val="22"/>
          <w:szCs w:val="22"/>
        </w:rPr>
        <w:t>20</w:t>
      </w:r>
      <w:r w:rsidRPr="00B749AD">
        <w:rPr>
          <w:rFonts w:asciiTheme="minorHAnsi" w:hAnsiTheme="minorHAnsi" w:cstheme="minorHAnsi"/>
          <w:sz w:val="22"/>
          <w:szCs w:val="22"/>
        </w:rPr>
        <w:t>21</w:t>
      </w:r>
      <w:r w:rsidR="00886D22">
        <w:rPr>
          <w:rFonts w:asciiTheme="minorHAnsi" w:hAnsiTheme="minorHAnsi" w:cstheme="minorHAnsi"/>
          <w:sz w:val="22"/>
          <w:szCs w:val="22"/>
        </w:rPr>
        <w:t>-</w:t>
      </w:r>
      <w:r w:rsidRPr="00B749AD">
        <w:rPr>
          <w:rFonts w:asciiTheme="minorHAnsi" w:hAnsiTheme="minorHAnsi" w:cstheme="minorHAnsi"/>
          <w:sz w:val="22"/>
          <w:szCs w:val="22"/>
        </w:rPr>
        <w:t>22,</w:t>
      </w:r>
      <w:r w:rsidR="00967A2A">
        <w:rPr>
          <w:rFonts w:asciiTheme="minorHAnsi" w:hAnsiTheme="minorHAnsi" w:cstheme="minorHAnsi"/>
          <w:sz w:val="22"/>
          <w:szCs w:val="22"/>
        </w:rPr>
        <w:t xml:space="preserve"> and ignoring the mitigating actions already underway, </w:t>
      </w:r>
      <w:r w:rsidRPr="00B749AD">
        <w:rPr>
          <w:rFonts w:asciiTheme="minorHAnsi" w:hAnsiTheme="minorHAnsi" w:cstheme="minorHAnsi"/>
          <w:sz w:val="22"/>
          <w:szCs w:val="22"/>
        </w:rPr>
        <w:t>the total reduction i</w:t>
      </w:r>
      <w:r w:rsidR="00967A2A">
        <w:rPr>
          <w:rFonts w:asciiTheme="minorHAnsi" w:hAnsiTheme="minorHAnsi" w:cstheme="minorHAnsi"/>
          <w:sz w:val="22"/>
          <w:szCs w:val="22"/>
        </w:rPr>
        <w:t>n</w:t>
      </w:r>
      <w:r w:rsidRPr="00B749AD">
        <w:rPr>
          <w:rFonts w:asciiTheme="minorHAnsi" w:hAnsiTheme="minorHAnsi" w:cstheme="minorHAnsi"/>
          <w:sz w:val="22"/>
          <w:szCs w:val="22"/>
        </w:rPr>
        <w:t xml:space="preserve"> </w:t>
      </w:r>
      <w:r w:rsidR="00967A2A" w:rsidRPr="00B749AD">
        <w:rPr>
          <w:rFonts w:asciiTheme="minorHAnsi" w:hAnsiTheme="minorHAnsi" w:cstheme="minorHAnsi"/>
          <w:sz w:val="22"/>
          <w:szCs w:val="22"/>
        </w:rPr>
        <w:t>revenue reserves over the next t</w:t>
      </w:r>
      <w:r w:rsidR="00967A2A">
        <w:rPr>
          <w:rFonts w:asciiTheme="minorHAnsi" w:hAnsiTheme="minorHAnsi" w:cstheme="minorHAnsi"/>
          <w:sz w:val="22"/>
          <w:szCs w:val="22"/>
        </w:rPr>
        <w:t>wo years</w:t>
      </w:r>
      <w:r w:rsidR="00967A2A" w:rsidRPr="00B749AD">
        <w:rPr>
          <w:rFonts w:asciiTheme="minorHAnsi" w:hAnsiTheme="minorHAnsi" w:cstheme="minorHAnsi"/>
          <w:sz w:val="22"/>
          <w:szCs w:val="22"/>
        </w:rPr>
        <w:t xml:space="preserve"> </w:t>
      </w:r>
      <w:r w:rsidR="00967A2A">
        <w:rPr>
          <w:rFonts w:asciiTheme="minorHAnsi" w:hAnsiTheme="minorHAnsi" w:cstheme="minorHAnsi"/>
          <w:sz w:val="22"/>
          <w:szCs w:val="22"/>
        </w:rPr>
        <w:t>is not expected to exceed</w:t>
      </w:r>
      <w:r>
        <w:rPr>
          <w:rFonts w:asciiTheme="minorHAnsi" w:hAnsiTheme="minorHAnsi" w:cstheme="minorHAnsi"/>
          <w:sz w:val="22"/>
          <w:szCs w:val="22"/>
        </w:rPr>
        <w:t xml:space="preserve"> £8m</w:t>
      </w:r>
      <w:r w:rsidR="00650803">
        <w:rPr>
          <w:rFonts w:asciiTheme="minorHAnsi" w:hAnsiTheme="minorHAnsi" w:cstheme="minorHAnsi"/>
          <w:sz w:val="22"/>
          <w:szCs w:val="22"/>
        </w:rPr>
        <w:t>.</w:t>
      </w:r>
    </w:p>
    <w:p w:rsidR="00B749AD" w:rsidRPr="00B749AD" w:rsidRDefault="00B749AD" w:rsidP="00B749AD">
      <w:pPr>
        <w:rPr>
          <w:rFonts w:asciiTheme="minorHAnsi" w:hAnsiTheme="minorHAnsi" w:cstheme="minorHAnsi"/>
          <w:sz w:val="22"/>
          <w:szCs w:val="22"/>
        </w:rPr>
      </w:pPr>
    </w:p>
    <w:p w:rsidR="00B749AD" w:rsidRPr="00F71200" w:rsidRDefault="00B749AD" w:rsidP="00F71200">
      <w:pPr>
        <w:rPr>
          <w:rFonts w:asciiTheme="minorHAnsi" w:hAnsiTheme="minorHAnsi" w:cstheme="minorHAnsi"/>
          <w:sz w:val="22"/>
          <w:szCs w:val="22"/>
          <w:highlight w:val="yellow"/>
        </w:rPr>
      </w:pPr>
      <w:r w:rsidRPr="00B749AD">
        <w:rPr>
          <w:rFonts w:asciiTheme="minorHAnsi" w:hAnsiTheme="minorHAnsi" w:cstheme="minorHAnsi"/>
          <w:sz w:val="22"/>
          <w:szCs w:val="22"/>
        </w:rPr>
        <w:t>Whilst a</w:t>
      </w:r>
      <w:r>
        <w:rPr>
          <w:rFonts w:asciiTheme="minorHAnsi" w:hAnsiTheme="minorHAnsi" w:cstheme="minorHAnsi"/>
          <w:sz w:val="22"/>
          <w:szCs w:val="22"/>
        </w:rPr>
        <w:t>ny</w:t>
      </w:r>
      <w:r w:rsidRPr="00B749AD">
        <w:rPr>
          <w:rFonts w:asciiTheme="minorHAnsi" w:hAnsiTheme="minorHAnsi" w:cstheme="minorHAnsi"/>
          <w:sz w:val="22"/>
          <w:szCs w:val="22"/>
        </w:rPr>
        <w:t xml:space="preserve"> deficit over this period will reduce the Council’s available revenue reserves, the Council had £15.3m uncommitted and £32.7m earmarked General Fund reserves at 31 March 2020 which could be used if necessary to support Council services. Given this, the Council is confident that available revenue reserves will remain above the required minimum levels set by the Council’s s.151 officer over the next two years</w:t>
      </w:r>
    </w:p>
    <w:p w:rsidR="00F71200" w:rsidRPr="00F71200" w:rsidRDefault="00F71200" w:rsidP="00F71200">
      <w:pPr>
        <w:rPr>
          <w:rFonts w:asciiTheme="minorHAnsi" w:hAnsiTheme="minorHAnsi" w:cstheme="minorHAnsi"/>
          <w:sz w:val="22"/>
          <w:szCs w:val="22"/>
          <w:highlight w:val="yellow"/>
        </w:rPr>
      </w:pPr>
    </w:p>
    <w:p w:rsidR="00F71200" w:rsidRPr="00967A2A" w:rsidRDefault="00F71200" w:rsidP="00F71200">
      <w:pPr>
        <w:rPr>
          <w:rFonts w:asciiTheme="minorHAnsi" w:hAnsiTheme="minorHAnsi" w:cstheme="minorHAnsi"/>
          <w:sz w:val="22"/>
          <w:szCs w:val="22"/>
        </w:rPr>
      </w:pPr>
      <w:r w:rsidRPr="00967A2A">
        <w:rPr>
          <w:rFonts w:asciiTheme="minorHAnsi" w:hAnsiTheme="minorHAnsi" w:cstheme="minorHAnsi"/>
          <w:sz w:val="22"/>
          <w:szCs w:val="22"/>
        </w:rPr>
        <w:t>More information on the financial impact of the pandemic can be found within the Cabinet agenda for 7 July 2020, available on the Council’s website.</w:t>
      </w:r>
    </w:p>
    <w:p w:rsidR="00F71200" w:rsidRPr="00967A2A" w:rsidRDefault="00F71200" w:rsidP="00F71200">
      <w:pPr>
        <w:rPr>
          <w:rFonts w:asciiTheme="minorHAnsi" w:hAnsiTheme="minorHAnsi" w:cstheme="minorHAnsi"/>
          <w:sz w:val="22"/>
          <w:szCs w:val="22"/>
        </w:rPr>
      </w:pPr>
    </w:p>
    <w:p w:rsidR="00F71200" w:rsidRPr="00967A2A" w:rsidRDefault="00F71200" w:rsidP="00F71200">
      <w:pPr>
        <w:rPr>
          <w:rFonts w:asciiTheme="minorHAnsi" w:hAnsiTheme="minorHAnsi" w:cstheme="minorHAnsi"/>
          <w:sz w:val="22"/>
          <w:szCs w:val="22"/>
        </w:rPr>
      </w:pPr>
      <w:r w:rsidRPr="00967A2A">
        <w:rPr>
          <w:rFonts w:asciiTheme="minorHAnsi" w:hAnsiTheme="minorHAnsi" w:cstheme="minorHAnsi"/>
          <w:sz w:val="22"/>
          <w:szCs w:val="22"/>
        </w:rPr>
        <w:t>The Government is also providing in-year funding for the impact of the COVID business rates relief measures announced in Spring of 2020 and intends to extend the period over which the Council will have to manage any shortfall in local tax income relating to 2020-21 from 1 to 3 years. Taken as a package, these measures considerably ease immediate pressures on the Council’s budget and cashflows.</w:t>
      </w:r>
    </w:p>
    <w:p w:rsidR="00F71200" w:rsidRPr="00967A2A" w:rsidRDefault="00F71200" w:rsidP="00F71200">
      <w:pPr>
        <w:rPr>
          <w:rFonts w:asciiTheme="minorHAnsi" w:hAnsiTheme="minorHAnsi" w:cstheme="minorHAnsi"/>
          <w:sz w:val="22"/>
          <w:szCs w:val="22"/>
        </w:rPr>
      </w:pPr>
    </w:p>
    <w:p w:rsidR="00294BAC" w:rsidRPr="00294BAC" w:rsidRDefault="00F71200" w:rsidP="00F71200">
      <w:pPr>
        <w:rPr>
          <w:rFonts w:asciiTheme="minorHAnsi" w:hAnsiTheme="minorHAnsi" w:cstheme="minorHAnsi"/>
          <w:sz w:val="22"/>
          <w:szCs w:val="22"/>
        </w:rPr>
      </w:pPr>
      <w:r w:rsidRPr="00967A2A">
        <w:rPr>
          <w:rFonts w:asciiTheme="minorHAnsi" w:hAnsiTheme="minorHAnsi" w:cstheme="minorHAnsi"/>
          <w:sz w:val="22"/>
          <w:szCs w:val="22"/>
        </w:rPr>
        <w:t xml:space="preserve">Cashflows have been estimated over the course of the next twelve months to ensure that sufficient liquidity is available to continue to provide local services.  Given the analysis and information available to the Council, the Council is confident it has the liquidity, resources and ability to continue to provide services over the foreseeable future.  The Council’s </w:t>
      </w:r>
      <w:r w:rsidR="00B7659F">
        <w:rPr>
          <w:rFonts w:asciiTheme="minorHAnsi" w:hAnsiTheme="minorHAnsi" w:cstheme="minorHAnsi"/>
          <w:sz w:val="22"/>
          <w:szCs w:val="22"/>
        </w:rPr>
        <w:t>had £47.8</w:t>
      </w:r>
      <w:r w:rsidR="00B8444E" w:rsidRPr="00967A2A">
        <w:rPr>
          <w:rFonts w:asciiTheme="minorHAnsi" w:hAnsiTheme="minorHAnsi" w:cstheme="minorHAnsi"/>
          <w:sz w:val="22"/>
          <w:szCs w:val="22"/>
        </w:rPr>
        <w:t>m</w:t>
      </w:r>
      <w:r w:rsidRPr="00967A2A">
        <w:rPr>
          <w:rFonts w:asciiTheme="minorHAnsi" w:hAnsiTheme="minorHAnsi" w:cstheme="minorHAnsi"/>
          <w:sz w:val="22"/>
          <w:szCs w:val="22"/>
        </w:rPr>
        <w:t xml:space="preserve"> in short term and liquid inv</w:t>
      </w:r>
      <w:r w:rsidR="00B7659F">
        <w:rPr>
          <w:rFonts w:asciiTheme="minorHAnsi" w:hAnsiTheme="minorHAnsi" w:cstheme="minorHAnsi"/>
          <w:sz w:val="22"/>
          <w:szCs w:val="22"/>
        </w:rPr>
        <w:t>estments at the end of October</w:t>
      </w:r>
      <w:r w:rsidRPr="00967A2A">
        <w:rPr>
          <w:rFonts w:asciiTheme="minorHAnsi" w:hAnsiTheme="minorHAnsi" w:cstheme="minorHAnsi"/>
          <w:sz w:val="22"/>
          <w:szCs w:val="22"/>
        </w:rPr>
        <w:t xml:space="preserve"> 2020 </w:t>
      </w:r>
      <w:r w:rsidR="00B8444E" w:rsidRPr="00967A2A">
        <w:rPr>
          <w:rFonts w:asciiTheme="minorHAnsi" w:hAnsiTheme="minorHAnsi" w:cstheme="minorHAnsi"/>
          <w:sz w:val="22"/>
          <w:szCs w:val="22"/>
        </w:rPr>
        <w:t>there is no</w:t>
      </w:r>
      <w:r w:rsidRPr="00967A2A">
        <w:rPr>
          <w:rFonts w:asciiTheme="minorHAnsi" w:hAnsiTheme="minorHAnsi" w:cstheme="minorHAnsi"/>
          <w:sz w:val="22"/>
          <w:szCs w:val="22"/>
        </w:rPr>
        <w:t xml:space="preserve"> expect</w:t>
      </w:r>
      <w:r w:rsidR="00B8444E" w:rsidRPr="00967A2A">
        <w:rPr>
          <w:rFonts w:asciiTheme="minorHAnsi" w:hAnsiTheme="minorHAnsi" w:cstheme="minorHAnsi"/>
          <w:sz w:val="22"/>
          <w:szCs w:val="22"/>
        </w:rPr>
        <w:t>ation of needing to borrow</w:t>
      </w:r>
      <w:r w:rsidRPr="00967A2A">
        <w:rPr>
          <w:rFonts w:asciiTheme="minorHAnsi" w:hAnsiTheme="minorHAnsi" w:cstheme="minorHAnsi"/>
          <w:sz w:val="22"/>
          <w:szCs w:val="22"/>
        </w:rPr>
        <w:t xml:space="preserve"> to fund short term cash-flows over the foreseeable future.</w:t>
      </w:r>
    </w:p>
    <w:p w:rsidR="00294BAC" w:rsidRDefault="00294BAC" w:rsidP="00294BAC">
      <w:pPr>
        <w:tabs>
          <w:tab w:val="left" w:pos="540"/>
        </w:tabs>
        <w:autoSpaceDE w:val="0"/>
        <w:rPr>
          <w:rFonts w:asciiTheme="minorHAnsi" w:hAnsiTheme="minorHAnsi" w:cstheme="minorHAnsi"/>
          <w:b/>
          <w:bCs/>
          <w:sz w:val="22"/>
          <w:szCs w:val="22"/>
        </w:rPr>
      </w:pPr>
    </w:p>
    <w:p w:rsidR="00CF437F" w:rsidRPr="00CF437F" w:rsidRDefault="00CF437F" w:rsidP="00CF437F">
      <w:pPr>
        <w:numPr>
          <w:ilvl w:val="1"/>
          <w:numId w:val="6"/>
        </w:numPr>
        <w:tabs>
          <w:tab w:val="left" w:pos="540"/>
        </w:tabs>
        <w:autoSpaceDE w:val="0"/>
        <w:rPr>
          <w:rFonts w:asciiTheme="minorHAnsi" w:hAnsiTheme="minorHAnsi" w:cstheme="minorHAnsi"/>
          <w:b/>
          <w:bCs/>
          <w:sz w:val="22"/>
          <w:szCs w:val="22"/>
        </w:rPr>
      </w:pPr>
      <w:r w:rsidRPr="00CF437F">
        <w:rPr>
          <w:rFonts w:asciiTheme="minorHAnsi" w:hAnsiTheme="minorHAnsi" w:cstheme="minorHAnsi"/>
          <w:b/>
          <w:sz w:val="22"/>
          <w:szCs w:val="22"/>
        </w:rPr>
        <w:t>Recognition of Income and Expenditure</w:t>
      </w:r>
    </w:p>
    <w:p w:rsidR="00CF437F" w:rsidRPr="004D1D07" w:rsidRDefault="00CF437F" w:rsidP="00CF437F">
      <w:pPr>
        <w:pStyle w:val="PlainText"/>
        <w:rPr>
          <w:rFonts w:asciiTheme="minorHAnsi" w:hAnsiTheme="minorHAnsi" w:cstheme="minorHAnsi"/>
          <w:sz w:val="22"/>
          <w:szCs w:val="22"/>
        </w:rPr>
      </w:pPr>
    </w:p>
    <w:p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 xml:space="preserve">In recognising revenue from </w:t>
      </w:r>
      <w:r>
        <w:rPr>
          <w:rFonts w:asciiTheme="minorHAnsi" w:hAnsiTheme="minorHAnsi" w:cstheme="minorHAnsi"/>
          <w:sz w:val="22"/>
          <w:szCs w:val="22"/>
        </w:rPr>
        <w:t>contracts with service recipients,</w:t>
      </w:r>
      <w:r w:rsidRPr="007E4B79">
        <w:rPr>
          <w:rFonts w:asciiTheme="minorHAnsi" w:hAnsiTheme="minorHAnsi" w:cstheme="minorHAnsi"/>
          <w:sz w:val="22"/>
          <w:szCs w:val="22"/>
        </w:rPr>
        <w:t xml:space="preserve"> the Council </w:t>
      </w:r>
      <w:r>
        <w:rPr>
          <w:rFonts w:asciiTheme="minorHAnsi" w:hAnsiTheme="minorHAnsi" w:cstheme="minorHAnsi"/>
          <w:sz w:val="22"/>
          <w:szCs w:val="22"/>
        </w:rPr>
        <w:t>di</w:t>
      </w:r>
      <w:r w:rsidRPr="007E4B79">
        <w:rPr>
          <w:rFonts w:asciiTheme="minorHAnsi" w:hAnsiTheme="minorHAnsi" w:cstheme="minorHAnsi"/>
          <w:sz w:val="22"/>
          <w:szCs w:val="22"/>
        </w:rPr>
        <w:t>fferentiates</w:t>
      </w:r>
      <w:r>
        <w:rPr>
          <w:rFonts w:asciiTheme="minorHAnsi" w:hAnsiTheme="minorHAnsi" w:cstheme="minorHAnsi"/>
          <w:sz w:val="22"/>
          <w:szCs w:val="22"/>
        </w:rPr>
        <w:t xml:space="preserve"> between:</w:t>
      </w:r>
    </w:p>
    <w:p w:rsidR="00CF437F" w:rsidRPr="007E4B79" w:rsidRDefault="00CF437F" w:rsidP="00CF437F">
      <w:pPr>
        <w:pStyle w:val="PlainText"/>
        <w:rPr>
          <w:rFonts w:asciiTheme="minorHAnsi" w:hAnsiTheme="minorHAnsi" w:cstheme="minorHAnsi"/>
          <w:sz w:val="22"/>
          <w:szCs w:val="22"/>
        </w:rPr>
      </w:pPr>
    </w:p>
    <w:p w:rsidR="00CF437F" w:rsidRPr="007E4B79" w:rsidRDefault="00CF437F" w:rsidP="00CF437F">
      <w:pPr>
        <w:pStyle w:val="PlainText"/>
        <w:numPr>
          <w:ilvl w:val="0"/>
          <w:numId w:val="69"/>
        </w:numPr>
        <w:rPr>
          <w:rFonts w:asciiTheme="minorHAnsi" w:hAnsiTheme="minorHAnsi" w:cstheme="minorHAnsi"/>
          <w:sz w:val="22"/>
          <w:szCs w:val="22"/>
        </w:rPr>
      </w:pPr>
      <w:r w:rsidRPr="007E4B79">
        <w:rPr>
          <w:rFonts w:asciiTheme="minorHAnsi" w:hAnsiTheme="minorHAnsi" w:cstheme="minorHAnsi"/>
          <w:sz w:val="22"/>
          <w:szCs w:val="22"/>
        </w:rPr>
        <w:t>Exchange Transactions, in which the Council directly receives consideration of approximately equal value for the provision of assets or services, or has liabilities extinguished in return for these goods or services; and,</w:t>
      </w:r>
    </w:p>
    <w:p w:rsidR="00CF437F" w:rsidRPr="007E4B79" w:rsidRDefault="00CF437F" w:rsidP="00CF437F">
      <w:pPr>
        <w:pStyle w:val="PlainText"/>
        <w:rPr>
          <w:rFonts w:asciiTheme="minorHAnsi" w:hAnsiTheme="minorHAnsi" w:cstheme="minorHAnsi"/>
          <w:sz w:val="22"/>
          <w:szCs w:val="22"/>
        </w:rPr>
      </w:pPr>
    </w:p>
    <w:p w:rsidR="00CF437F" w:rsidRPr="007E4B79" w:rsidRDefault="00CF437F" w:rsidP="00CF437F">
      <w:pPr>
        <w:pStyle w:val="PlainText"/>
        <w:numPr>
          <w:ilvl w:val="0"/>
          <w:numId w:val="69"/>
        </w:numPr>
        <w:rPr>
          <w:rFonts w:asciiTheme="minorHAnsi" w:hAnsiTheme="minorHAnsi" w:cstheme="minorHAnsi"/>
          <w:sz w:val="22"/>
          <w:szCs w:val="22"/>
        </w:rPr>
      </w:pPr>
      <w:r w:rsidRPr="007E4B79">
        <w:rPr>
          <w:rFonts w:asciiTheme="minorHAnsi" w:hAnsiTheme="minorHAnsi" w:cstheme="minorHAnsi"/>
          <w:sz w:val="22"/>
          <w:szCs w:val="22"/>
        </w:rPr>
        <w:t>Non-exchange Transactions where the Council receives value from another entity without directly giving approximately equal value in exchange; or where the Council gives value to another entity without receiving approximately equal value in exchange.</w:t>
      </w:r>
    </w:p>
    <w:p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For non-exchange transactio</w:t>
      </w:r>
      <w:r>
        <w:rPr>
          <w:rFonts w:asciiTheme="minorHAnsi" w:hAnsiTheme="minorHAnsi" w:cstheme="minorHAnsi"/>
          <w:sz w:val="22"/>
          <w:szCs w:val="22"/>
        </w:rPr>
        <w:t xml:space="preserve">ns, the Council </w:t>
      </w:r>
      <w:r w:rsidRPr="007E4B79">
        <w:rPr>
          <w:rFonts w:asciiTheme="minorHAnsi" w:hAnsiTheme="minorHAnsi" w:cstheme="minorHAnsi"/>
          <w:sz w:val="22"/>
          <w:szCs w:val="22"/>
        </w:rPr>
        <w:t xml:space="preserve">recognise revenue </w:t>
      </w:r>
      <w:r>
        <w:rPr>
          <w:rFonts w:asciiTheme="minorHAnsi" w:hAnsiTheme="minorHAnsi" w:cstheme="minorHAnsi"/>
          <w:sz w:val="22"/>
          <w:szCs w:val="22"/>
        </w:rPr>
        <w:t>when i</w:t>
      </w:r>
      <w:r w:rsidRPr="007E4B79">
        <w:rPr>
          <w:rFonts w:asciiTheme="minorHAnsi" w:hAnsiTheme="minorHAnsi" w:cstheme="minorHAnsi"/>
          <w:sz w:val="22"/>
          <w:szCs w:val="22"/>
        </w:rPr>
        <w:t>t is probable that the economic benefits associated with the transaction will flow to the authority, and the amount of the revenue can be reliably measured.</w:t>
      </w:r>
    </w:p>
    <w:p w:rsidR="00CF437F" w:rsidRPr="007E4B79" w:rsidRDefault="00CF437F" w:rsidP="00CF437F">
      <w:pPr>
        <w:pStyle w:val="PlainText"/>
        <w:rPr>
          <w:rFonts w:asciiTheme="minorHAnsi" w:hAnsiTheme="minorHAnsi" w:cstheme="minorHAnsi"/>
          <w:sz w:val="22"/>
          <w:szCs w:val="22"/>
        </w:rPr>
      </w:pPr>
    </w:p>
    <w:p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 xml:space="preserve">For revenues from exchange transactions arising from contracts, revenue </w:t>
      </w:r>
      <w:r>
        <w:rPr>
          <w:rFonts w:asciiTheme="minorHAnsi" w:hAnsiTheme="minorHAnsi" w:cstheme="minorHAnsi"/>
          <w:sz w:val="22"/>
          <w:szCs w:val="22"/>
        </w:rPr>
        <w:t>is</w:t>
      </w:r>
      <w:r w:rsidRPr="007E4B79">
        <w:rPr>
          <w:rFonts w:asciiTheme="minorHAnsi" w:hAnsiTheme="minorHAnsi" w:cstheme="minorHAnsi"/>
          <w:sz w:val="22"/>
          <w:szCs w:val="22"/>
        </w:rPr>
        <w:t xml:space="preserve"> recognised in a way that reflects the pattern in which goods or services are transferred to service recipients and performance obligations are fulfilled</w:t>
      </w:r>
      <w:r>
        <w:rPr>
          <w:rFonts w:asciiTheme="minorHAnsi" w:hAnsiTheme="minorHAnsi" w:cstheme="minorHAnsi"/>
          <w:sz w:val="22"/>
          <w:szCs w:val="22"/>
        </w:rPr>
        <w:t>, subject to the following paragraph.</w:t>
      </w:r>
    </w:p>
    <w:p w:rsidR="00CF437F" w:rsidRPr="007E4B79" w:rsidRDefault="00CF437F" w:rsidP="00CF437F">
      <w:pPr>
        <w:pStyle w:val="PlainText"/>
        <w:rPr>
          <w:rFonts w:asciiTheme="minorHAnsi" w:hAnsiTheme="minorHAnsi" w:cstheme="minorHAnsi"/>
          <w:sz w:val="22"/>
          <w:szCs w:val="22"/>
        </w:rPr>
      </w:pPr>
    </w:p>
    <w:p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For services where the recipient consumes continuing services as they are provided (generally these are the routine and recurring activities undertaken by the Council on a regu</w:t>
      </w:r>
      <w:r>
        <w:rPr>
          <w:rFonts w:asciiTheme="minorHAnsi" w:hAnsiTheme="minorHAnsi" w:cstheme="minorHAnsi"/>
          <w:sz w:val="22"/>
          <w:szCs w:val="22"/>
        </w:rPr>
        <w:t>lar basis) the Council</w:t>
      </w:r>
      <w:r w:rsidRPr="007E4B79">
        <w:rPr>
          <w:rFonts w:asciiTheme="minorHAnsi" w:hAnsiTheme="minorHAnsi" w:cstheme="minorHAnsi"/>
          <w:sz w:val="22"/>
          <w:szCs w:val="22"/>
        </w:rPr>
        <w:t xml:space="preserve"> recognise</w:t>
      </w:r>
      <w:r>
        <w:rPr>
          <w:rFonts w:asciiTheme="minorHAnsi" w:hAnsiTheme="minorHAnsi" w:cstheme="minorHAnsi"/>
          <w:sz w:val="22"/>
          <w:szCs w:val="22"/>
        </w:rPr>
        <w:t>s</w:t>
      </w:r>
      <w:r w:rsidRPr="007E4B79">
        <w:rPr>
          <w:rFonts w:asciiTheme="minorHAnsi" w:hAnsiTheme="minorHAnsi" w:cstheme="minorHAnsi"/>
          <w:sz w:val="22"/>
          <w:szCs w:val="22"/>
        </w:rPr>
        <w:t xml:space="preserve"> revenue when it has a right to invoice for services or goods provided. This largest area of income that this expedient covers relates to the Council’s commercial and domestic waste collection services.</w:t>
      </w:r>
    </w:p>
    <w:p w:rsidR="00CF437F" w:rsidRPr="007E4B79" w:rsidRDefault="00CF437F" w:rsidP="00CF437F">
      <w:pPr>
        <w:pStyle w:val="PlainText"/>
        <w:rPr>
          <w:rFonts w:asciiTheme="minorHAnsi" w:hAnsiTheme="minorHAnsi" w:cstheme="minorHAnsi"/>
          <w:sz w:val="22"/>
          <w:szCs w:val="22"/>
        </w:rPr>
      </w:pPr>
    </w:p>
    <w:p w:rsidR="00650803"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Where the Council makes charges in advance for individual services carried out in fulfilment of a statutory</w:t>
      </w:r>
      <w:r>
        <w:rPr>
          <w:rFonts w:asciiTheme="minorHAnsi" w:hAnsiTheme="minorHAnsi" w:cstheme="minorHAnsi"/>
          <w:sz w:val="22"/>
          <w:szCs w:val="22"/>
        </w:rPr>
        <w:t xml:space="preserve"> or contractual responsibility </w:t>
      </w:r>
      <w:r w:rsidRPr="007E4B79">
        <w:rPr>
          <w:rFonts w:asciiTheme="minorHAnsi" w:hAnsiTheme="minorHAnsi" w:cstheme="minorHAnsi"/>
          <w:sz w:val="22"/>
          <w:szCs w:val="22"/>
        </w:rPr>
        <w:t xml:space="preserve">these charges will be recognised when the Council’s performance obligation is discharged.  </w:t>
      </w:r>
    </w:p>
    <w:p w:rsidR="00CF437F" w:rsidRDefault="00650803" w:rsidP="00650803">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rsidR="00CF437F" w:rsidRDefault="00CF437F" w:rsidP="00CF437F">
      <w:pPr>
        <w:pStyle w:val="PlainText"/>
        <w:numPr>
          <w:ilvl w:val="0"/>
          <w:numId w:val="20"/>
        </w:numPr>
        <w:ind w:left="0"/>
        <w:rPr>
          <w:rFonts w:asciiTheme="minorHAnsi" w:hAnsiTheme="minorHAnsi" w:cstheme="minorHAnsi"/>
          <w:sz w:val="22"/>
          <w:szCs w:val="22"/>
        </w:rPr>
      </w:pPr>
      <w:r w:rsidRPr="0068094B">
        <w:rPr>
          <w:rFonts w:asciiTheme="minorHAnsi" w:hAnsiTheme="minorHAnsi" w:cstheme="minorHAnsi"/>
          <w:sz w:val="22"/>
          <w:szCs w:val="22"/>
        </w:rPr>
        <w:lastRenderedPageBreak/>
        <w:t xml:space="preserve">Revenue from the sale of goods </w:t>
      </w:r>
      <w:r>
        <w:rPr>
          <w:rFonts w:asciiTheme="minorHAnsi" w:hAnsiTheme="minorHAnsi" w:cstheme="minorHAnsi"/>
          <w:sz w:val="22"/>
          <w:szCs w:val="22"/>
        </w:rPr>
        <w:t xml:space="preserve">not covered by the above principles </w:t>
      </w:r>
      <w:r w:rsidRPr="0068094B">
        <w:rPr>
          <w:rFonts w:asciiTheme="minorHAnsi" w:hAnsiTheme="minorHAnsi" w:cstheme="minorHAnsi"/>
          <w:sz w:val="22"/>
          <w:szCs w:val="22"/>
        </w:rPr>
        <w:t>is recognised when the Council transfers the significant risks and rewards of ownership to the purchaser and it is probable that economic benefits or service potential associated with the transaction will flow to the Council.</w:t>
      </w:r>
    </w:p>
    <w:p w:rsidR="00CF437F" w:rsidRPr="0068094B" w:rsidRDefault="00CF437F" w:rsidP="00CF437F">
      <w:pPr>
        <w:pStyle w:val="PlainText"/>
        <w:rPr>
          <w:rFonts w:asciiTheme="minorHAnsi" w:hAnsiTheme="minorHAnsi" w:cstheme="minorHAnsi"/>
          <w:sz w:val="22"/>
          <w:szCs w:val="22"/>
        </w:rPr>
      </w:pPr>
    </w:p>
    <w:p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Supplies are recorded as expenditure when they are consumed – where there is a gap between the date supplies are received and their consumption, they are carried as inventories on the Balance Sheet.</w:t>
      </w:r>
    </w:p>
    <w:p w:rsidR="00CF437F" w:rsidRPr="0068094B" w:rsidRDefault="00CF437F" w:rsidP="00CF437F">
      <w:pPr>
        <w:pStyle w:val="PlainText"/>
        <w:rPr>
          <w:rFonts w:asciiTheme="minorHAnsi" w:hAnsiTheme="minorHAnsi" w:cstheme="minorHAnsi"/>
          <w:sz w:val="22"/>
          <w:szCs w:val="22"/>
        </w:rPr>
      </w:pPr>
    </w:p>
    <w:p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Expenses in relation to services received (including services provided by employees) are recorded as expenditure when the services are received rather than when payments are made.</w:t>
      </w:r>
    </w:p>
    <w:p w:rsidR="00CF437F" w:rsidRPr="0068094B" w:rsidRDefault="00CF437F" w:rsidP="00CF437F">
      <w:pPr>
        <w:pStyle w:val="PlainText"/>
        <w:rPr>
          <w:rFonts w:asciiTheme="minorHAnsi" w:hAnsiTheme="minorHAnsi" w:cstheme="minorHAnsi"/>
          <w:sz w:val="22"/>
          <w:szCs w:val="22"/>
        </w:rPr>
      </w:pPr>
    </w:p>
    <w:p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Interest receivable on investments and payable on borrowings is accounted for respectively as income and expenditure on the basis of the effective interest rate for the relevant financial instrument rather than the cash flows fixed or determined by the contract.</w:t>
      </w:r>
    </w:p>
    <w:p w:rsidR="00CF437F" w:rsidRPr="0068094B" w:rsidRDefault="00CF437F" w:rsidP="00CF437F">
      <w:pPr>
        <w:pStyle w:val="PlainText"/>
        <w:rPr>
          <w:rFonts w:asciiTheme="minorHAnsi" w:hAnsiTheme="minorHAnsi" w:cstheme="minorHAnsi"/>
          <w:sz w:val="22"/>
          <w:szCs w:val="22"/>
        </w:rPr>
      </w:pPr>
    </w:p>
    <w:p w:rsidR="00CF437F"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rsidR="00CF437F" w:rsidRPr="00CF437F" w:rsidRDefault="00CF437F" w:rsidP="00CF437F">
      <w:pPr>
        <w:tabs>
          <w:tab w:val="left" w:pos="540"/>
        </w:tabs>
        <w:autoSpaceDE w:val="0"/>
        <w:rPr>
          <w:rFonts w:asciiTheme="minorHAnsi" w:hAnsiTheme="minorHAnsi" w:cstheme="minorHAnsi"/>
          <w:b/>
          <w:bCs/>
          <w:sz w:val="22"/>
          <w:szCs w:val="22"/>
        </w:rPr>
      </w:pPr>
    </w:p>
    <w:p w:rsidR="00104F5B" w:rsidRDefault="00104F5B" w:rsidP="0044393D">
      <w:pPr>
        <w:numPr>
          <w:ilvl w:val="1"/>
          <w:numId w:val="6"/>
        </w:numPr>
        <w:tabs>
          <w:tab w:val="left" w:pos="540"/>
        </w:tabs>
        <w:autoSpaceDE w:val="0"/>
        <w:rPr>
          <w:rFonts w:asciiTheme="minorHAnsi" w:hAnsiTheme="minorHAnsi" w:cstheme="minorHAnsi"/>
          <w:b/>
          <w:bCs/>
          <w:sz w:val="22"/>
          <w:szCs w:val="22"/>
        </w:rPr>
      </w:pPr>
      <w:r>
        <w:rPr>
          <w:rFonts w:asciiTheme="minorHAnsi" w:hAnsiTheme="minorHAnsi" w:cstheme="minorHAnsi"/>
          <w:b/>
          <w:bCs/>
          <w:sz w:val="22"/>
          <w:szCs w:val="22"/>
        </w:rPr>
        <w:t>Discontinued Operations</w:t>
      </w:r>
    </w:p>
    <w:p w:rsidR="00104F5B" w:rsidRDefault="00104F5B" w:rsidP="00104F5B">
      <w:pPr>
        <w:pStyle w:val="PlainText"/>
        <w:tabs>
          <w:tab w:val="left" w:pos="540"/>
        </w:tabs>
        <w:rPr>
          <w:rFonts w:asciiTheme="minorHAnsi" w:hAnsiTheme="minorHAnsi" w:cstheme="minorHAnsi"/>
          <w:b/>
          <w:bCs/>
          <w:sz w:val="22"/>
          <w:szCs w:val="22"/>
        </w:rPr>
      </w:pPr>
    </w:p>
    <w:p w:rsidR="00104F5B" w:rsidRPr="0044393D" w:rsidRDefault="00104F5B" w:rsidP="00104F5B">
      <w:pPr>
        <w:pStyle w:val="PlainText"/>
        <w:tabs>
          <w:tab w:val="left" w:pos="540"/>
        </w:tabs>
        <w:rPr>
          <w:rFonts w:asciiTheme="minorHAnsi" w:hAnsiTheme="minorHAnsi" w:cstheme="minorHAnsi"/>
          <w:bCs/>
          <w:sz w:val="22"/>
          <w:szCs w:val="22"/>
        </w:rPr>
      </w:pPr>
      <w:r w:rsidRPr="0044393D">
        <w:rPr>
          <w:rFonts w:asciiTheme="minorHAnsi" w:hAnsiTheme="minorHAnsi" w:cstheme="minorHAnsi"/>
          <w:bCs/>
          <w:sz w:val="22"/>
          <w:szCs w:val="22"/>
        </w:rPr>
        <w:t>Operations may be discontinued as a result of an asset or disposal group being put up for</w:t>
      </w:r>
    </w:p>
    <w:p w:rsidR="00104F5B" w:rsidRDefault="00104F5B" w:rsidP="00104F5B">
      <w:pPr>
        <w:pStyle w:val="PlainText"/>
        <w:tabs>
          <w:tab w:val="left" w:pos="540"/>
        </w:tabs>
        <w:rPr>
          <w:rFonts w:asciiTheme="minorHAnsi" w:hAnsiTheme="minorHAnsi" w:cstheme="minorHAnsi"/>
          <w:b/>
          <w:bCs/>
          <w:sz w:val="22"/>
          <w:szCs w:val="22"/>
        </w:rPr>
      </w:pPr>
      <w:r>
        <w:rPr>
          <w:rFonts w:asciiTheme="minorHAnsi" w:hAnsiTheme="minorHAnsi" w:cstheme="minorHAnsi"/>
          <w:bCs/>
          <w:sz w:val="22"/>
          <w:szCs w:val="22"/>
        </w:rPr>
        <w:t>s</w:t>
      </w:r>
      <w:r w:rsidRPr="00104F5B">
        <w:rPr>
          <w:rFonts w:asciiTheme="minorHAnsi" w:hAnsiTheme="minorHAnsi" w:cstheme="minorHAnsi"/>
          <w:bCs/>
          <w:sz w:val="22"/>
          <w:szCs w:val="22"/>
        </w:rPr>
        <w:t>ale</w:t>
      </w:r>
      <w:r>
        <w:rPr>
          <w:rFonts w:asciiTheme="minorHAnsi" w:hAnsiTheme="minorHAnsi" w:cstheme="minorHAnsi"/>
          <w:bCs/>
          <w:sz w:val="22"/>
          <w:szCs w:val="22"/>
        </w:rPr>
        <w:t xml:space="preserve">, and not simply </w:t>
      </w:r>
      <w:r w:rsidRPr="0044393D">
        <w:rPr>
          <w:rFonts w:asciiTheme="minorHAnsi" w:hAnsiTheme="minorHAnsi" w:cstheme="minorHAnsi"/>
          <w:bCs/>
          <w:sz w:val="22"/>
          <w:szCs w:val="22"/>
        </w:rPr>
        <w:t>transferred to an</w:t>
      </w:r>
      <w:r w:rsidRPr="00104F5B">
        <w:rPr>
          <w:rFonts w:asciiTheme="minorHAnsi" w:hAnsiTheme="minorHAnsi" w:cstheme="minorHAnsi"/>
          <w:bCs/>
          <w:sz w:val="22"/>
          <w:szCs w:val="22"/>
        </w:rPr>
        <w:t>other part of the public sector</w:t>
      </w:r>
      <w:r w:rsidRPr="0044393D">
        <w:rPr>
          <w:rFonts w:asciiTheme="minorHAnsi" w:hAnsiTheme="minorHAnsi" w:cstheme="minorHAnsi"/>
          <w:bCs/>
          <w:sz w:val="22"/>
          <w:szCs w:val="22"/>
        </w:rPr>
        <w:t>.</w:t>
      </w:r>
      <w:r>
        <w:rPr>
          <w:rFonts w:asciiTheme="minorHAnsi" w:hAnsiTheme="minorHAnsi" w:cstheme="minorHAnsi"/>
          <w:bCs/>
          <w:sz w:val="22"/>
          <w:szCs w:val="22"/>
        </w:rPr>
        <w:t xml:space="preserve"> Transactions relating to </w:t>
      </w:r>
      <w:r w:rsidRPr="0044393D">
        <w:rPr>
          <w:rFonts w:asciiTheme="minorHAnsi" w:hAnsiTheme="minorHAnsi" w:cstheme="minorHAnsi"/>
          <w:bCs/>
          <w:sz w:val="22"/>
          <w:szCs w:val="22"/>
        </w:rPr>
        <w:t>o</w:t>
      </w:r>
      <w:r w:rsidRPr="00104F5B">
        <w:rPr>
          <w:rFonts w:asciiTheme="minorHAnsi" w:hAnsiTheme="minorHAnsi" w:cstheme="minorHAnsi"/>
          <w:bCs/>
          <w:sz w:val="22"/>
          <w:szCs w:val="22"/>
        </w:rPr>
        <w:t>perations that are discontinued</w:t>
      </w:r>
      <w:r>
        <w:rPr>
          <w:rFonts w:asciiTheme="minorHAnsi" w:hAnsiTheme="minorHAnsi" w:cstheme="minorHAnsi"/>
          <w:bCs/>
          <w:sz w:val="22"/>
          <w:szCs w:val="22"/>
        </w:rPr>
        <w:t xml:space="preserve"> </w:t>
      </w:r>
      <w:r w:rsidRPr="0044393D">
        <w:rPr>
          <w:rFonts w:asciiTheme="minorHAnsi" w:hAnsiTheme="minorHAnsi" w:cstheme="minorHAnsi"/>
          <w:bCs/>
          <w:sz w:val="22"/>
          <w:szCs w:val="22"/>
        </w:rPr>
        <w:t>are presented separately on the face of the</w:t>
      </w:r>
      <w:r>
        <w:rPr>
          <w:rFonts w:asciiTheme="minorHAnsi" w:hAnsiTheme="minorHAnsi" w:cstheme="minorHAnsi"/>
          <w:bCs/>
          <w:sz w:val="22"/>
          <w:szCs w:val="22"/>
        </w:rPr>
        <w:t xml:space="preserve"> </w:t>
      </w:r>
      <w:r w:rsidRPr="0044393D">
        <w:rPr>
          <w:rFonts w:asciiTheme="minorHAnsi" w:hAnsiTheme="minorHAnsi" w:cstheme="minorHAnsi"/>
          <w:bCs/>
          <w:sz w:val="22"/>
          <w:szCs w:val="22"/>
        </w:rPr>
        <w:t>Comprehensive Income and Expenditure Statement and the Balance Sheet (including prior</w:t>
      </w:r>
      <w:r>
        <w:rPr>
          <w:rFonts w:asciiTheme="minorHAnsi" w:hAnsiTheme="minorHAnsi" w:cstheme="minorHAnsi"/>
          <w:bCs/>
          <w:sz w:val="22"/>
          <w:szCs w:val="22"/>
        </w:rPr>
        <w:t xml:space="preserve"> </w:t>
      </w:r>
      <w:r w:rsidRPr="0044393D">
        <w:rPr>
          <w:rFonts w:asciiTheme="minorHAnsi" w:hAnsiTheme="minorHAnsi" w:cstheme="minorHAnsi"/>
          <w:bCs/>
          <w:sz w:val="22"/>
          <w:szCs w:val="22"/>
        </w:rPr>
        <w:t>period comparatives)</w:t>
      </w:r>
      <w:r>
        <w:rPr>
          <w:rFonts w:asciiTheme="minorHAnsi" w:hAnsiTheme="minorHAnsi" w:cstheme="minorHAnsi"/>
          <w:bCs/>
          <w:sz w:val="22"/>
          <w:szCs w:val="22"/>
        </w:rPr>
        <w:t>.</w:t>
      </w:r>
      <w:r>
        <w:rPr>
          <w:rFonts w:asciiTheme="minorHAnsi" w:hAnsiTheme="minorHAnsi" w:cstheme="minorHAnsi"/>
          <w:b/>
          <w:bCs/>
          <w:sz w:val="22"/>
          <w:szCs w:val="22"/>
        </w:rPr>
        <w:br/>
      </w:r>
    </w:p>
    <w:p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Cash and Cash Equivalents </w:t>
      </w:r>
    </w:p>
    <w:p w:rsidR="00C02A61" w:rsidRPr="0068094B" w:rsidRDefault="00C02A61" w:rsidP="00C02A61">
      <w:pPr>
        <w:pStyle w:val="PlainText"/>
        <w:rPr>
          <w:rFonts w:asciiTheme="minorHAnsi" w:hAnsiTheme="minorHAnsi" w:cstheme="minorHAnsi"/>
          <w:b/>
          <w:bCs/>
          <w:sz w:val="22"/>
          <w:szCs w:val="22"/>
        </w:rPr>
      </w:pPr>
    </w:p>
    <w:p w:rsidR="00C02A61" w:rsidRPr="0068094B" w:rsidRDefault="00C02A61" w:rsidP="00C02A61">
      <w:pPr>
        <w:pStyle w:val="PlainText"/>
        <w:widowControl w:val="0"/>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Cash is represented by cash in hand and deposits with financial institutions repayable without penalty on notice of not more than 24 hours. </w:t>
      </w:r>
      <w:r w:rsidR="00CE15B3" w:rsidRPr="0068094B">
        <w:rPr>
          <w:rFonts w:asciiTheme="minorHAnsi" w:hAnsiTheme="minorHAnsi" w:cstheme="minorHAnsi"/>
          <w:sz w:val="22"/>
          <w:szCs w:val="22"/>
          <w:lang w:val="en-US"/>
        </w:rPr>
        <w:t xml:space="preserve">Cash equivalents are short-term, highly liquid investments that are readily convertible to known amounts of cash which are subject to an insignificant risk of changes in value and held by the Council for the purpose of meeting its short-term cash </w:t>
      </w:r>
      <w:r w:rsidR="00531D4E" w:rsidRPr="0068094B">
        <w:rPr>
          <w:rFonts w:asciiTheme="minorHAnsi" w:hAnsiTheme="minorHAnsi" w:cstheme="minorHAnsi"/>
          <w:sz w:val="22"/>
          <w:szCs w:val="22"/>
          <w:lang w:val="en-US"/>
        </w:rPr>
        <w:t>requirements</w:t>
      </w:r>
      <w:r w:rsidR="00CE15B3" w:rsidRPr="0068094B">
        <w:rPr>
          <w:rFonts w:asciiTheme="minorHAnsi" w:hAnsiTheme="minorHAnsi" w:cstheme="minorHAnsi"/>
          <w:sz w:val="22"/>
          <w:szCs w:val="22"/>
          <w:lang w:val="en-US"/>
        </w:rPr>
        <w:t>.</w:t>
      </w:r>
    </w:p>
    <w:p w:rsidR="00CE15B3" w:rsidRPr="0068094B" w:rsidRDefault="00CE15B3" w:rsidP="00C02A61">
      <w:pPr>
        <w:pStyle w:val="PlainText"/>
        <w:widowControl w:val="0"/>
        <w:autoSpaceDE w:val="0"/>
        <w:rPr>
          <w:rFonts w:asciiTheme="minorHAnsi" w:hAnsiTheme="minorHAnsi" w:cstheme="minorHAnsi"/>
          <w:sz w:val="22"/>
          <w:szCs w:val="22"/>
          <w:lang w:val="en-US"/>
        </w:rPr>
      </w:pPr>
    </w:p>
    <w:p w:rsidR="00C02A61" w:rsidRPr="0068094B" w:rsidRDefault="00C02A61" w:rsidP="00ED3B24">
      <w:pPr>
        <w:pStyle w:val="PlainText"/>
        <w:autoSpaceDE w:val="0"/>
        <w:rPr>
          <w:rFonts w:asciiTheme="minorHAnsi" w:hAnsiTheme="minorHAnsi" w:cstheme="minorHAnsi"/>
          <w:b/>
          <w:bCs/>
          <w:strike/>
          <w:color w:val="FF0000"/>
          <w:sz w:val="22"/>
          <w:szCs w:val="22"/>
        </w:rPr>
      </w:pPr>
      <w:r w:rsidRPr="0068094B">
        <w:rPr>
          <w:rFonts w:asciiTheme="minorHAnsi" w:hAnsiTheme="minorHAnsi" w:cstheme="minorHAnsi"/>
          <w:sz w:val="22"/>
          <w:szCs w:val="22"/>
          <w:lang w:val="en-US"/>
        </w:rPr>
        <w:t xml:space="preserve">In the Cash Flow Statement, cash and cash equivalents are shown net of bank overdrafts that are repayable on demand and form an integral part of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cash management</w:t>
      </w:r>
      <w:r w:rsidR="00A574D8" w:rsidRPr="0068094B">
        <w:rPr>
          <w:rFonts w:asciiTheme="minorHAnsi" w:hAnsiTheme="minorHAnsi" w:cstheme="minorHAnsi"/>
          <w:sz w:val="22"/>
          <w:szCs w:val="22"/>
          <w:lang w:val="en-US"/>
        </w:rPr>
        <w:t xml:space="preserve"> strategy</w:t>
      </w:r>
      <w:r w:rsidRPr="0068094B">
        <w:rPr>
          <w:rFonts w:asciiTheme="minorHAnsi" w:hAnsiTheme="minorHAnsi" w:cstheme="minorHAnsi"/>
          <w:sz w:val="22"/>
          <w:szCs w:val="22"/>
          <w:lang w:val="en-US"/>
        </w:rPr>
        <w:t>.</w:t>
      </w:r>
    </w:p>
    <w:p w:rsidR="00C02A61" w:rsidRPr="0068094B" w:rsidRDefault="00C02A61" w:rsidP="00C02A61">
      <w:pPr>
        <w:tabs>
          <w:tab w:val="left" w:pos="540"/>
        </w:tabs>
        <w:autoSpaceDE w:val="0"/>
        <w:ind w:left="360"/>
        <w:rPr>
          <w:rFonts w:asciiTheme="minorHAnsi" w:hAnsiTheme="minorHAnsi" w:cstheme="minorHAnsi"/>
          <w:b/>
          <w:bCs/>
          <w:sz w:val="22"/>
          <w:szCs w:val="22"/>
        </w:rPr>
      </w:pPr>
    </w:p>
    <w:p w:rsidR="00C02A61" w:rsidRDefault="00C02A61" w:rsidP="00C02A61">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Prior Period Adjustments, Changes in Accounting Policies and Estimates and Errors</w:t>
      </w:r>
    </w:p>
    <w:p w:rsidR="001A2BF8" w:rsidRDefault="001A2BF8" w:rsidP="001A2BF8">
      <w:pPr>
        <w:tabs>
          <w:tab w:val="left" w:pos="540"/>
        </w:tabs>
        <w:autoSpaceDE w:val="0"/>
        <w:ind w:left="360"/>
        <w:rPr>
          <w:rFonts w:asciiTheme="minorHAnsi" w:hAnsiTheme="minorHAnsi" w:cstheme="minorHAnsi"/>
          <w:b/>
          <w:bCs/>
          <w:sz w:val="22"/>
          <w:szCs w:val="22"/>
        </w:rPr>
      </w:pPr>
    </w:p>
    <w:p w:rsidR="001A2BF8" w:rsidRPr="0068094B"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Prior period adjustments may arise as a result of a change in accounting policies or to correct a material error. Material errors discovered in prior period figures are corrected retrospectively by amending opening balances and comparative amounts for the prior period.</w:t>
      </w:r>
    </w:p>
    <w:p w:rsidR="001A2BF8" w:rsidRPr="0068094B" w:rsidRDefault="001A2BF8" w:rsidP="001A2BF8">
      <w:pPr>
        <w:tabs>
          <w:tab w:val="left" w:pos="0"/>
        </w:tabs>
        <w:autoSpaceDE w:val="0"/>
        <w:rPr>
          <w:rFonts w:asciiTheme="minorHAnsi" w:hAnsiTheme="minorHAnsi" w:cstheme="minorHAnsi"/>
          <w:bCs/>
          <w:sz w:val="22"/>
          <w:szCs w:val="22"/>
        </w:rPr>
      </w:pPr>
    </w:p>
    <w:p w:rsidR="00F30BC9" w:rsidRDefault="001A2BF8" w:rsidP="0044393D">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Changes in accounting estimates are accounted for prospectively, i.e. in the current and future years affected by the change and do not give rise to a prior period adjustment.</w:t>
      </w:r>
      <w:r w:rsidR="0091573B">
        <w:rPr>
          <w:rFonts w:asciiTheme="minorHAnsi" w:hAnsiTheme="minorHAnsi" w:cstheme="minorHAnsi"/>
          <w:bCs/>
          <w:sz w:val="22"/>
          <w:szCs w:val="22"/>
        </w:rPr>
        <w:t xml:space="preserve"> </w:t>
      </w:r>
    </w:p>
    <w:p w:rsidR="001A2BF8" w:rsidRDefault="001A2BF8" w:rsidP="001A2BF8">
      <w:pPr>
        <w:tabs>
          <w:tab w:val="left" w:pos="540"/>
        </w:tabs>
        <w:autoSpaceDE w:val="0"/>
        <w:ind w:left="360"/>
        <w:rPr>
          <w:rFonts w:asciiTheme="minorHAnsi" w:hAnsiTheme="minorHAnsi" w:cstheme="minorHAnsi"/>
          <w:b/>
          <w:bCs/>
          <w:sz w:val="22"/>
          <w:szCs w:val="22"/>
        </w:rPr>
      </w:pPr>
    </w:p>
    <w:p w:rsidR="00C02A61" w:rsidRPr="001A2BF8" w:rsidRDefault="00C02A61" w:rsidP="001A2BF8">
      <w:pPr>
        <w:numPr>
          <w:ilvl w:val="1"/>
          <w:numId w:val="6"/>
        </w:numPr>
        <w:tabs>
          <w:tab w:val="left" w:pos="540"/>
        </w:tabs>
        <w:autoSpaceDE w:val="0"/>
        <w:rPr>
          <w:rFonts w:asciiTheme="minorHAnsi" w:hAnsiTheme="minorHAnsi" w:cstheme="minorHAnsi"/>
          <w:b/>
          <w:bCs/>
          <w:sz w:val="22"/>
          <w:szCs w:val="22"/>
        </w:rPr>
      </w:pPr>
      <w:r w:rsidRPr="001A2BF8">
        <w:rPr>
          <w:rFonts w:asciiTheme="minorHAnsi" w:hAnsiTheme="minorHAnsi" w:cstheme="minorHAnsi"/>
          <w:b/>
          <w:bCs/>
          <w:sz w:val="22"/>
          <w:szCs w:val="22"/>
          <w:shd w:val="clear" w:color="auto" w:fill="FFFFFF"/>
        </w:rPr>
        <w:t xml:space="preserve">Accounting for </w:t>
      </w:r>
      <w:r w:rsidR="00A574D8" w:rsidRPr="001A2BF8">
        <w:rPr>
          <w:rFonts w:asciiTheme="minorHAnsi" w:hAnsiTheme="minorHAnsi" w:cstheme="minorHAnsi"/>
          <w:b/>
          <w:bCs/>
          <w:sz w:val="22"/>
          <w:szCs w:val="22"/>
          <w:shd w:val="clear" w:color="auto" w:fill="FFFFFF"/>
        </w:rPr>
        <w:t>Taxation</w:t>
      </w:r>
    </w:p>
    <w:p w:rsidR="00C02A61" w:rsidRPr="0068094B" w:rsidRDefault="00C02A61" w:rsidP="00C02A61">
      <w:pPr>
        <w:shd w:val="clear" w:color="auto" w:fill="FFFFFF"/>
        <w:autoSpaceDE w:val="0"/>
        <w:rPr>
          <w:rFonts w:asciiTheme="minorHAnsi" w:hAnsiTheme="minorHAnsi" w:cstheme="minorHAnsi"/>
          <w:b/>
          <w:bCs/>
          <w:sz w:val="22"/>
          <w:szCs w:val="22"/>
          <w:shd w:val="clear" w:color="auto" w:fill="FFFFFF"/>
        </w:rPr>
      </w:pPr>
    </w:p>
    <w:p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 xml:space="preserve">Under the Code, </w:t>
      </w:r>
      <w:r w:rsidR="00C573C6" w:rsidRPr="0068094B">
        <w:rPr>
          <w:rFonts w:asciiTheme="minorHAnsi" w:hAnsiTheme="minorHAnsi" w:cstheme="minorHAnsi"/>
          <w:bCs/>
          <w:sz w:val="22"/>
          <w:szCs w:val="22"/>
        </w:rPr>
        <w:t>taxation</w:t>
      </w:r>
      <w:r w:rsidRPr="0068094B">
        <w:rPr>
          <w:rFonts w:asciiTheme="minorHAnsi" w:hAnsiTheme="minorHAnsi" w:cstheme="minorHAnsi"/>
          <w:bCs/>
          <w:sz w:val="22"/>
          <w:szCs w:val="22"/>
        </w:rPr>
        <w:t xml:space="preserve"> income included in the Comprehensive Income and Expenditure Account for the year </w:t>
      </w:r>
      <w:r w:rsidR="00E21253" w:rsidRPr="0068094B">
        <w:rPr>
          <w:rFonts w:asciiTheme="minorHAnsi" w:hAnsiTheme="minorHAnsi" w:cstheme="minorHAnsi"/>
          <w:bCs/>
          <w:sz w:val="22"/>
          <w:szCs w:val="22"/>
        </w:rPr>
        <w:t>is the</w:t>
      </w:r>
      <w:r w:rsidRPr="0068094B">
        <w:rPr>
          <w:rFonts w:asciiTheme="minorHAnsi" w:hAnsiTheme="minorHAnsi" w:cstheme="minorHAnsi"/>
          <w:bCs/>
          <w:sz w:val="22"/>
          <w:szCs w:val="22"/>
        </w:rPr>
        <w:t xml:space="preserve"> accrued income for the year.  The difference between the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income included in the Comprehensive Income and Expenditure Statement and the amount required by regulation to be credited to the General Fund </w:t>
      </w:r>
      <w:r w:rsidR="00305620" w:rsidRPr="0068094B">
        <w:rPr>
          <w:rFonts w:asciiTheme="minorHAnsi" w:hAnsiTheme="minorHAnsi" w:cstheme="minorHAnsi"/>
          <w:bCs/>
          <w:sz w:val="22"/>
          <w:szCs w:val="22"/>
        </w:rPr>
        <w:t>is</w:t>
      </w:r>
      <w:r w:rsidRPr="0068094B">
        <w:rPr>
          <w:rFonts w:asciiTheme="minorHAnsi" w:hAnsiTheme="minorHAnsi" w:cstheme="minorHAnsi"/>
          <w:bCs/>
          <w:sz w:val="22"/>
          <w:szCs w:val="22"/>
        </w:rPr>
        <w:t xml:space="preserve"> taken to a Collection Fund </w:t>
      </w:r>
      <w:r w:rsidRPr="0068094B">
        <w:rPr>
          <w:rFonts w:asciiTheme="minorHAnsi" w:hAnsiTheme="minorHAnsi" w:cstheme="minorHAnsi"/>
          <w:bCs/>
          <w:sz w:val="22"/>
          <w:szCs w:val="22"/>
        </w:rPr>
        <w:lastRenderedPageBreak/>
        <w:t>Adjustment Account and included as a reconciling item in the Movement in Reserves Statement</w:t>
      </w:r>
      <w:r w:rsidR="00E21253" w:rsidRPr="0068094B">
        <w:rPr>
          <w:rFonts w:asciiTheme="minorHAnsi" w:hAnsiTheme="minorHAnsi" w:cstheme="minorHAnsi"/>
          <w:bCs/>
          <w:sz w:val="22"/>
          <w:szCs w:val="22"/>
        </w:rPr>
        <w:t>.</w:t>
      </w:r>
    </w:p>
    <w:p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Since the collection of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is in substance an agency arrangement,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as </w:t>
      </w:r>
      <w:r w:rsidR="00E21253" w:rsidRPr="0068094B">
        <w:rPr>
          <w:rFonts w:asciiTheme="minorHAnsi" w:hAnsiTheme="minorHAnsi" w:cstheme="minorHAnsi"/>
          <w:bCs/>
          <w:sz w:val="22"/>
          <w:szCs w:val="22"/>
        </w:rPr>
        <w:t xml:space="preserve">the billing authority </w:t>
      </w:r>
      <w:r w:rsidRPr="0068094B">
        <w:rPr>
          <w:rFonts w:asciiTheme="minorHAnsi" w:hAnsiTheme="minorHAnsi" w:cstheme="minorHAnsi"/>
          <w:bCs/>
          <w:sz w:val="22"/>
          <w:szCs w:val="22"/>
        </w:rPr>
        <w:t>recognise</w:t>
      </w:r>
      <w:r w:rsidR="00E21253" w:rsidRPr="0068094B">
        <w:rPr>
          <w:rFonts w:asciiTheme="minorHAnsi" w:hAnsiTheme="minorHAnsi" w:cstheme="minorHAnsi"/>
          <w:bCs/>
          <w:sz w:val="22"/>
          <w:szCs w:val="22"/>
        </w:rPr>
        <w:t>s</w:t>
      </w:r>
      <w:r w:rsidRPr="0068094B">
        <w:rPr>
          <w:rFonts w:asciiTheme="minorHAnsi" w:hAnsiTheme="minorHAnsi" w:cstheme="minorHAnsi"/>
          <w:bCs/>
          <w:sz w:val="22"/>
          <w:szCs w:val="22"/>
        </w:rPr>
        <w:t xml:space="preserve"> a creditor in its Balance Sheet for cash collected from taxpayers on behalf of major preceptors but not yet paid to them, or a debtor for cash paid to major preceptors in advance of it receiving the cash from tax payers.</w:t>
      </w:r>
    </w:p>
    <w:p w:rsidR="000F3D47" w:rsidRPr="0068094B" w:rsidRDefault="000F3D47"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Employee Benefits</w:t>
      </w:r>
    </w:p>
    <w:p w:rsidR="00C02A61" w:rsidRPr="0068094B" w:rsidRDefault="00C02A61" w:rsidP="00C02A61">
      <w:pPr>
        <w:autoSpaceDE w:val="0"/>
        <w:rPr>
          <w:rFonts w:asciiTheme="minorHAnsi" w:hAnsiTheme="minorHAnsi" w:cstheme="minorHAnsi"/>
          <w:b/>
          <w:bCs/>
          <w:sz w:val="22"/>
          <w:szCs w:val="22"/>
        </w:rPr>
      </w:pPr>
    </w:p>
    <w:p w:rsidR="00C02A61" w:rsidRPr="0068094B" w:rsidRDefault="00C02A61" w:rsidP="007D7B32">
      <w:pPr>
        <w:pStyle w:val="ListParagraph"/>
        <w:numPr>
          <w:ilvl w:val="0"/>
          <w:numId w:val="34"/>
        </w:numPr>
        <w:tabs>
          <w:tab w:val="left" w:pos="540"/>
        </w:tabs>
        <w:rPr>
          <w:rFonts w:asciiTheme="minorHAnsi" w:hAnsiTheme="minorHAnsi" w:cstheme="minorHAnsi"/>
          <w:b/>
          <w:bCs/>
          <w:szCs w:val="22"/>
        </w:rPr>
      </w:pPr>
      <w:r w:rsidRPr="0068094B">
        <w:rPr>
          <w:rFonts w:asciiTheme="minorHAnsi" w:hAnsiTheme="minorHAnsi" w:cstheme="minorHAnsi"/>
          <w:b/>
          <w:bCs/>
          <w:szCs w:val="22"/>
        </w:rPr>
        <w:t>Benefits Payable During Employment</w:t>
      </w:r>
    </w:p>
    <w:p w:rsidR="00C02A61" w:rsidRPr="0068094B" w:rsidRDefault="00C02A61" w:rsidP="00C02A61">
      <w:pPr>
        <w:autoSpaceDE w:val="0"/>
        <w:ind w:left="360"/>
        <w:rPr>
          <w:rFonts w:asciiTheme="minorHAnsi" w:hAnsiTheme="minorHAnsi" w:cstheme="minorHAnsi"/>
          <w:b/>
          <w:bCs/>
          <w:sz w:val="22"/>
          <w:szCs w:val="22"/>
        </w:rPr>
      </w:pPr>
    </w:p>
    <w:p w:rsidR="00C02A61" w:rsidRPr="0068094B" w:rsidRDefault="00C02A61" w:rsidP="00C02A61">
      <w:pPr>
        <w:pStyle w:val="PlainText"/>
        <w:ind w:left="360"/>
        <w:rPr>
          <w:rFonts w:asciiTheme="minorHAnsi" w:hAnsiTheme="minorHAnsi" w:cstheme="minorHAnsi"/>
          <w:sz w:val="22"/>
          <w:szCs w:val="22"/>
        </w:rPr>
      </w:pPr>
      <w:r w:rsidRPr="0068094B">
        <w:rPr>
          <w:rFonts w:asciiTheme="minorHAnsi" w:hAnsiTheme="minorHAnsi" w:cstheme="minorHAnsi"/>
          <w:sz w:val="22"/>
          <w:szCs w:val="22"/>
        </w:rPr>
        <w:t xml:space="preserve">Short-term employee benefits are those due to be settled within 12 months of the year-end.  They include such benefits as wages and salaries, paid annual leave and paid sick leave, bonuses and non-monetary benefits for current employees and are recognised as an expense for services in the year in which employees render service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p>
    <w:p w:rsidR="00C02A61" w:rsidRPr="0068094B" w:rsidRDefault="00C02A61" w:rsidP="00C02A61">
      <w:pPr>
        <w:autoSpaceDE w:val="0"/>
        <w:ind w:left="360"/>
        <w:rPr>
          <w:rFonts w:asciiTheme="minorHAnsi" w:hAnsiTheme="minorHAnsi" w:cstheme="minorHAnsi"/>
          <w:b/>
          <w:bCs/>
          <w:sz w:val="22"/>
          <w:szCs w:val="22"/>
          <w:shd w:val="clear" w:color="auto" w:fill="E5E5E5"/>
        </w:rPr>
      </w:pPr>
    </w:p>
    <w:p w:rsidR="00C02A61" w:rsidRPr="0068094B" w:rsidRDefault="00C02A61" w:rsidP="007D7B32">
      <w:pPr>
        <w:pStyle w:val="ListParagraph"/>
        <w:numPr>
          <w:ilvl w:val="0"/>
          <w:numId w:val="34"/>
        </w:numPr>
        <w:tabs>
          <w:tab w:val="left" w:pos="540"/>
        </w:tabs>
        <w:rPr>
          <w:rFonts w:asciiTheme="minorHAnsi" w:hAnsiTheme="minorHAnsi" w:cstheme="minorHAnsi"/>
          <w:b/>
          <w:bCs/>
          <w:szCs w:val="22"/>
        </w:rPr>
      </w:pPr>
      <w:r w:rsidRPr="0068094B">
        <w:rPr>
          <w:rFonts w:asciiTheme="minorHAnsi" w:hAnsiTheme="minorHAnsi" w:cstheme="minorHAnsi"/>
          <w:b/>
          <w:bCs/>
          <w:szCs w:val="22"/>
        </w:rPr>
        <w:t>Termination Benefits</w:t>
      </w:r>
    </w:p>
    <w:p w:rsidR="005D77A7" w:rsidRPr="0068094B" w:rsidRDefault="005D77A7" w:rsidP="00C02A61">
      <w:pPr>
        <w:autoSpaceDE w:val="0"/>
        <w:ind w:left="360" w:firstLine="3"/>
        <w:rPr>
          <w:rFonts w:asciiTheme="minorHAnsi" w:hAnsiTheme="minorHAnsi" w:cstheme="minorHAnsi"/>
          <w:sz w:val="22"/>
          <w:szCs w:val="22"/>
        </w:rPr>
      </w:pPr>
    </w:p>
    <w:p w:rsidR="00C02A61" w:rsidRPr="0068094B" w:rsidRDefault="005D77A7" w:rsidP="00C02A61">
      <w:pPr>
        <w:autoSpaceDE w:val="0"/>
        <w:ind w:left="360" w:firstLine="3"/>
        <w:rPr>
          <w:rFonts w:asciiTheme="minorHAnsi" w:hAnsiTheme="minorHAnsi" w:cstheme="minorHAnsi"/>
          <w:sz w:val="22"/>
          <w:szCs w:val="22"/>
        </w:rPr>
      </w:pPr>
      <w:r w:rsidRPr="0068094B">
        <w:rPr>
          <w:rFonts w:asciiTheme="minorHAnsi" w:hAnsiTheme="minorHAnsi" w:cstheme="minorHAnsi"/>
          <w:sz w:val="22"/>
          <w:szCs w:val="22"/>
        </w:rPr>
        <w:t>When the Council is demonstrably committed to the termination of the employment of an officer or group of officers or making an offer to encourage voluntary redundancy, these costs are charged on an accruals basis to the respective Service line in the Comprehensive Income and Expenditure Statement.</w:t>
      </w:r>
    </w:p>
    <w:p w:rsidR="00C02A61" w:rsidRPr="0068094B" w:rsidRDefault="00C02A61" w:rsidP="00C02A61">
      <w:pPr>
        <w:tabs>
          <w:tab w:val="left" w:pos="540"/>
        </w:tabs>
        <w:rPr>
          <w:rFonts w:asciiTheme="minorHAnsi" w:hAnsiTheme="minorHAnsi" w:cstheme="minorHAnsi"/>
          <w:b/>
          <w:bCs/>
          <w:sz w:val="22"/>
          <w:szCs w:val="22"/>
          <w:shd w:val="clear" w:color="auto" w:fill="E5E5E5"/>
        </w:rPr>
      </w:pPr>
      <w:r w:rsidRPr="0068094B">
        <w:rPr>
          <w:rFonts w:asciiTheme="minorHAnsi" w:hAnsiTheme="minorHAnsi" w:cstheme="minorHAnsi"/>
          <w:b/>
          <w:bCs/>
          <w:sz w:val="22"/>
          <w:szCs w:val="22"/>
          <w:shd w:val="clear" w:color="auto" w:fill="E5E5E5"/>
        </w:rPr>
        <w:t xml:space="preserve"> </w:t>
      </w:r>
    </w:p>
    <w:p w:rsidR="00C02A61" w:rsidRPr="0068094B" w:rsidRDefault="00C02A61" w:rsidP="00C02A61">
      <w:pPr>
        <w:tabs>
          <w:tab w:val="left" w:pos="540"/>
        </w:tabs>
        <w:ind w:left="363"/>
        <w:rPr>
          <w:rFonts w:asciiTheme="minorHAnsi" w:hAnsiTheme="minorHAnsi" w:cstheme="minorHAnsi"/>
          <w:b/>
          <w:bCs/>
          <w:sz w:val="22"/>
          <w:szCs w:val="22"/>
        </w:rPr>
      </w:pPr>
      <w:r w:rsidRPr="0068094B">
        <w:rPr>
          <w:rFonts w:asciiTheme="minorHAnsi" w:hAnsiTheme="minorHAnsi" w:cstheme="minorHAnsi"/>
          <w:b/>
          <w:bCs/>
          <w:sz w:val="22"/>
          <w:szCs w:val="22"/>
        </w:rPr>
        <w:t>iii. Post-employment Benefits</w:t>
      </w:r>
    </w:p>
    <w:p w:rsidR="00C02A61" w:rsidRPr="0068094B" w:rsidRDefault="00C02A61" w:rsidP="00C02A61">
      <w:pPr>
        <w:autoSpaceDE w:val="0"/>
        <w:ind w:left="284"/>
        <w:rPr>
          <w:rFonts w:asciiTheme="minorHAnsi" w:hAnsiTheme="minorHAnsi" w:cstheme="minorHAnsi"/>
          <w:b/>
          <w:bCs/>
          <w:color w:val="FF0000"/>
          <w:sz w:val="22"/>
          <w:szCs w:val="22"/>
        </w:rPr>
      </w:pPr>
    </w:p>
    <w:p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Employees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members of the Local Government Pensions Scheme,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00305620" w:rsidRPr="0068094B">
        <w:rPr>
          <w:rFonts w:asciiTheme="minorHAnsi" w:hAnsiTheme="minorHAnsi" w:cstheme="minorHAnsi"/>
          <w:sz w:val="22"/>
          <w:szCs w:val="22"/>
        </w:rPr>
        <w:t xml:space="preserve"> </w:t>
      </w:r>
      <w:r w:rsidRPr="0068094B">
        <w:rPr>
          <w:rFonts w:asciiTheme="minorHAnsi" w:hAnsiTheme="minorHAnsi" w:cstheme="minorHAnsi"/>
          <w:sz w:val="22"/>
          <w:szCs w:val="22"/>
        </w:rPr>
        <w:t xml:space="preserve">This scheme provides defined benefits to members (retirement lump sums and pensions), earned as employees worked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rsidR="00E21253" w:rsidRPr="0068094B" w:rsidRDefault="005D77A7" w:rsidP="002E6DA3">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Scheme </w:t>
      </w:r>
      <w:r w:rsidR="00C02A61" w:rsidRPr="0068094B">
        <w:rPr>
          <w:rFonts w:asciiTheme="minorHAnsi" w:hAnsiTheme="minorHAnsi" w:cstheme="minorHAnsi"/>
          <w:sz w:val="22"/>
          <w:szCs w:val="22"/>
        </w:rPr>
        <w:t xml:space="preserve">Liabilities are discounted to their value at current prices, using a discount rate of </w:t>
      </w:r>
      <w:r w:rsidR="00281809" w:rsidRPr="00670A98">
        <w:rPr>
          <w:rFonts w:asciiTheme="minorHAnsi" w:hAnsiTheme="minorHAnsi" w:cstheme="minorHAnsi"/>
          <w:sz w:val="22"/>
          <w:szCs w:val="22"/>
        </w:rPr>
        <w:t>2</w:t>
      </w:r>
      <w:r w:rsidR="002F2C10" w:rsidRPr="00670A98">
        <w:rPr>
          <w:rFonts w:asciiTheme="minorHAnsi" w:hAnsiTheme="minorHAnsi" w:cstheme="minorHAnsi"/>
          <w:sz w:val="22"/>
          <w:szCs w:val="22"/>
        </w:rPr>
        <w:t>.</w:t>
      </w:r>
      <w:r w:rsidR="00924AC2" w:rsidRPr="00670A98">
        <w:rPr>
          <w:rFonts w:asciiTheme="minorHAnsi" w:hAnsiTheme="minorHAnsi" w:cstheme="minorHAnsi"/>
          <w:sz w:val="22"/>
          <w:szCs w:val="22"/>
        </w:rPr>
        <w:t>3</w:t>
      </w:r>
      <w:r w:rsidR="002F2C10" w:rsidRPr="00670A98">
        <w:rPr>
          <w:rFonts w:asciiTheme="minorHAnsi" w:hAnsiTheme="minorHAnsi" w:cstheme="minorHAnsi"/>
          <w:sz w:val="22"/>
          <w:szCs w:val="22"/>
        </w:rPr>
        <w:t>%</w:t>
      </w:r>
      <w:r w:rsidR="007D2EDE" w:rsidRPr="00670A98">
        <w:rPr>
          <w:rFonts w:asciiTheme="minorHAnsi" w:hAnsiTheme="minorHAnsi" w:cstheme="minorHAnsi"/>
          <w:sz w:val="22"/>
          <w:szCs w:val="22"/>
        </w:rPr>
        <w:t>.</w:t>
      </w:r>
      <w:r w:rsidR="00AC7481" w:rsidRPr="0068094B">
        <w:rPr>
          <w:rFonts w:asciiTheme="minorHAnsi" w:hAnsiTheme="minorHAnsi" w:cstheme="minorHAnsi"/>
          <w:sz w:val="22"/>
          <w:szCs w:val="22"/>
        </w:rPr>
        <w:t xml:space="preserve">  The discount rate used to value scheme liabilities </w:t>
      </w:r>
      <w:r w:rsidR="00E21253" w:rsidRPr="0068094B">
        <w:rPr>
          <w:rFonts w:asciiTheme="minorHAnsi" w:hAnsiTheme="minorHAnsi" w:cstheme="minorHAnsi"/>
          <w:sz w:val="22"/>
          <w:szCs w:val="22"/>
        </w:rPr>
        <w:t>is either:</w:t>
      </w:r>
    </w:p>
    <w:p w:rsidR="00E21253" w:rsidRPr="0068094B" w:rsidRDefault="00E21253" w:rsidP="002E6DA3">
      <w:pPr>
        <w:pStyle w:val="PlainText"/>
        <w:ind w:left="284"/>
        <w:rPr>
          <w:rFonts w:asciiTheme="minorHAnsi" w:hAnsiTheme="minorHAnsi" w:cstheme="minorHAnsi"/>
          <w:sz w:val="22"/>
          <w:szCs w:val="22"/>
        </w:rPr>
      </w:pPr>
    </w:p>
    <w:p w:rsidR="00AC7481" w:rsidRPr="0068094B" w:rsidRDefault="00E21253" w:rsidP="007D7B32">
      <w:pPr>
        <w:pStyle w:val="PlainText"/>
        <w:numPr>
          <w:ilvl w:val="0"/>
          <w:numId w:val="48"/>
        </w:numPr>
        <w:rPr>
          <w:rFonts w:asciiTheme="minorHAnsi" w:hAnsiTheme="minorHAnsi" w:cstheme="minorHAnsi"/>
          <w:sz w:val="22"/>
          <w:szCs w:val="22"/>
        </w:rPr>
      </w:pPr>
      <w:r w:rsidRPr="0068094B">
        <w:rPr>
          <w:rFonts w:asciiTheme="minorHAnsi" w:hAnsiTheme="minorHAnsi" w:cstheme="minorHAnsi"/>
          <w:sz w:val="22"/>
          <w:szCs w:val="22"/>
        </w:rPr>
        <w:t xml:space="preserve">For Government bonds, yield curves provided by the Bank of England; </w:t>
      </w:r>
    </w:p>
    <w:p w:rsidR="00AC7481" w:rsidRPr="0068094B" w:rsidRDefault="00E21253" w:rsidP="007D7B32">
      <w:pPr>
        <w:pStyle w:val="PlainText"/>
        <w:numPr>
          <w:ilvl w:val="0"/>
          <w:numId w:val="48"/>
        </w:numPr>
        <w:rPr>
          <w:rFonts w:asciiTheme="minorHAnsi" w:hAnsiTheme="minorHAnsi" w:cstheme="minorHAnsi"/>
          <w:sz w:val="22"/>
          <w:szCs w:val="22"/>
        </w:rPr>
      </w:pPr>
      <w:r w:rsidRPr="0068094B">
        <w:rPr>
          <w:rFonts w:asciiTheme="minorHAnsi" w:hAnsiTheme="minorHAnsi" w:cstheme="minorHAnsi"/>
          <w:sz w:val="22"/>
          <w:szCs w:val="22"/>
        </w:rPr>
        <w:t>For Corporate bonds</w:t>
      </w:r>
      <w:r w:rsidR="00866057">
        <w:rPr>
          <w:rFonts w:asciiTheme="minorHAnsi" w:hAnsiTheme="minorHAnsi" w:cstheme="minorHAnsi"/>
          <w:sz w:val="22"/>
          <w:szCs w:val="22"/>
        </w:rPr>
        <w:t>;</w:t>
      </w:r>
      <w:r w:rsidRPr="0068094B">
        <w:rPr>
          <w:rFonts w:asciiTheme="minorHAnsi" w:hAnsiTheme="minorHAnsi" w:cstheme="minorHAnsi"/>
          <w:sz w:val="22"/>
          <w:szCs w:val="22"/>
        </w:rPr>
        <w:t xml:space="preserve"> </w:t>
      </w:r>
      <w:r w:rsidR="00AC7481" w:rsidRPr="0068094B">
        <w:rPr>
          <w:rFonts w:asciiTheme="minorHAnsi" w:hAnsiTheme="minorHAnsi" w:cstheme="minorHAnsi"/>
          <w:sz w:val="22"/>
          <w:szCs w:val="22"/>
        </w:rPr>
        <w:t xml:space="preserve">a “Hymans Robertson” corporate </w:t>
      </w:r>
      <w:r w:rsidR="00EF5FB6">
        <w:rPr>
          <w:rFonts w:asciiTheme="minorHAnsi" w:hAnsiTheme="minorHAnsi" w:cstheme="minorHAnsi"/>
          <w:sz w:val="22"/>
          <w:szCs w:val="22"/>
        </w:rPr>
        <w:t xml:space="preserve">bond </w:t>
      </w:r>
      <w:r w:rsidR="00AC7481" w:rsidRPr="0068094B">
        <w:rPr>
          <w:rFonts w:asciiTheme="minorHAnsi" w:hAnsiTheme="minorHAnsi" w:cstheme="minorHAnsi"/>
          <w:sz w:val="22"/>
          <w:szCs w:val="22"/>
        </w:rPr>
        <w:t xml:space="preserve">yield curve constructed based on the constituents of the </w:t>
      </w:r>
      <w:proofErr w:type="spellStart"/>
      <w:r w:rsidR="00AC7481" w:rsidRPr="0068094B">
        <w:rPr>
          <w:rFonts w:asciiTheme="minorHAnsi" w:hAnsiTheme="minorHAnsi" w:cstheme="minorHAnsi"/>
          <w:sz w:val="22"/>
          <w:szCs w:val="22"/>
        </w:rPr>
        <w:t>iBoxx</w:t>
      </w:r>
      <w:proofErr w:type="spellEnd"/>
      <w:r w:rsidR="00AC7481" w:rsidRPr="0068094B">
        <w:rPr>
          <w:rFonts w:asciiTheme="minorHAnsi" w:hAnsiTheme="minorHAnsi" w:cstheme="minorHAnsi"/>
          <w:sz w:val="22"/>
          <w:szCs w:val="22"/>
        </w:rPr>
        <w:t xml:space="preserve"> AA corporate bond index</w:t>
      </w:r>
      <w:r w:rsidR="00650803">
        <w:rPr>
          <w:rFonts w:asciiTheme="minorHAnsi" w:hAnsiTheme="minorHAnsi" w:cstheme="minorHAnsi"/>
          <w:sz w:val="22"/>
          <w:szCs w:val="22"/>
        </w:rPr>
        <w:t>.</w:t>
      </w:r>
    </w:p>
    <w:p w:rsidR="00FF1108" w:rsidRPr="0068094B" w:rsidRDefault="00104664" w:rsidP="002E6DA3">
      <w:pPr>
        <w:pStyle w:val="PlainText"/>
        <w:ind w:left="284"/>
        <w:rPr>
          <w:rFonts w:asciiTheme="minorHAnsi" w:hAnsiTheme="minorHAnsi" w:cstheme="minorHAnsi"/>
          <w:sz w:val="22"/>
          <w:szCs w:val="22"/>
          <w:highlight w:val="yellow"/>
        </w:rPr>
      </w:pPr>
      <w:r w:rsidRPr="0068094B">
        <w:rPr>
          <w:rFonts w:asciiTheme="minorHAnsi" w:hAnsiTheme="minorHAnsi" w:cstheme="minorHAnsi"/>
          <w:sz w:val="22"/>
          <w:szCs w:val="22"/>
          <w:highlight w:val="yellow"/>
        </w:rPr>
        <w:t xml:space="preserve"> </w:t>
      </w:r>
    </w:p>
    <w:p w:rsidR="002F2C10" w:rsidRDefault="00104664" w:rsidP="002E6DA3">
      <w:pPr>
        <w:pStyle w:val="PlainText"/>
        <w:ind w:left="284"/>
        <w:rPr>
          <w:rFonts w:asciiTheme="minorHAnsi" w:hAnsiTheme="minorHAnsi" w:cstheme="minorHAnsi"/>
          <w:sz w:val="22"/>
          <w:szCs w:val="22"/>
        </w:rPr>
      </w:pPr>
      <w:r w:rsidRPr="0068094B">
        <w:rPr>
          <w:rFonts w:asciiTheme="minorHAnsi" w:hAnsiTheme="minorHAnsi" w:cstheme="minorHAnsi"/>
          <w:sz w:val="22"/>
          <w:szCs w:val="22"/>
        </w:rPr>
        <w:t>Separate discount rates are set for individual employers, dependent upon their own weighted average duration (or term) of their benefit obligation.</w:t>
      </w:r>
      <w:r w:rsidR="007D2EDE" w:rsidRPr="0068094B">
        <w:rPr>
          <w:rFonts w:asciiTheme="minorHAnsi" w:hAnsiTheme="minorHAnsi" w:cstheme="minorHAnsi"/>
          <w:sz w:val="22"/>
          <w:szCs w:val="22"/>
        </w:rPr>
        <w:t xml:space="preserve"> </w:t>
      </w:r>
    </w:p>
    <w:p w:rsidR="00C4728B" w:rsidRPr="0068094B" w:rsidRDefault="00C4728B" w:rsidP="002E6DA3">
      <w:pPr>
        <w:pStyle w:val="PlainText"/>
        <w:ind w:left="284"/>
        <w:rPr>
          <w:rFonts w:asciiTheme="minorHAnsi" w:hAnsiTheme="minorHAnsi" w:cstheme="minorHAnsi"/>
          <w:sz w:val="22"/>
          <w:szCs w:val="22"/>
        </w:rPr>
      </w:pPr>
    </w:p>
    <w:p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The assets of West Sussex pension fund attributable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included in the Balance Sheet at their fair value:</w:t>
      </w:r>
    </w:p>
    <w:p w:rsidR="00C02A61" w:rsidRPr="0068094B" w:rsidRDefault="00C02A61" w:rsidP="00C02A61">
      <w:pPr>
        <w:pStyle w:val="PlainText"/>
        <w:ind w:left="284"/>
        <w:rPr>
          <w:rFonts w:asciiTheme="minorHAnsi" w:hAnsiTheme="minorHAnsi" w:cstheme="minorHAnsi"/>
          <w:sz w:val="22"/>
          <w:szCs w:val="22"/>
        </w:rPr>
      </w:pPr>
    </w:p>
    <w:p w:rsidR="00C02A61" w:rsidRPr="0068094B" w:rsidRDefault="00C02A61" w:rsidP="007D7B32">
      <w:pPr>
        <w:pStyle w:val="PlainText"/>
        <w:numPr>
          <w:ilvl w:val="0"/>
          <w:numId w:val="36"/>
        </w:numPr>
        <w:ind w:left="284" w:firstLine="0"/>
        <w:rPr>
          <w:rFonts w:asciiTheme="minorHAnsi" w:hAnsiTheme="minorHAnsi" w:cstheme="minorHAnsi"/>
          <w:sz w:val="22"/>
          <w:szCs w:val="22"/>
        </w:rPr>
      </w:pPr>
      <w:r w:rsidRPr="0068094B">
        <w:rPr>
          <w:rFonts w:asciiTheme="minorHAnsi" w:hAnsiTheme="minorHAnsi" w:cstheme="minorHAnsi"/>
          <w:sz w:val="22"/>
          <w:szCs w:val="22"/>
        </w:rPr>
        <w:t>quoted securities – current bid price</w:t>
      </w:r>
    </w:p>
    <w:p w:rsidR="00C02A61" w:rsidRPr="0068094B" w:rsidRDefault="00C02A61" w:rsidP="007D7B32">
      <w:pPr>
        <w:pStyle w:val="PlainText"/>
        <w:numPr>
          <w:ilvl w:val="0"/>
          <w:numId w:val="36"/>
        </w:numPr>
        <w:ind w:left="284" w:firstLine="0"/>
        <w:rPr>
          <w:rFonts w:asciiTheme="minorHAnsi" w:hAnsiTheme="minorHAnsi" w:cstheme="minorHAnsi"/>
          <w:sz w:val="22"/>
          <w:szCs w:val="22"/>
        </w:rPr>
      </w:pPr>
      <w:r w:rsidRPr="0068094B">
        <w:rPr>
          <w:rFonts w:asciiTheme="minorHAnsi" w:hAnsiTheme="minorHAnsi" w:cstheme="minorHAnsi"/>
          <w:sz w:val="22"/>
          <w:szCs w:val="22"/>
        </w:rPr>
        <w:t>un-quoted securities – professional estimate</w:t>
      </w:r>
    </w:p>
    <w:p w:rsidR="00C02A61" w:rsidRPr="0068094B" w:rsidRDefault="00C02A61" w:rsidP="007D7B32">
      <w:pPr>
        <w:pStyle w:val="PlainText"/>
        <w:numPr>
          <w:ilvl w:val="0"/>
          <w:numId w:val="36"/>
        </w:numPr>
        <w:ind w:left="284" w:firstLine="0"/>
        <w:rPr>
          <w:rFonts w:asciiTheme="minorHAnsi" w:hAnsiTheme="minorHAnsi" w:cstheme="minorHAnsi"/>
          <w:sz w:val="22"/>
          <w:szCs w:val="22"/>
        </w:rPr>
      </w:pPr>
      <w:r w:rsidRPr="0068094B">
        <w:rPr>
          <w:rFonts w:asciiTheme="minorHAnsi" w:hAnsiTheme="minorHAnsi" w:cstheme="minorHAnsi"/>
          <w:sz w:val="22"/>
          <w:szCs w:val="22"/>
        </w:rPr>
        <w:t>unitised securities – current bid price</w:t>
      </w:r>
    </w:p>
    <w:p w:rsidR="0030457E" w:rsidRPr="00A25D72" w:rsidRDefault="00C02A61" w:rsidP="007D7B32">
      <w:pPr>
        <w:pStyle w:val="PlainText"/>
        <w:numPr>
          <w:ilvl w:val="0"/>
          <w:numId w:val="36"/>
        </w:numPr>
        <w:ind w:left="284" w:firstLine="0"/>
        <w:rPr>
          <w:rFonts w:asciiTheme="minorHAnsi" w:hAnsiTheme="minorHAnsi" w:cstheme="minorHAnsi"/>
          <w:sz w:val="22"/>
          <w:szCs w:val="22"/>
        </w:rPr>
      </w:pPr>
      <w:r w:rsidRPr="00A25D72">
        <w:rPr>
          <w:rFonts w:asciiTheme="minorHAnsi" w:hAnsiTheme="minorHAnsi" w:cstheme="minorHAnsi"/>
          <w:sz w:val="22"/>
          <w:szCs w:val="22"/>
        </w:rPr>
        <w:t>property – market value.</w:t>
      </w:r>
    </w:p>
    <w:p w:rsidR="00C02A61" w:rsidRPr="00A25D72" w:rsidRDefault="00C02A61" w:rsidP="00C02A61">
      <w:pPr>
        <w:autoSpaceDE w:val="0"/>
        <w:rPr>
          <w:rFonts w:asciiTheme="minorHAnsi" w:hAnsiTheme="minorHAnsi" w:cstheme="minorHAnsi"/>
          <w:b/>
          <w:bCs/>
          <w:sz w:val="22"/>
          <w:szCs w:val="22"/>
          <w:shd w:val="clear" w:color="auto" w:fill="E5E5E5"/>
        </w:rPr>
      </w:pPr>
    </w:p>
    <w:p w:rsidR="00C02A61" w:rsidRPr="00A25D72" w:rsidRDefault="00670A98" w:rsidP="0044393D">
      <w:pPr>
        <w:numPr>
          <w:ilvl w:val="1"/>
          <w:numId w:val="6"/>
        </w:numPr>
        <w:tabs>
          <w:tab w:val="left" w:pos="540"/>
        </w:tabs>
        <w:autoSpaceDE w:val="0"/>
        <w:rPr>
          <w:rFonts w:asciiTheme="minorHAnsi" w:hAnsiTheme="minorHAnsi" w:cstheme="minorHAnsi"/>
          <w:b/>
          <w:bCs/>
          <w:sz w:val="22"/>
          <w:szCs w:val="22"/>
        </w:rPr>
      </w:pPr>
      <w:r w:rsidRPr="00BB492B">
        <w:rPr>
          <w:rFonts w:asciiTheme="minorHAnsi" w:hAnsiTheme="minorHAnsi" w:cstheme="minorHAnsi"/>
          <w:b/>
          <w:bCs/>
          <w:sz w:val="22"/>
          <w:szCs w:val="22"/>
        </w:rPr>
        <w:t>Events after the reporting period</w:t>
      </w:r>
    </w:p>
    <w:p w:rsidR="00670A98" w:rsidRPr="00A25D72" w:rsidRDefault="00670A98" w:rsidP="00670A98">
      <w:pPr>
        <w:tabs>
          <w:tab w:val="left" w:pos="540"/>
        </w:tabs>
        <w:autoSpaceDE w:val="0"/>
        <w:ind w:left="360"/>
        <w:rPr>
          <w:rFonts w:asciiTheme="minorHAnsi" w:hAnsiTheme="minorHAnsi" w:cstheme="minorHAnsi"/>
          <w:b/>
          <w:bCs/>
          <w:sz w:val="22"/>
          <w:szCs w:val="22"/>
        </w:rPr>
      </w:pPr>
    </w:p>
    <w:p w:rsidR="00670A98" w:rsidRDefault="00D55470" w:rsidP="00D55470">
      <w:pPr>
        <w:tabs>
          <w:tab w:val="left" w:pos="540"/>
        </w:tabs>
        <w:autoSpaceDE w:val="0"/>
        <w:rPr>
          <w:rFonts w:asciiTheme="minorHAnsi" w:hAnsiTheme="minorHAnsi" w:cstheme="minorHAnsi"/>
          <w:bCs/>
          <w:sz w:val="22"/>
          <w:szCs w:val="22"/>
        </w:rPr>
      </w:pPr>
      <w:r>
        <w:rPr>
          <w:rFonts w:asciiTheme="minorHAnsi" w:hAnsiTheme="minorHAnsi" w:cstheme="minorHAnsi"/>
          <w:bCs/>
          <w:sz w:val="22"/>
          <w:szCs w:val="22"/>
        </w:rPr>
        <w:t>Events after the balance sheet date are those events, both favourable and unfavourable, that occur between the end of the reporting period and the date when the statement of accounts is authorised for issue. Two types of events can be identified:</w:t>
      </w:r>
    </w:p>
    <w:p w:rsidR="00B3756E" w:rsidRDefault="00B3756E" w:rsidP="00D55470">
      <w:pPr>
        <w:tabs>
          <w:tab w:val="left" w:pos="540"/>
        </w:tabs>
        <w:autoSpaceDE w:val="0"/>
        <w:rPr>
          <w:rFonts w:asciiTheme="minorHAnsi" w:hAnsiTheme="minorHAnsi" w:cstheme="minorHAnsi"/>
          <w:bCs/>
          <w:sz w:val="22"/>
          <w:szCs w:val="22"/>
        </w:rPr>
      </w:pPr>
    </w:p>
    <w:p w:rsidR="00D55470" w:rsidRDefault="00D55470" w:rsidP="00D55470">
      <w:pPr>
        <w:pStyle w:val="ListParagraph"/>
        <w:numPr>
          <w:ilvl w:val="0"/>
          <w:numId w:val="77"/>
        </w:numPr>
        <w:tabs>
          <w:tab w:val="left" w:pos="540"/>
        </w:tabs>
        <w:ind w:left="567" w:hanging="207"/>
        <w:rPr>
          <w:rFonts w:asciiTheme="minorHAnsi" w:hAnsiTheme="minorHAnsi" w:cstheme="minorHAnsi"/>
          <w:bCs/>
          <w:szCs w:val="22"/>
        </w:rPr>
      </w:pPr>
      <w:r>
        <w:rPr>
          <w:rFonts w:asciiTheme="minorHAnsi" w:hAnsiTheme="minorHAnsi" w:cstheme="minorHAnsi"/>
          <w:bCs/>
          <w:szCs w:val="22"/>
        </w:rPr>
        <w:t>those that provide evidence of conditions that existed at the end of the reporting period – the statement of accounts is adjusted to reflect such events</w:t>
      </w:r>
    </w:p>
    <w:p w:rsidR="00B3756E" w:rsidRDefault="00D55470" w:rsidP="00D55470">
      <w:pPr>
        <w:pStyle w:val="ListParagraph"/>
        <w:numPr>
          <w:ilvl w:val="0"/>
          <w:numId w:val="77"/>
        </w:numPr>
        <w:tabs>
          <w:tab w:val="left" w:pos="540"/>
        </w:tabs>
        <w:ind w:left="567" w:hanging="207"/>
        <w:rPr>
          <w:rFonts w:asciiTheme="minorHAnsi" w:hAnsiTheme="minorHAnsi" w:cstheme="minorHAnsi"/>
          <w:bCs/>
          <w:szCs w:val="22"/>
        </w:rPr>
      </w:pPr>
      <w:r>
        <w:rPr>
          <w:rFonts w:asciiTheme="minorHAnsi" w:hAnsiTheme="minorHAnsi" w:cstheme="minorHAnsi"/>
          <w:bCs/>
          <w:szCs w:val="22"/>
        </w:rPr>
        <w:lastRenderedPageBreak/>
        <w:t xml:space="preserve"> those that are indicative of conditions that arose after the reporting period – the statement of accounts is not adjusted to reflect such events, but where a category of events would have a material effect, disclosure is made in the notes of the nature of the events </w:t>
      </w:r>
      <w:r w:rsidR="00B3756E">
        <w:rPr>
          <w:rFonts w:asciiTheme="minorHAnsi" w:hAnsiTheme="minorHAnsi" w:cstheme="minorHAnsi"/>
          <w:bCs/>
          <w:szCs w:val="22"/>
        </w:rPr>
        <w:t>and their estimated financial effect.</w:t>
      </w:r>
    </w:p>
    <w:p w:rsidR="00B3756E" w:rsidRDefault="00B3756E" w:rsidP="00B3756E">
      <w:pPr>
        <w:tabs>
          <w:tab w:val="left" w:pos="540"/>
        </w:tabs>
        <w:rPr>
          <w:rFonts w:asciiTheme="minorHAnsi" w:hAnsiTheme="minorHAnsi" w:cstheme="minorHAnsi"/>
          <w:bCs/>
          <w:szCs w:val="22"/>
        </w:rPr>
      </w:pPr>
    </w:p>
    <w:p w:rsidR="00D55470" w:rsidRPr="00B3756E" w:rsidRDefault="00B3756E" w:rsidP="00B3756E">
      <w:pPr>
        <w:tabs>
          <w:tab w:val="left" w:pos="540"/>
        </w:tabs>
        <w:rPr>
          <w:rFonts w:asciiTheme="minorHAnsi" w:hAnsiTheme="minorHAnsi" w:cstheme="minorHAnsi"/>
          <w:bCs/>
          <w:sz w:val="22"/>
          <w:szCs w:val="22"/>
        </w:rPr>
      </w:pPr>
      <w:r>
        <w:rPr>
          <w:rFonts w:asciiTheme="minorHAnsi" w:hAnsiTheme="minorHAnsi" w:cstheme="minorHAnsi"/>
          <w:bCs/>
          <w:szCs w:val="22"/>
        </w:rPr>
        <w:t>Events</w:t>
      </w:r>
      <w:r w:rsidR="00D55470" w:rsidRPr="00B3756E">
        <w:rPr>
          <w:rFonts w:asciiTheme="minorHAnsi" w:hAnsiTheme="minorHAnsi" w:cstheme="minorHAnsi"/>
          <w:bCs/>
          <w:szCs w:val="22"/>
        </w:rPr>
        <w:t xml:space="preserve"> </w:t>
      </w:r>
      <w:r>
        <w:rPr>
          <w:rFonts w:asciiTheme="minorHAnsi" w:hAnsiTheme="minorHAnsi" w:cstheme="minorHAnsi"/>
          <w:bCs/>
          <w:szCs w:val="22"/>
        </w:rPr>
        <w:t>taking place after the date of authorisation for issue are not reflected in the statement of accounts.</w:t>
      </w:r>
    </w:p>
    <w:p w:rsidR="003C3C10" w:rsidRDefault="003C3C10" w:rsidP="00670A98">
      <w:pPr>
        <w:tabs>
          <w:tab w:val="left" w:pos="540"/>
        </w:tabs>
        <w:autoSpaceDE w:val="0"/>
        <w:ind w:left="360"/>
        <w:rPr>
          <w:rFonts w:asciiTheme="minorHAnsi" w:hAnsiTheme="minorHAnsi" w:cstheme="minorHAnsi"/>
          <w:b/>
          <w:bCs/>
          <w:sz w:val="22"/>
          <w:szCs w:val="22"/>
        </w:rPr>
      </w:pPr>
    </w:p>
    <w:p w:rsidR="00670A98" w:rsidRPr="00670A98" w:rsidRDefault="00670A98" w:rsidP="00670A98">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Financial Instruments and Investments</w:t>
      </w:r>
    </w:p>
    <w:p w:rsidR="00AD5B30" w:rsidRPr="0068094B" w:rsidRDefault="00AD5B30" w:rsidP="00AD5B30">
      <w:pPr>
        <w:tabs>
          <w:tab w:val="left" w:pos="540"/>
        </w:tabs>
        <w:autoSpaceDE w:val="0"/>
        <w:rPr>
          <w:rFonts w:asciiTheme="minorHAnsi" w:hAnsiTheme="minorHAnsi" w:cstheme="minorHAnsi"/>
          <w:b/>
          <w:bCs/>
          <w:sz w:val="22"/>
          <w:szCs w:val="22"/>
        </w:rPr>
      </w:pPr>
    </w:p>
    <w:p w:rsidR="00AD5B30" w:rsidRPr="0068094B" w:rsidRDefault="00AD5B30" w:rsidP="00AD5B30">
      <w:pPr>
        <w:rPr>
          <w:rFonts w:asciiTheme="minorHAnsi" w:hAnsiTheme="minorHAnsi" w:cstheme="minorHAnsi"/>
          <w:sz w:val="22"/>
          <w:szCs w:val="22"/>
        </w:rPr>
      </w:pPr>
      <w:r w:rsidRPr="0068094B">
        <w:rPr>
          <w:rFonts w:asciiTheme="minorHAnsi" w:hAnsiTheme="minorHAnsi" w:cstheme="minorHAnsi"/>
          <w:b/>
          <w:color w:val="000000"/>
          <w:sz w:val="22"/>
          <w:szCs w:val="22"/>
          <w:u w:val="single"/>
        </w:rPr>
        <w:t>Financial Instruments</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instrument i</w:t>
      </w:r>
      <w:r w:rsidRPr="0068094B">
        <w:rPr>
          <w:rFonts w:asciiTheme="minorHAnsi" w:hAnsiTheme="minorHAnsi" w:cstheme="minorHAnsi"/>
          <w:sz w:val="22"/>
          <w:szCs w:val="22"/>
        </w:rPr>
        <w:t>s a contract that gives rise to a financial asset of one entity and a financial liability or equity instrument of another entity.</w:t>
      </w:r>
      <w:r w:rsidRPr="0068094B">
        <w:rPr>
          <w:rFonts w:asciiTheme="minorHAnsi" w:hAnsiTheme="minorHAnsi" w:cstheme="minorHAnsi"/>
          <w:i/>
          <w:sz w:val="22"/>
          <w:szCs w:val="22"/>
        </w:rPr>
        <w:t xml:space="preserve">  </w:t>
      </w:r>
      <w:r w:rsidRPr="0068094B">
        <w:rPr>
          <w:rFonts w:asciiTheme="minorHAnsi" w:hAnsiTheme="minorHAnsi" w:cstheme="minorHAnsi"/>
          <w:sz w:val="22"/>
          <w:szCs w:val="22"/>
        </w:rPr>
        <w:t>Non-exchange transactions, such as those relating to taxes</w:t>
      </w:r>
      <w:r w:rsidR="00BD3EA0">
        <w:rPr>
          <w:rFonts w:asciiTheme="minorHAnsi" w:hAnsiTheme="minorHAnsi" w:cstheme="minorHAnsi"/>
          <w:sz w:val="22"/>
          <w:szCs w:val="22"/>
        </w:rPr>
        <w:t>, benefits</w:t>
      </w:r>
      <w:r w:rsidRPr="0068094B">
        <w:rPr>
          <w:rFonts w:asciiTheme="minorHAnsi" w:hAnsiTheme="minorHAnsi" w:cstheme="minorHAnsi"/>
          <w:sz w:val="22"/>
          <w:szCs w:val="22"/>
        </w:rPr>
        <w:t xml:space="preserve"> and government grants, do not give rise to financial instruments.</w:t>
      </w:r>
      <w:r w:rsidR="004475A2" w:rsidRPr="0068094B">
        <w:rPr>
          <w:rFonts w:asciiTheme="minorHAnsi" w:hAnsiTheme="minorHAnsi" w:cstheme="minorHAnsi"/>
          <w:sz w:val="22"/>
          <w:szCs w:val="22"/>
        </w:rPr>
        <w:t xml:space="preserve"> </w:t>
      </w:r>
      <w:r w:rsidRPr="0068094B">
        <w:rPr>
          <w:rFonts w:asciiTheme="minorHAnsi" w:hAnsiTheme="minorHAnsi" w:cstheme="minorHAnsi"/>
          <w:sz w:val="22"/>
          <w:szCs w:val="22"/>
        </w:rPr>
        <w:br/>
      </w:r>
    </w:p>
    <w:p w:rsidR="00AD5B30" w:rsidRPr="0068094B" w:rsidRDefault="00AD5B30" w:rsidP="00AD5B30">
      <w:pPr>
        <w:tabs>
          <w:tab w:val="left" w:pos="540"/>
        </w:tabs>
        <w:autoSpaceDE w:val="0"/>
        <w:rPr>
          <w:rFonts w:asciiTheme="minorHAnsi" w:hAnsiTheme="minorHAnsi" w:cstheme="minorHAnsi"/>
          <w:b/>
          <w:bCs/>
          <w:sz w:val="22"/>
          <w:szCs w:val="22"/>
        </w:rPr>
      </w:pPr>
      <w:r w:rsidRPr="0068094B">
        <w:rPr>
          <w:rFonts w:asciiTheme="minorHAnsi" w:hAnsiTheme="minorHAnsi" w:cstheme="minorHAnsi"/>
          <w:color w:val="000000"/>
          <w:sz w:val="22"/>
          <w:szCs w:val="22"/>
        </w:rPr>
        <w:t>The Council held no material derivative financ</w:t>
      </w:r>
      <w:r w:rsidR="000C71DE" w:rsidRPr="0068094B">
        <w:rPr>
          <w:rFonts w:asciiTheme="minorHAnsi" w:hAnsiTheme="minorHAnsi" w:cstheme="minorHAnsi"/>
          <w:color w:val="000000"/>
          <w:sz w:val="22"/>
          <w:szCs w:val="22"/>
        </w:rPr>
        <w:t>ial instruments at 31 March 20</w:t>
      </w:r>
      <w:r w:rsidR="00912AC3">
        <w:rPr>
          <w:rFonts w:asciiTheme="minorHAnsi" w:hAnsiTheme="minorHAnsi" w:cstheme="minorHAnsi"/>
          <w:color w:val="000000"/>
          <w:sz w:val="22"/>
          <w:szCs w:val="22"/>
        </w:rPr>
        <w:t>20</w:t>
      </w:r>
      <w:r w:rsidRPr="0068094B">
        <w:rPr>
          <w:rFonts w:asciiTheme="minorHAnsi" w:hAnsiTheme="minorHAnsi" w:cstheme="minorHAnsi"/>
          <w:color w:val="000000"/>
          <w:sz w:val="22"/>
          <w:szCs w:val="22"/>
        </w:rPr>
        <w:t>.</w:t>
      </w:r>
    </w:p>
    <w:p w:rsidR="00C02A61" w:rsidRPr="0068094B" w:rsidRDefault="00C02A61" w:rsidP="00C02A61">
      <w:pPr>
        <w:rPr>
          <w:rFonts w:asciiTheme="minorHAnsi" w:hAnsiTheme="minorHAnsi" w:cstheme="minorHAnsi"/>
          <w:b/>
          <w:bCs/>
          <w:sz w:val="22"/>
          <w:szCs w:val="22"/>
        </w:rPr>
      </w:pPr>
      <w:r w:rsidRPr="0068094B">
        <w:rPr>
          <w:rFonts w:asciiTheme="minorHAnsi" w:hAnsiTheme="minorHAnsi" w:cstheme="minorHAnsi"/>
          <w:b/>
          <w:bCs/>
          <w:sz w:val="22"/>
          <w:szCs w:val="22"/>
          <w:shd w:val="clear" w:color="auto" w:fill="00FFFF"/>
        </w:rPr>
        <w:t xml:space="preserve"> </w:t>
      </w:r>
    </w:p>
    <w:p w:rsidR="00C02A61" w:rsidRPr="0068094B" w:rsidRDefault="00AD5B30" w:rsidP="00ED3B24">
      <w:pPr>
        <w:rPr>
          <w:rFonts w:asciiTheme="minorHAnsi" w:hAnsiTheme="minorHAnsi" w:cstheme="minorHAnsi"/>
          <w:sz w:val="22"/>
          <w:szCs w:val="22"/>
        </w:rPr>
      </w:pPr>
      <w:r w:rsidRPr="0068094B">
        <w:rPr>
          <w:rFonts w:asciiTheme="minorHAnsi" w:hAnsiTheme="minorHAnsi" w:cstheme="minorHAnsi"/>
          <w:b/>
          <w:color w:val="000000"/>
          <w:sz w:val="22"/>
          <w:szCs w:val="22"/>
          <w:u w:val="single"/>
        </w:rPr>
        <w:t xml:space="preserve">Financial Liabilities </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liability is an obligation to transfer economic benefits controlled by the Council and can be represented by a contractual obligation to deliver cash or financial assets or an obligation to exchange financial assets and liabilities with another entity that is potentially unfavourable to the Council.</w:t>
      </w:r>
      <w:r w:rsidR="004475A2" w:rsidRPr="0068094B">
        <w:rPr>
          <w:rFonts w:asciiTheme="minorHAnsi" w:hAnsiTheme="minorHAnsi" w:cstheme="minorHAnsi"/>
          <w:color w:val="000000"/>
          <w:sz w:val="22"/>
          <w:szCs w:val="22"/>
        </w:rPr>
        <w:t xml:space="preserve"> </w:t>
      </w:r>
      <w:r w:rsidR="004475A2" w:rsidRPr="0068094B">
        <w:rPr>
          <w:rFonts w:asciiTheme="minorHAnsi" w:hAnsiTheme="minorHAnsi" w:cstheme="minorHAnsi"/>
          <w:sz w:val="22"/>
          <w:szCs w:val="22"/>
        </w:rPr>
        <w:t>Loans and receivables are recognised on the Balance Sheet when the Council becomes a party to the contractual provisions of a financial instrument.</w:t>
      </w:r>
    </w:p>
    <w:p w:rsidR="00C02A61" w:rsidRPr="0068094B" w:rsidRDefault="00C02A61" w:rsidP="00C02A61">
      <w:pPr>
        <w:autoSpaceDE w:val="0"/>
        <w:rPr>
          <w:rFonts w:asciiTheme="minorHAnsi" w:hAnsiTheme="minorHAnsi" w:cstheme="minorHAnsi"/>
          <w:color w:val="000000"/>
          <w:sz w:val="22"/>
          <w:szCs w:val="22"/>
          <w:u w:val="single"/>
          <w:shd w:val="clear" w:color="auto" w:fill="00FFFF"/>
        </w:rPr>
      </w:pPr>
    </w:p>
    <w:p w:rsidR="00AD5B30" w:rsidRPr="0068094B" w:rsidRDefault="00AD5B30" w:rsidP="00AD5B30">
      <w:pPr>
        <w:rPr>
          <w:rFonts w:asciiTheme="minorHAnsi" w:hAnsiTheme="minorHAnsi" w:cstheme="minorHAnsi"/>
          <w:color w:val="000000"/>
          <w:sz w:val="22"/>
          <w:szCs w:val="22"/>
        </w:rPr>
      </w:pPr>
      <w:r w:rsidRPr="0068094B">
        <w:rPr>
          <w:rFonts w:asciiTheme="minorHAnsi" w:hAnsiTheme="minorHAnsi" w:cstheme="minorHAnsi"/>
          <w:b/>
          <w:color w:val="000000"/>
          <w:sz w:val="22"/>
          <w:szCs w:val="22"/>
          <w:u w:val="single"/>
        </w:rPr>
        <w:t xml:space="preserve">Financial Assets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asset is a right to future economic benefits controlled by the Council that is represented by cash</w:t>
      </w:r>
      <w:r w:rsidR="00BD3EA0">
        <w:rPr>
          <w:rFonts w:asciiTheme="minorHAnsi" w:hAnsiTheme="minorHAnsi" w:cstheme="minorHAnsi"/>
          <w:color w:val="000000"/>
          <w:sz w:val="22"/>
          <w:szCs w:val="22"/>
        </w:rPr>
        <w:t>, equity instruments</w:t>
      </w:r>
      <w:r w:rsidRPr="0068094B">
        <w:rPr>
          <w:rFonts w:asciiTheme="minorHAnsi" w:hAnsiTheme="minorHAnsi" w:cstheme="minorHAnsi"/>
          <w:color w:val="000000"/>
          <w:sz w:val="22"/>
          <w:szCs w:val="22"/>
        </w:rPr>
        <w:t xml:space="preserve"> or a contractual right to receive cash or another financial asset</w:t>
      </w:r>
      <w:r w:rsidR="00BD3EA0">
        <w:rPr>
          <w:rFonts w:asciiTheme="minorHAnsi" w:hAnsiTheme="minorHAnsi" w:cstheme="minorHAnsi"/>
          <w:color w:val="000000"/>
          <w:sz w:val="22"/>
          <w:szCs w:val="22"/>
        </w:rPr>
        <w:t xml:space="preserve"> or a right to exchange financial assets and liabilities with another entity that is potentially favourable to the Council</w:t>
      </w:r>
      <w:r w:rsidR="00650803">
        <w:rPr>
          <w:rFonts w:asciiTheme="minorHAnsi" w:hAnsiTheme="minorHAnsi" w:cstheme="minorHAnsi"/>
          <w:color w:val="000000"/>
          <w:sz w:val="22"/>
          <w:szCs w:val="22"/>
        </w:rPr>
        <w:t>.</w:t>
      </w:r>
    </w:p>
    <w:p w:rsidR="00AD5B30" w:rsidRPr="0068094B" w:rsidRDefault="00AD5B30" w:rsidP="00AD5B30">
      <w:pPr>
        <w:rPr>
          <w:rFonts w:asciiTheme="minorHAnsi" w:hAnsiTheme="minorHAnsi" w:cstheme="minorHAnsi"/>
          <w:color w:val="000000"/>
          <w:sz w:val="22"/>
          <w:szCs w:val="22"/>
        </w:rPr>
      </w:pPr>
    </w:p>
    <w:p w:rsidR="00AD5B30" w:rsidRPr="0068094B" w:rsidRDefault="00AD5B30" w:rsidP="00AD5B30">
      <w:pPr>
        <w:rPr>
          <w:rFonts w:asciiTheme="minorHAnsi" w:hAnsiTheme="minorHAnsi" w:cstheme="minorHAnsi"/>
          <w:sz w:val="22"/>
          <w:szCs w:val="22"/>
        </w:rPr>
      </w:pPr>
      <w:r w:rsidRPr="0068094B">
        <w:rPr>
          <w:rFonts w:asciiTheme="minorHAnsi" w:hAnsiTheme="minorHAnsi" w:cstheme="minorHAnsi"/>
          <w:b/>
          <w:sz w:val="22"/>
          <w:szCs w:val="22"/>
          <w:u w:val="single"/>
        </w:rPr>
        <w:t>Offsetting Financial Assets and Liabilities</w:t>
      </w:r>
      <w:r w:rsidR="004475A2" w:rsidRPr="0068094B">
        <w:rPr>
          <w:rFonts w:asciiTheme="minorHAnsi" w:hAnsiTheme="minorHAnsi" w:cstheme="minorHAnsi"/>
          <w:b/>
          <w:sz w:val="22"/>
          <w:szCs w:val="22"/>
          <w:u w:val="single"/>
        </w:rPr>
        <w:t xml:space="preserve"> </w:t>
      </w:r>
      <w:r w:rsidR="00BD3EA0" w:rsidRPr="0044393D">
        <w:rPr>
          <w:rFonts w:asciiTheme="minorHAnsi" w:hAnsiTheme="minorHAnsi" w:cstheme="minorHAnsi"/>
          <w:sz w:val="22"/>
          <w:szCs w:val="22"/>
        </w:rPr>
        <w:t>Financial assets and liabilities are set off against each other where the Council has a legally enforceable</w:t>
      </w:r>
      <w:r w:rsidR="00BD3EA0" w:rsidRPr="00D64DD1">
        <w:rPr>
          <w:rFonts w:asciiTheme="minorHAnsi" w:hAnsiTheme="minorHAnsi" w:cstheme="minorHAnsi"/>
          <w:sz w:val="22"/>
          <w:szCs w:val="22"/>
        </w:rPr>
        <w:t xml:space="preserve"> right to set off and it intends to settle on a net basis, or to realise the asset and settle the liability simultaneously.</w:t>
      </w:r>
      <w:r w:rsidRPr="00D64DD1">
        <w:rPr>
          <w:rFonts w:asciiTheme="minorHAnsi" w:hAnsiTheme="minorHAnsi" w:cstheme="minorHAnsi"/>
          <w:sz w:val="22"/>
          <w:szCs w:val="22"/>
        </w:rPr>
        <w:t xml:space="preserve"> </w:t>
      </w:r>
    </w:p>
    <w:p w:rsidR="00AD5B30" w:rsidRPr="0068094B" w:rsidRDefault="00AD5B30" w:rsidP="00AD5B30">
      <w:pPr>
        <w:rPr>
          <w:rFonts w:asciiTheme="minorHAnsi" w:hAnsiTheme="minorHAnsi" w:cstheme="minorHAnsi"/>
          <w:color w:val="000000"/>
          <w:sz w:val="22"/>
          <w:szCs w:val="22"/>
        </w:rPr>
      </w:pPr>
    </w:p>
    <w:p w:rsidR="00BD3EA0" w:rsidRPr="0044393D" w:rsidRDefault="00104F5B" w:rsidP="00BD3EA0">
      <w:pPr>
        <w:rPr>
          <w:rFonts w:asciiTheme="minorHAnsi" w:hAnsiTheme="minorHAnsi" w:cstheme="minorHAnsi"/>
          <w:sz w:val="22"/>
          <w:szCs w:val="22"/>
        </w:rPr>
      </w:pPr>
      <w:r>
        <w:rPr>
          <w:rFonts w:asciiTheme="minorHAnsi" w:hAnsiTheme="minorHAnsi" w:cstheme="minorHAnsi"/>
          <w:b/>
          <w:sz w:val="22"/>
          <w:szCs w:val="22"/>
          <w:u w:val="single"/>
        </w:rPr>
        <w:t xml:space="preserve">Classification and </w:t>
      </w:r>
      <w:r w:rsidR="00EF1EB5">
        <w:rPr>
          <w:rFonts w:asciiTheme="minorHAnsi" w:hAnsiTheme="minorHAnsi" w:cstheme="minorHAnsi"/>
          <w:b/>
          <w:sz w:val="22"/>
          <w:szCs w:val="22"/>
          <w:u w:val="single"/>
        </w:rPr>
        <w:t>M</w:t>
      </w:r>
      <w:r>
        <w:rPr>
          <w:rFonts w:asciiTheme="minorHAnsi" w:hAnsiTheme="minorHAnsi" w:cstheme="minorHAnsi"/>
          <w:b/>
          <w:sz w:val="22"/>
          <w:szCs w:val="22"/>
          <w:u w:val="single"/>
        </w:rPr>
        <w:t xml:space="preserve">easurement </w:t>
      </w:r>
      <w:r w:rsidR="00BD3EA0" w:rsidRPr="00D64DD1">
        <w:rPr>
          <w:rFonts w:asciiTheme="minorHAnsi" w:hAnsiTheme="minorHAnsi" w:cstheme="minorHAnsi"/>
          <w:b/>
          <w:sz w:val="22"/>
          <w:szCs w:val="22"/>
          <w:u w:val="single"/>
        </w:rPr>
        <w:t xml:space="preserve">of </w:t>
      </w:r>
      <w:r w:rsidR="00EF1EB5">
        <w:rPr>
          <w:rFonts w:asciiTheme="minorHAnsi" w:hAnsiTheme="minorHAnsi" w:cstheme="minorHAnsi"/>
          <w:b/>
          <w:sz w:val="22"/>
          <w:szCs w:val="22"/>
          <w:u w:val="single"/>
        </w:rPr>
        <w:t>F</w:t>
      </w:r>
      <w:r w:rsidR="00BD3EA0" w:rsidRPr="00D64DD1">
        <w:rPr>
          <w:rFonts w:asciiTheme="minorHAnsi" w:hAnsiTheme="minorHAnsi" w:cstheme="minorHAnsi"/>
          <w:b/>
          <w:sz w:val="22"/>
          <w:szCs w:val="22"/>
          <w:u w:val="single"/>
        </w:rPr>
        <w:t>inancial</w:t>
      </w:r>
      <w:r w:rsidR="00EF1EB5">
        <w:rPr>
          <w:rFonts w:asciiTheme="minorHAnsi" w:hAnsiTheme="minorHAnsi" w:cstheme="minorHAnsi"/>
          <w:b/>
          <w:sz w:val="22"/>
          <w:szCs w:val="22"/>
          <w:u w:val="single"/>
        </w:rPr>
        <w:t xml:space="preserve"> A</w:t>
      </w:r>
      <w:r w:rsidR="00BD3EA0" w:rsidRPr="00D64DD1">
        <w:rPr>
          <w:rFonts w:asciiTheme="minorHAnsi" w:hAnsiTheme="minorHAnsi" w:cstheme="minorHAnsi"/>
          <w:b/>
          <w:sz w:val="22"/>
          <w:szCs w:val="22"/>
          <w:u w:val="single"/>
        </w:rPr>
        <w:t>ssets</w:t>
      </w:r>
      <w:r w:rsidR="00D64DD1">
        <w:rPr>
          <w:rFonts w:asciiTheme="minorHAnsi" w:hAnsiTheme="minorHAnsi" w:cstheme="minorHAnsi"/>
          <w:b/>
          <w:sz w:val="22"/>
          <w:szCs w:val="22"/>
          <w:u w:val="single"/>
        </w:rPr>
        <w:t>:</w:t>
      </w:r>
      <w:r w:rsidR="0025711F" w:rsidRPr="0025711F">
        <w:rPr>
          <w:rFonts w:asciiTheme="minorHAnsi" w:hAnsiTheme="minorHAnsi" w:cstheme="minorHAnsi"/>
          <w:b/>
          <w:sz w:val="22"/>
          <w:szCs w:val="22"/>
        </w:rPr>
        <w:t xml:space="preserve"> </w:t>
      </w:r>
      <w:r w:rsidR="00D64DD1" w:rsidRPr="0025711F">
        <w:rPr>
          <w:rFonts w:asciiTheme="minorHAnsi" w:hAnsiTheme="minorHAnsi" w:cstheme="minorHAnsi"/>
          <w:b/>
          <w:sz w:val="22"/>
          <w:szCs w:val="22"/>
        </w:rPr>
        <w:t xml:space="preserve"> </w:t>
      </w:r>
      <w:r w:rsidR="00BD3EA0" w:rsidRPr="0044393D">
        <w:rPr>
          <w:rFonts w:asciiTheme="minorHAnsi" w:hAnsiTheme="minorHAnsi" w:cstheme="minorHAnsi"/>
          <w:sz w:val="22"/>
          <w:szCs w:val="22"/>
        </w:rPr>
        <w:t>Financial assets are classified based on a classification and measurement approach that reflects the business model for holding the financial assets and their cash</w:t>
      </w:r>
      <w:r w:rsidR="00A76BE7">
        <w:rPr>
          <w:rFonts w:asciiTheme="minorHAnsi" w:hAnsiTheme="minorHAnsi" w:cstheme="minorHAnsi"/>
          <w:sz w:val="22"/>
          <w:szCs w:val="22"/>
        </w:rPr>
        <w:t xml:space="preserve"> </w:t>
      </w:r>
      <w:r w:rsidR="00BD3EA0" w:rsidRPr="0044393D">
        <w:rPr>
          <w:rFonts w:asciiTheme="minorHAnsi" w:hAnsiTheme="minorHAnsi" w:cstheme="minorHAnsi"/>
          <w:sz w:val="22"/>
          <w:szCs w:val="22"/>
        </w:rPr>
        <w:t>flow characteristics.</w:t>
      </w:r>
    </w:p>
    <w:p w:rsidR="00BD3EA0" w:rsidRPr="0044393D" w:rsidRDefault="00BD3EA0" w:rsidP="00BD3EA0">
      <w:pPr>
        <w:rPr>
          <w:rFonts w:asciiTheme="minorHAnsi" w:hAnsiTheme="minorHAnsi" w:cstheme="minorHAnsi"/>
          <w:sz w:val="22"/>
          <w:szCs w:val="22"/>
        </w:rPr>
      </w:pPr>
    </w:p>
    <w:p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 xml:space="preserve">There </w:t>
      </w:r>
      <w:r w:rsidRPr="00A82902">
        <w:rPr>
          <w:rFonts w:asciiTheme="minorHAnsi" w:hAnsiTheme="minorHAnsi" w:cstheme="minorHAnsi"/>
          <w:sz w:val="22"/>
          <w:szCs w:val="22"/>
        </w:rPr>
        <w:t>are t</w:t>
      </w:r>
      <w:r w:rsidR="00972FC4" w:rsidRPr="00A82902">
        <w:rPr>
          <w:rFonts w:asciiTheme="minorHAnsi" w:hAnsiTheme="minorHAnsi" w:cstheme="minorHAnsi"/>
          <w:sz w:val="22"/>
          <w:szCs w:val="22"/>
        </w:rPr>
        <w:t>wo</w:t>
      </w:r>
      <w:r w:rsidRPr="00A82902">
        <w:rPr>
          <w:rFonts w:asciiTheme="minorHAnsi" w:hAnsiTheme="minorHAnsi" w:cstheme="minorHAnsi"/>
          <w:sz w:val="22"/>
          <w:szCs w:val="22"/>
        </w:rPr>
        <w:t xml:space="preserve"> classes</w:t>
      </w:r>
      <w:r w:rsidRPr="0044393D">
        <w:rPr>
          <w:rFonts w:asciiTheme="minorHAnsi" w:hAnsiTheme="minorHAnsi" w:cstheme="minorHAnsi"/>
          <w:sz w:val="22"/>
          <w:szCs w:val="22"/>
        </w:rPr>
        <w:t xml:space="preserve"> of financial assets measured at:</w:t>
      </w:r>
    </w:p>
    <w:p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amortised cost</w:t>
      </w:r>
      <w:r w:rsidR="00901F88">
        <w:rPr>
          <w:rFonts w:asciiTheme="minorHAnsi" w:hAnsiTheme="minorHAnsi" w:cstheme="minorHAnsi"/>
          <w:sz w:val="22"/>
          <w:szCs w:val="22"/>
        </w:rPr>
        <w:t>; and,</w:t>
      </w:r>
    </w:p>
    <w:p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fair value th</w:t>
      </w:r>
      <w:r w:rsidR="00901F88">
        <w:rPr>
          <w:rFonts w:asciiTheme="minorHAnsi" w:hAnsiTheme="minorHAnsi" w:cstheme="minorHAnsi"/>
          <w:sz w:val="22"/>
          <w:szCs w:val="22"/>
        </w:rPr>
        <w:t>rough profit or loss (FVPL).</w:t>
      </w:r>
    </w:p>
    <w:p w:rsidR="00BD3EA0" w:rsidRPr="0044393D" w:rsidRDefault="00BD3EA0" w:rsidP="00BD3EA0">
      <w:pPr>
        <w:rPr>
          <w:rFonts w:asciiTheme="minorHAnsi" w:hAnsiTheme="minorHAnsi" w:cstheme="minorHAnsi"/>
          <w:sz w:val="22"/>
          <w:szCs w:val="22"/>
          <w:u w:val="single"/>
        </w:rPr>
      </w:pPr>
    </w:p>
    <w:p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The authority’s business model is to hold investments to collect contractual cash flows.  Financial assets are therefore classified as amortised cost, except for those whose contractual payments are not solely payment of principal and interest (i</w:t>
      </w:r>
      <w:r w:rsidR="00B427DF">
        <w:rPr>
          <w:rFonts w:asciiTheme="minorHAnsi" w:hAnsiTheme="minorHAnsi" w:cstheme="minorHAnsi"/>
          <w:sz w:val="22"/>
          <w:szCs w:val="22"/>
        </w:rPr>
        <w:t>.</w:t>
      </w:r>
      <w:r w:rsidRPr="0044393D">
        <w:rPr>
          <w:rFonts w:asciiTheme="minorHAnsi" w:hAnsiTheme="minorHAnsi" w:cstheme="minorHAnsi"/>
          <w:sz w:val="22"/>
          <w:szCs w:val="22"/>
        </w:rPr>
        <w:t>e</w:t>
      </w:r>
      <w:r w:rsidR="00B427DF">
        <w:rPr>
          <w:rFonts w:asciiTheme="minorHAnsi" w:hAnsiTheme="minorHAnsi" w:cstheme="minorHAnsi"/>
          <w:sz w:val="22"/>
          <w:szCs w:val="22"/>
        </w:rPr>
        <w:t>.</w:t>
      </w:r>
      <w:r w:rsidRPr="0044393D">
        <w:rPr>
          <w:rFonts w:asciiTheme="minorHAnsi" w:hAnsiTheme="minorHAnsi" w:cstheme="minorHAnsi"/>
          <w:sz w:val="22"/>
          <w:szCs w:val="22"/>
        </w:rPr>
        <w:t xml:space="preserve"> where the cash flows do not take the form of a basic debt instrument)</w:t>
      </w:r>
      <w:r w:rsidR="00C7306C">
        <w:rPr>
          <w:rFonts w:asciiTheme="minorHAnsi" w:hAnsiTheme="minorHAnsi" w:cstheme="minorHAnsi"/>
          <w:sz w:val="22"/>
          <w:szCs w:val="22"/>
        </w:rPr>
        <w:t>.</w:t>
      </w:r>
    </w:p>
    <w:p w:rsidR="00BD3EA0" w:rsidRPr="0044393D" w:rsidRDefault="00BD3EA0" w:rsidP="00BD3EA0">
      <w:pPr>
        <w:rPr>
          <w:rFonts w:asciiTheme="minorHAnsi" w:hAnsiTheme="minorHAnsi" w:cstheme="minorHAnsi"/>
          <w:sz w:val="22"/>
          <w:szCs w:val="22"/>
        </w:rPr>
      </w:pPr>
    </w:p>
    <w:p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 xml:space="preserve">Financial assets measured at amortised cost are recognised on the Balance Sheet when the authority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(CIES) for interest receivable are based on the carrying amount of the asset multiplied by the effective rate of interest for the instrument. For most of the financial assets held by the authority, this means that the amount presented in the Balance Sheet is the outstanding principal receivable (plus accrued interest) and interest credited to the CIES is the </w:t>
      </w:r>
      <w:r w:rsidRPr="0044393D">
        <w:rPr>
          <w:rFonts w:asciiTheme="minorHAnsi" w:hAnsiTheme="minorHAnsi" w:cstheme="minorHAnsi"/>
          <w:sz w:val="22"/>
          <w:szCs w:val="22"/>
        </w:rPr>
        <w:lastRenderedPageBreak/>
        <w:t>amount receivable for the year in the loan agreement.</w:t>
      </w:r>
    </w:p>
    <w:p w:rsidR="00BD3EA0" w:rsidRPr="0044393D" w:rsidRDefault="00BD3EA0" w:rsidP="00BD3EA0">
      <w:pPr>
        <w:rPr>
          <w:rFonts w:asciiTheme="minorHAnsi" w:hAnsiTheme="minorHAnsi" w:cstheme="minorHAnsi"/>
          <w:sz w:val="22"/>
          <w:szCs w:val="22"/>
        </w:rPr>
      </w:pPr>
    </w:p>
    <w:p w:rsidR="00FF668F" w:rsidRPr="00FF668F" w:rsidRDefault="00FF668F" w:rsidP="00FF668F">
      <w:pPr>
        <w:rPr>
          <w:rFonts w:asciiTheme="minorHAnsi" w:hAnsiTheme="minorHAnsi" w:cstheme="minorHAnsi"/>
          <w:sz w:val="22"/>
          <w:szCs w:val="22"/>
        </w:rPr>
      </w:pPr>
      <w:r w:rsidRPr="0044393D">
        <w:rPr>
          <w:rFonts w:asciiTheme="minorHAnsi" w:hAnsiTheme="minorHAnsi" w:cstheme="minorHAnsi"/>
          <w:b/>
          <w:sz w:val="22"/>
          <w:szCs w:val="22"/>
          <w:u w:val="single"/>
        </w:rPr>
        <w:t>Expected Credit Loss Model:</w:t>
      </w:r>
      <w:r w:rsidRPr="00C7306C">
        <w:rPr>
          <w:rFonts w:asciiTheme="minorHAnsi" w:hAnsiTheme="minorHAnsi" w:cstheme="minorHAnsi"/>
          <w:sz w:val="22"/>
          <w:szCs w:val="22"/>
        </w:rPr>
        <w:t xml:space="preserve">  </w:t>
      </w:r>
      <w:r w:rsidR="008E4F2A">
        <w:rPr>
          <w:rFonts w:asciiTheme="minorHAnsi" w:hAnsiTheme="minorHAnsi" w:cstheme="minorHAnsi"/>
          <w:sz w:val="22"/>
          <w:szCs w:val="22"/>
        </w:rPr>
        <w:t>E</w:t>
      </w:r>
      <w:r w:rsidRPr="00FF668F">
        <w:rPr>
          <w:rFonts w:asciiTheme="minorHAnsi" w:hAnsiTheme="minorHAnsi" w:cstheme="minorHAnsi"/>
          <w:sz w:val="22"/>
          <w:szCs w:val="22"/>
        </w:rPr>
        <w:t xml:space="preserve">xpected credit losses </w:t>
      </w:r>
      <w:r w:rsidR="008E4F2A">
        <w:rPr>
          <w:rFonts w:asciiTheme="minorHAnsi" w:hAnsiTheme="minorHAnsi" w:cstheme="minorHAnsi"/>
          <w:sz w:val="22"/>
          <w:szCs w:val="22"/>
        </w:rPr>
        <w:t xml:space="preserve">for </w:t>
      </w:r>
      <w:r w:rsidRPr="00FF668F">
        <w:rPr>
          <w:rFonts w:asciiTheme="minorHAnsi" w:hAnsiTheme="minorHAnsi" w:cstheme="minorHAnsi"/>
          <w:sz w:val="22"/>
          <w:szCs w:val="22"/>
        </w:rPr>
        <w:t>all of financial assets held at amortised cost</w:t>
      </w:r>
      <w:r w:rsidR="008E4F2A">
        <w:rPr>
          <w:rFonts w:asciiTheme="minorHAnsi" w:hAnsiTheme="minorHAnsi" w:cstheme="minorHAnsi"/>
          <w:sz w:val="22"/>
          <w:szCs w:val="22"/>
        </w:rPr>
        <w:t xml:space="preserve"> are recognised </w:t>
      </w:r>
      <w:r w:rsidRPr="00FF668F">
        <w:rPr>
          <w:rFonts w:asciiTheme="minorHAnsi" w:hAnsiTheme="minorHAnsi" w:cstheme="minorHAnsi"/>
          <w:sz w:val="22"/>
          <w:szCs w:val="22"/>
        </w:rPr>
        <w:t>either on a 12-month or lifetime basis. The expected credit loss model also applies to lease receivables, and contract assets and trade receivables with a significant financing component.</w:t>
      </w:r>
    </w:p>
    <w:p w:rsidR="00FF668F" w:rsidRPr="00FF668F" w:rsidRDefault="00FF668F" w:rsidP="00FF668F">
      <w:pPr>
        <w:rPr>
          <w:rFonts w:asciiTheme="minorHAnsi" w:hAnsiTheme="minorHAnsi" w:cstheme="minorHAnsi"/>
          <w:sz w:val="22"/>
          <w:szCs w:val="22"/>
        </w:rPr>
      </w:pPr>
    </w:p>
    <w:p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Impairment losses are calculated to reflect the expectation that the future cash flows might not take place because the borrower could default on their obligations. Credit risk plays a crucial part in assessing losses. </w:t>
      </w:r>
    </w:p>
    <w:p w:rsidR="00FF668F" w:rsidRPr="00FF668F" w:rsidRDefault="00FF668F" w:rsidP="00FF668F">
      <w:pPr>
        <w:rPr>
          <w:rFonts w:asciiTheme="minorHAnsi" w:hAnsiTheme="minorHAnsi" w:cstheme="minorHAnsi"/>
          <w:sz w:val="22"/>
          <w:szCs w:val="22"/>
        </w:rPr>
      </w:pPr>
    </w:p>
    <w:p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Where risk has increased significantly since an instrument was initially recognised, losses are assessed on a lifetime basis. Where risk has not increased significantly or remains low, losses are assessed on the basis of 12-month expected losses.</w:t>
      </w:r>
    </w:p>
    <w:p w:rsidR="00FF668F" w:rsidRPr="00FF668F" w:rsidRDefault="00FF668F" w:rsidP="00FF668F">
      <w:pPr>
        <w:rPr>
          <w:rFonts w:asciiTheme="minorHAnsi" w:hAnsiTheme="minorHAnsi" w:cstheme="minorHAnsi"/>
          <w:sz w:val="22"/>
          <w:szCs w:val="22"/>
        </w:rPr>
      </w:pPr>
    </w:p>
    <w:p w:rsid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For trade and contract receivables without a significant financing component the Council has applied a simplified approach consistently to calculate expected credit losses, under which impairment losses are automatically based on lifetime expected credit losses, removing the need to consider changes in credit risk since initial recognition</w:t>
      </w:r>
      <w:r w:rsidR="00367A2B">
        <w:rPr>
          <w:rFonts w:asciiTheme="minorHAnsi" w:hAnsiTheme="minorHAnsi" w:cstheme="minorHAnsi"/>
          <w:sz w:val="22"/>
          <w:szCs w:val="22"/>
        </w:rPr>
        <w:t>.</w:t>
      </w:r>
    </w:p>
    <w:p w:rsidR="00FF668F" w:rsidRDefault="00FF668F" w:rsidP="00FF668F">
      <w:pPr>
        <w:rPr>
          <w:rFonts w:asciiTheme="minorHAnsi" w:hAnsiTheme="minorHAnsi" w:cstheme="minorHAnsi"/>
          <w:sz w:val="22"/>
          <w:szCs w:val="22"/>
        </w:rPr>
      </w:pPr>
    </w:p>
    <w:p w:rsidR="00FF668F" w:rsidRDefault="00FF668F" w:rsidP="00FF668F">
      <w:pPr>
        <w:rPr>
          <w:rFonts w:asciiTheme="minorHAnsi" w:hAnsiTheme="minorHAnsi" w:cstheme="minorHAnsi"/>
          <w:sz w:val="22"/>
          <w:szCs w:val="22"/>
        </w:rPr>
      </w:pPr>
      <w:r>
        <w:rPr>
          <w:rFonts w:asciiTheme="minorHAnsi" w:hAnsiTheme="minorHAnsi" w:cstheme="minorHAnsi"/>
          <w:sz w:val="22"/>
          <w:szCs w:val="22"/>
        </w:rPr>
        <w:t>In accordance with the Code of Accounting Practice, no impairment loss allowance is recognised for monies owed by C</w:t>
      </w:r>
      <w:r w:rsidR="00825474">
        <w:rPr>
          <w:rFonts w:asciiTheme="minorHAnsi" w:hAnsiTheme="minorHAnsi" w:cstheme="minorHAnsi"/>
          <w:sz w:val="22"/>
          <w:szCs w:val="22"/>
        </w:rPr>
        <w:t>entral and Local G</w:t>
      </w:r>
      <w:r>
        <w:rPr>
          <w:rFonts w:asciiTheme="minorHAnsi" w:hAnsiTheme="minorHAnsi" w:cstheme="minorHAnsi"/>
          <w:sz w:val="22"/>
          <w:szCs w:val="22"/>
        </w:rPr>
        <w:t>overnment bodies</w:t>
      </w:r>
      <w:r w:rsidR="00104F5B">
        <w:rPr>
          <w:rFonts w:asciiTheme="minorHAnsi" w:hAnsiTheme="minorHAnsi" w:cstheme="minorHAnsi"/>
          <w:sz w:val="22"/>
          <w:szCs w:val="22"/>
        </w:rPr>
        <w:t xml:space="preserve">. </w:t>
      </w:r>
    </w:p>
    <w:p w:rsidR="00FF668F" w:rsidRPr="0044393D" w:rsidRDefault="00FF668F" w:rsidP="00BD3EA0">
      <w:pPr>
        <w:rPr>
          <w:rFonts w:asciiTheme="minorHAnsi" w:hAnsiTheme="minorHAnsi" w:cstheme="minorHAnsi"/>
          <w:sz w:val="22"/>
          <w:szCs w:val="22"/>
          <w:u w:val="single"/>
        </w:rPr>
      </w:pPr>
    </w:p>
    <w:p w:rsidR="004475A2" w:rsidRPr="0068094B" w:rsidRDefault="004475A2" w:rsidP="004475A2">
      <w:pPr>
        <w:pStyle w:val="BodyText"/>
        <w:rPr>
          <w:rFonts w:asciiTheme="minorHAnsi" w:hAnsiTheme="minorHAnsi" w:cstheme="minorHAnsi"/>
          <w:b/>
          <w:strike w:val="0"/>
          <w:color w:val="000000"/>
          <w:sz w:val="22"/>
          <w:szCs w:val="22"/>
          <w:u w:val="single"/>
        </w:rPr>
      </w:pPr>
      <w:r w:rsidRPr="0068094B">
        <w:rPr>
          <w:rFonts w:asciiTheme="minorHAnsi" w:hAnsiTheme="minorHAnsi" w:cstheme="minorHAnsi"/>
          <w:b/>
          <w:strike w:val="0"/>
          <w:color w:val="000000"/>
          <w:sz w:val="22"/>
          <w:szCs w:val="22"/>
          <w:u w:val="single"/>
        </w:rPr>
        <w:t xml:space="preserve">Fair Values </w:t>
      </w:r>
    </w:p>
    <w:p w:rsidR="004475A2" w:rsidRPr="0068094B" w:rsidRDefault="004475A2" w:rsidP="004475A2">
      <w:pPr>
        <w:pStyle w:val="BodyText"/>
        <w:rPr>
          <w:rFonts w:asciiTheme="minorHAnsi" w:hAnsiTheme="minorHAnsi" w:cstheme="minorHAnsi"/>
          <w:b/>
          <w:strike w:val="0"/>
          <w:color w:val="000000"/>
          <w:sz w:val="22"/>
          <w:szCs w:val="22"/>
          <w:u w:val="single"/>
        </w:rPr>
      </w:pPr>
    </w:p>
    <w:p w:rsidR="004475A2" w:rsidRPr="0068094B" w:rsidRDefault="004475A2" w:rsidP="004475A2">
      <w:pPr>
        <w:rPr>
          <w:rFonts w:asciiTheme="minorHAnsi" w:hAnsiTheme="minorHAnsi" w:cstheme="minorHAnsi"/>
          <w:sz w:val="22"/>
          <w:szCs w:val="22"/>
        </w:rPr>
      </w:pPr>
      <w:r w:rsidRPr="0068094B">
        <w:rPr>
          <w:rFonts w:asciiTheme="minorHAnsi" w:hAnsiTheme="minorHAnsi" w:cstheme="minorHAnsi"/>
          <w:sz w:val="22"/>
          <w:szCs w:val="22"/>
        </w:rPr>
        <w:t xml:space="preserve">Fair values are shown in </w:t>
      </w:r>
      <w:r w:rsidRPr="00731338">
        <w:rPr>
          <w:rFonts w:asciiTheme="minorHAnsi" w:hAnsiTheme="minorHAnsi" w:cstheme="minorHAnsi"/>
          <w:sz w:val="22"/>
          <w:szCs w:val="22"/>
        </w:rPr>
        <w:t>note 1</w:t>
      </w:r>
      <w:r w:rsidR="00731338" w:rsidRPr="00731338">
        <w:rPr>
          <w:rFonts w:asciiTheme="minorHAnsi" w:hAnsiTheme="minorHAnsi" w:cstheme="minorHAnsi"/>
          <w:sz w:val="22"/>
          <w:szCs w:val="22"/>
        </w:rPr>
        <w:t>5</w:t>
      </w:r>
      <w:r w:rsidRPr="00731338">
        <w:rPr>
          <w:rFonts w:asciiTheme="minorHAnsi" w:hAnsiTheme="minorHAnsi" w:cstheme="minorHAnsi"/>
          <w:sz w:val="22"/>
          <w:szCs w:val="22"/>
        </w:rPr>
        <w:t>,</w:t>
      </w:r>
      <w:r w:rsidRPr="0068094B">
        <w:rPr>
          <w:rFonts w:asciiTheme="minorHAnsi" w:hAnsiTheme="minorHAnsi" w:cstheme="minorHAnsi"/>
          <w:sz w:val="22"/>
          <w:szCs w:val="22"/>
        </w:rPr>
        <w:t xml:space="preserve"> split by their level in the fair value hierarchy:</w:t>
      </w:r>
      <w:r w:rsidRPr="0068094B">
        <w:rPr>
          <w:rFonts w:asciiTheme="minorHAnsi" w:hAnsiTheme="minorHAnsi" w:cstheme="minorHAnsi"/>
          <w:sz w:val="22"/>
          <w:szCs w:val="22"/>
        </w:rPr>
        <w:br/>
      </w:r>
    </w:p>
    <w:p w:rsidR="004475A2" w:rsidRDefault="004475A2" w:rsidP="007D7B32">
      <w:pPr>
        <w:pStyle w:val="ListParagraph"/>
        <w:numPr>
          <w:ilvl w:val="0"/>
          <w:numId w:val="44"/>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1 – fair value is only derived from quoted prices in active markets for identical assets or liabilities</w:t>
      </w:r>
      <w:r w:rsidR="008E4F2A">
        <w:rPr>
          <w:rFonts w:asciiTheme="minorHAnsi" w:hAnsiTheme="minorHAnsi" w:cstheme="minorHAnsi"/>
          <w:szCs w:val="22"/>
        </w:rPr>
        <w:br/>
      </w:r>
    </w:p>
    <w:p w:rsidR="00FF668F" w:rsidRPr="00A82902" w:rsidRDefault="00FF668F" w:rsidP="0044393D">
      <w:pPr>
        <w:pStyle w:val="ListParagraph"/>
        <w:numPr>
          <w:ilvl w:val="1"/>
          <w:numId w:val="44"/>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For the Council’s investments in externally managed pooled funds</w:t>
      </w:r>
      <w:r w:rsidR="00EB5FF8" w:rsidRPr="00A82902">
        <w:rPr>
          <w:rFonts w:asciiTheme="minorHAnsi" w:hAnsiTheme="minorHAnsi" w:cstheme="minorHAnsi"/>
          <w:szCs w:val="22"/>
          <w:lang w:val="en-US"/>
        </w:rPr>
        <w:t xml:space="preserve"> (other than the CCLA property fund)</w:t>
      </w:r>
      <w:r w:rsidRPr="00A82902">
        <w:rPr>
          <w:rFonts w:asciiTheme="minorHAnsi" w:hAnsiTheme="minorHAnsi" w:cstheme="minorHAnsi"/>
          <w:szCs w:val="22"/>
          <w:lang w:val="en-US"/>
        </w:rPr>
        <w:t xml:space="preserve">, fund values published by the fund manager </w:t>
      </w:r>
      <w:r w:rsidRPr="00A82902">
        <w:rPr>
          <w:rFonts w:asciiTheme="minorHAnsi" w:hAnsiTheme="minorHAnsi" w:cstheme="minorHAnsi"/>
          <w:szCs w:val="22"/>
        </w:rPr>
        <w:t xml:space="preserve">have been used as these </w:t>
      </w:r>
      <w:r w:rsidRPr="00A82902">
        <w:rPr>
          <w:rFonts w:asciiTheme="minorHAnsi" w:hAnsiTheme="minorHAnsi" w:cstheme="minorHAnsi"/>
          <w:szCs w:val="22"/>
          <w:lang w:val="en-US"/>
        </w:rPr>
        <w:t>represent the prices in the principal market within which the Council would normally enter into a transaction to sell the asset.</w:t>
      </w:r>
      <w:r w:rsidR="008E4F2A" w:rsidRPr="00A82902">
        <w:rPr>
          <w:rFonts w:asciiTheme="minorHAnsi" w:hAnsiTheme="minorHAnsi" w:cstheme="minorHAnsi"/>
          <w:szCs w:val="22"/>
          <w:lang w:val="en-US"/>
        </w:rPr>
        <w:br/>
      </w:r>
    </w:p>
    <w:p w:rsidR="00FF668F" w:rsidRPr="00A82902" w:rsidRDefault="00FF668F" w:rsidP="0044393D">
      <w:pPr>
        <w:pStyle w:val="ListParagraph"/>
        <w:numPr>
          <w:ilvl w:val="1"/>
          <w:numId w:val="44"/>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w:t>
      </w:r>
      <w:r w:rsidRPr="00A82902">
        <w:rPr>
          <w:rFonts w:asciiTheme="minorHAnsi" w:hAnsiTheme="minorHAnsi" w:cstheme="minorHAnsi"/>
          <w:szCs w:val="22"/>
        </w:rPr>
        <w:t>the Stable or Low Volatility Net Asset Value money market funds, the valuation used assumes that, for each £1 for every of principal invested, the fund will return £1 of principal on withdrawal by the Council, plus interest.</w:t>
      </w:r>
      <w:r w:rsidR="008E4F2A" w:rsidRPr="00A82902">
        <w:rPr>
          <w:rFonts w:asciiTheme="minorHAnsi" w:hAnsiTheme="minorHAnsi" w:cstheme="minorHAnsi"/>
          <w:szCs w:val="22"/>
        </w:rPr>
        <w:br/>
      </w:r>
    </w:p>
    <w:p w:rsidR="00EB5FF8" w:rsidRPr="00A82902" w:rsidRDefault="004475A2" w:rsidP="007D7B32">
      <w:pPr>
        <w:pStyle w:val="ListParagraph"/>
        <w:numPr>
          <w:ilvl w:val="0"/>
          <w:numId w:val="44"/>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rPr>
        <w:t>Level 2 – fair value is calculated from inputs other than quoted prices that are observable for the asset or liability, e.g. interest rates or yields for similar instruments</w:t>
      </w:r>
      <w:r w:rsidR="00825474" w:rsidRPr="00A82902">
        <w:rPr>
          <w:rFonts w:asciiTheme="minorHAnsi" w:hAnsiTheme="minorHAnsi" w:cstheme="minorHAnsi"/>
          <w:szCs w:val="22"/>
        </w:rPr>
        <w:t>.</w:t>
      </w:r>
    </w:p>
    <w:p w:rsidR="004475A2" w:rsidRPr="00A82902" w:rsidRDefault="00EB5FF8" w:rsidP="00EB5FF8">
      <w:pPr>
        <w:pStyle w:val="ListParagraph"/>
        <w:numPr>
          <w:ilvl w:val="1"/>
          <w:numId w:val="44"/>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rPr>
        <w:t>For the Council’s investments with the CCLA local property fund the fair value uses level 2 inputs following the suspension of dealing for this fund in March 2020. Further information is contained in note 5.</w:t>
      </w:r>
      <w:r w:rsidR="008E4F2A" w:rsidRPr="00A82902">
        <w:rPr>
          <w:rFonts w:asciiTheme="minorHAnsi" w:hAnsiTheme="minorHAnsi" w:cstheme="minorHAnsi"/>
          <w:szCs w:val="22"/>
        </w:rPr>
        <w:br/>
      </w:r>
    </w:p>
    <w:p w:rsidR="00D64DD1" w:rsidRDefault="004475A2" w:rsidP="00D64DD1">
      <w:pPr>
        <w:pStyle w:val="ListParagraph"/>
        <w:numPr>
          <w:ilvl w:val="0"/>
          <w:numId w:val="44"/>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3 – fair value is determined using unobservable inputs, e.g. non-market data such as cash flow forecasts or estimated creditworthiness</w:t>
      </w:r>
      <w:r w:rsidR="00367A2B">
        <w:rPr>
          <w:rFonts w:asciiTheme="minorHAnsi" w:hAnsiTheme="minorHAnsi" w:cstheme="minorHAnsi"/>
          <w:szCs w:val="22"/>
        </w:rPr>
        <w:t>.</w:t>
      </w:r>
    </w:p>
    <w:p w:rsidR="008E4F2A" w:rsidRDefault="008E4F2A" w:rsidP="008E4F2A">
      <w:pPr>
        <w:suppressAutoHyphens w:val="0"/>
        <w:spacing w:line="276" w:lineRule="auto"/>
        <w:rPr>
          <w:rFonts w:asciiTheme="minorHAnsi" w:hAnsiTheme="minorHAnsi" w:cstheme="minorHAnsi"/>
          <w:szCs w:val="22"/>
        </w:rPr>
      </w:pPr>
    </w:p>
    <w:p w:rsidR="008E4F2A" w:rsidRPr="0044393D" w:rsidRDefault="008E4F2A" w:rsidP="008E4F2A">
      <w:pPr>
        <w:suppressAutoHyphens w:val="0"/>
        <w:spacing w:line="276" w:lineRule="auto"/>
        <w:rPr>
          <w:rFonts w:asciiTheme="minorHAnsi" w:hAnsiTheme="minorHAnsi" w:cstheme="minorHAnsi"/>
          <w:sz w:val="22"/>
          <w:szCs w:val="22"/>
        </w:rPr>
      </w:pPr>
      <w:r w:rsidRPr="0044393D">
        <w:rPr>
          <w:rFonts w:asciiTheme="minorHAnsi" w:hAnsiTheme="minorHAnsi" w:cstheme="minorHAnsi"/>
          <w:sz w:val="22"/>
          <w:szCs w:val="22"/>
        </w:rPr>
        <w:t xml:space="preserve">Financial instruments classified at amortised cost are carried in the Balance Sheet at amortised cost.  Their fair values have been estimated by calculating the net present value of the remaining </w:t>
      </w:r>
      <w:r w:rsidRPr="0044393D">
        <w:rPr>
          <w:rFonts w:asciiTheme="minorHAnsi" w:hAnsiTheme="minorHAnsi" w:cstheme="minorHAnsi"/>
          <w:sz w:val="22"/>
          <w:szCs w:val="22"/>
        </w:rPr>
        <w:lastRenderedPageBreak/>
        <w:t>contractual cash flows at 31st March 20</w:t>
      </w:r>
      <w:r w:rsidR="00A76BE7">
        <w:rPr>
          <w:rFonts w:asciiTheme="minorHAnsi" w:hAnsiTheme="minorHAnsi" w:cstheme="minorHAnsi"/>
          <w:sz w:val="22"/>
          <w:szCs w:val="22"/>
        </w:rPr>
        <w:t>20</w:t>
      </w:r>
      <w:r w:rsidRPr="0044393D">
        <w:rPr>
          <w:rFonts w:asciiTheme="minorHAnsi" w:hAnsiTheme="minorHAnsi" w:cstheme="minorHAnsi"/>
          <w:sz w:val="22"/>
          <w:szCs w:val="22"/>
        </w:rPr>
        <w:t>, using the following methods and assumptions:</w:t>
      </w:r>
      <w:r w:rsidRPr="0044393D">
        <w:rPr>
          <w:rFonts w:asciiTheme="minorHAnsi" w:hAnsiTheme="minorHAnsi" w:cstheme="minorHAnsi"/>
          <w:sz w:val="22"/>
          <w:szCs w:val="22"/>
        </w:rPr>
        <w:br/>
      </w:r>
    </w:p>
    <w:p w:rsidR="008E4F2A" w:rsidRPr="0044393D" w:rsidRDefault="008E4F2A" w:rsidP="0044393D">
      <w:pPr>
        <w:pStyle w:val="ListParagraph"/>
        <w:numPr>
          <w:ilvl w:val="0"/>
          <w:numId w:val="36"/>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values of other long-term loans and investments have been discounted at the market rates for similar instruments with similar remaining terms to maturity on 31st March.</w:t>
      </w:r>
      <w:r>
        <w:rPr>
          <w:rFonts w:asciiTheme="minorHAnsi" w:hAnsiTheme="minorHAnsi" w:cstheme="minorHAnsi"/>
          <w:szCs w:val="22"/>
        </w:rPr>
        <w:br/>
      </w:r>
    </w:p>
    <w:p w:rsidR="008E4F2A" w:rsidRPr="0044393D" w:rsidRDefault="008E4F2A" w:rsidP="0044393D">
      <w:pPr>
        <w:pStyle w:val="ListParagraph"/>
        <w:numPr>
          <w:ilvl w:val="0"/>
          <w:numId w:val="36"/>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values of finance lease assets and liabilities have been calculated by discounting the contractual cash flows (excluding service charge elements) at the appropriate corporate bond yield</w:t>
      </w:r>
      <w:r w:rsidR="00825474">
        <w:rPr>
          <w:rFonts w:asciiTheme="minorHAnsi" w:hAnsiTheme="minorHAnsi" w:cstheme="minorHAnsi"/>
          <w:szCs w:val="22"/>
        </w:rPr>
        <w:t>, except where it is judged that this is not appropriate.</w:t>
      </w:r>
      <w:r>
        <w:rPr>
          <w:rFonts w:asciiTheme="minorHAnsi" w:hAnsiTheme="minorHAnsi" w:cstheme="minorHAnsi"/>
          <w:szCs w:val="22"/>
        </w:rPr>
        <w:br/>
      </w:r>
    </w:p>
    <w:p w:rsidR="00D64DD1" w:rsidRPr="0044393D" w:rsidRDefault="008E4F2A" w:rsidP="0044393D">
      <w:pPr>
        <w:pStyle w:val="ListParagraph"/>
        <w:numPr>
          <w:ilvl w:val="0"/>
          <w:numId w:val="36"/>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 of short-term instruments, including trade payables and receivables, is assumed to approximate to the carrying amount given the low and stable interest rate environment.</w:t>
      </w:r>
    </w:p>
    <w:p w:rsidR="00FF668F" w:rsidRDefault="00FF668F" w:rsidP="00D64DD1">
      <w:pPr>
        <w:rPr>
          <w:rFonts w:asciiTheme="minorHAnsi" w:hAnsiTheme="minorHAnsi" w:cstheme="minorHAnsi"/>
          <w:sz w:val="22"/>
          <w:szCs w:val="22"/>
        </w:rPr>
      </w:pPr>
    </w:p>
    <w:p w:rsidR="00D64DD1" w:rsidRPr="0044393D" w:rsidRDefault="00D64DD1" w:rsidP="00D64DD1">
      <w:pPr>
        <w:rPr>
          <w:rFonts w:asciiTheme="minorHAnsi" w:hAnsiTheme="minorHAnsi" w:cstheme="minorHAnsi"/>
          <w:sz w:val="22"/>
          <w:szCs w:val="22"/>
        </w:rPr>
      </w:pPr>
      <w:r w:rsidRPr="0044393D">
        <w:rPr>
          <w:rFonts w:asciiTheme="minorHAnsi" w:hAnsiTheme="minorHAnsi" w:cstheme="minorHAnsi"/>
          <w:sz w:val="22"/>
          <w:szCs w:val="22"/>
        </w:rPr>
        <w:t>The Council has not to date designated any Financial Assets as F</w:t>
      </w:r>
      <w:r w:rsidR="00C02044">
        <w:rPr>
          <w:rFonts w:asciiTheme="minorHAnsi" w:hAnsiTheme="minorHAnsi" w:cstheme="minorHAnsi"/>
          <w:sz w:val="22"/>
          <w:szCs w:val="22"/>
        </w:rPr>
        <w:t xml:space="preserve">air </w:t>
      </w:r>
      <w:r w:rsidRPr="0044393D">
        <w:rPr>
          <w:rFonts w:asciiTheme="minorHAnsi" w:hAnsiTheme="minorHAnsi" w:cstheme="minorHAnsi"/>
          <w:sz w:val="22"/>
          <w:szCs w:val="22"/>
        </w:rPr>
        <w:t>V</w:t>
      </w:r>
      <w:r w:rsidR="00C02044">
        <w:rPr>
          <w:rFonts w:asciiTheme="minorHAnsi" w:hAnsiTheme="minorHAnsi" w:cstheme="minorHAnsi"/>
          <w:sz w:val="22"/>
          <w:szCs w:val="22"/>
        </w:rPr>
        <w:t>alue through other comprehensive income.</w:t>
      </w:r>
    </w:p>
    <w:p w:rsidR="00C02A61" w:rsidRPr="0068094B" w:rsidRDefault="00C02A61" w:rsidP="00C02A61">
      <w:pPr>
        <w:pStyle w:val="ListParagraph"/>
        <w:tabs>
          <w:tab w:val="left" w:pos="540"/>
        </w:tabs>
        <w:rPr>
          <w:rFonts w:asciiTheme="minorHAnsi" w:hAnsiTheme="minorHAnsi" w:cstheme="minorHAnsi"/>
          <w:b/>
          <w:bCs/>
          <w:szCs w:val="22"/>
        </w:rPr>
      </w:pPr>
    </w:p>
    <w:p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Government Grants and Contributions</w:t>
      </w:r>
    </w:p>
    <w:p w:rsidR="00C02A61" w:rsidRPr="006C19E9" w:rsidRDefault="00C02A61" w:rsidP="00C02A61">
      <w:pPr>
        <w:pStyle w:val="ListParagraph"/>
        <w:tabs>
          <w:tab w:val="left" w:pos="540"/>
        </w:tabs>
        <w:rPr>
          <w:rFonts w:asciiTheme="minorHAnsi" w:hAnsiTheme="minorHAnsi" w:cstheme="minorHAnsi"/>
          <w:b/>
          <w:bCs/>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Whether paid on account, by instalments or in arrears, government grants and third party</w:t>
      </w:r>
      <w:r w:rsidR="00367A2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 xml:space="preserve">contributions and donations are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when there is reasonable assurance that:</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7D7B32">
      <w:pPr>
        <w:pStyle w:val="ListParagraph"/>
        <w:numPr>
          <w:ilvl w:val="0"/>
          <w:numId w:val="35"/>
        </w:numPr>
        <w:rPr>
          <w:rFonts w:asciiTheme="minorHAnsi" w:hAnsiTheme="minorHAnsi" w:cstheme="minorHAnsi"/>
          <w:color w:val="000000"/>
          <w:szCs w:val="22"/>
        </w:rPr>
      </w:pPr>
      <w:r w:rsidRPr="0068094B">
        <w:rPr>
          <w:rFonts w:asciiTheme="minorHAnsi" w:hAnsiTheme="minorHAnsi" w:cstheme="minorHAnsi"/>
          <w:color w:val="000000"/>
          <w:szCs w:val="22"/>
        </w:rPr>
        <w:t xml:space="preserve">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will comply with the conditions attached to the payments, and</w:t>
      </w:r>
    </w:p>
    <w:p w:rsidR="00C02A61" w:rsidRPr="0068094B" w:rsidRDefault="00C02A61" w:rsidP="007D7B32">
      <w:pPr>
        <w:pStyle w:val="ListParagraph"/>
        <w:numPr>
          <w:ilvl w:val="0"/>
          <w:numId w:val="35"/>
        </w:numPr>
        <w:rPr>
          <w:rFonts w:asciiTheme="minorHAnsi" w:hAnsiTheme="minorHAnsi" w:cstheme="minorHAnsi"/>
          <w:color w:val="000000"/>
          <w:szCs w:val="22"/>
        </w:rPr>
      </w:pPr>
      <w:r w:rsidRPr="0068094B">
        <w:rPr>
          <w:rFonts w:asciiTheme="minorHAnsi" w:hAnsiTheme="minorHAnsi" w:cstheme="minorHAnsi"/>
          <w:color w:val="000000"/>
          <w:szCs w:val="22"/>
        </w:rPr>
        <w:t>the grants or contributions will be received.</w:t>
      </w:r>
    </w:p>
    <w:p w:rsidR="00C02A61" w:rsidRPr="0068094B" w:rsidRDefault="00C02A61" w:rsidP="00C02A61">
      <w:pPr>
        <w:autoSpaceDE w:val="0"/>
        <w:ind w:left="1080"/>
        <w:rPr>
          <w:rFonts w:asciiTheme="minorHAnsi" w:hAnsiTheme="minorHAnsi" w:cstheme="minorHAnsi"/>
          <w:color w:val="000000"/>
          <w:sz w:val="22"/>
          <w:szCs w:val="22"/>
        </w:rPr>
      </w:pPr>
    </w:p>
    <w:p w:rsidR="00455E45" w:rsidRPr="0068094B" w:rsidRDefault="00C02A61" w:rsidP="00C02A61">
      <w:pPr>
        <w:autoSpaceDE w:val="0"/>
        <w:rPr>
          <w:rFonts w:asciiTheme="minorHAnsi" w:hAnsiTheme="minorHAnsi" w:cstheme="minorHAnsi"/>
          <w:sz w:val="22"/>
          <w:szCs w:val="22"/>
        </w:rPr>
      </w:pPr>
      <w:r w:rsidRPr="0068094B">
        <w:rPr>
          <w:rFonts w:asciiTheme="minorHAnsi" w:hAnsiTheme="minorHAnsi" w:cstheme="minorHAnsi"/>
          <w:color w:val="000000"/>
          <w:sz w:val="22"/>
          <w:szCs w:val="22"/>
        </w:rPr>
        <w:t xml:space="preserve">Amounts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are not credited to the Comprehensive Income and Expenditure Statement until conditions attached to the grant or contribution have been satisfied. </w:t>
      </w:r>
    </w:p>
    <w:p w:rsidR="00C02A61" w:rsidRPr="0068094B" w:rsidRDefault="00C02A61" w:rsidP="00DD6974">
      <w:pPr>
        <w:pStyle w:val="ListParagraph"/>
        <w:tabs>
          <w:tab w:val="left" w:pos="540"/>
        </w:tabs>
        <w:rPr>
          <w:rFonts w:asciiTheme="minorHAnsi" w:hAnsiTheme="minorHAnsi" w:cstheme="minorHAnsi"/>
          <w:b/>
          <w:bCs/>
          <w:szCs w:val="22"/>
        </w:rPr>
      </w:pPr>
    </w:p>
    <w:p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Investment Property</w:t>
      </w:r>
    </w:p>
    <w:p w:rsidR="00C02A61" w:rsidRPr="0068094B" w:rsidRDefault="00C02A61" w:rsidP="00C02A61">
      <w:pPr>
        <w:pStyle w:val="ListParagraph"/>
        <w:tabs>
          <w:tab w:val="left" w:pos="540"/>
        </w:tabs>
        <w:rPr>
          <w:rFonts w:asciiTheme="minorHAnsi" w:hAnsiTheme="minorHAnsi" w:cstheme="minorHAnsi"/>
          <w:b/>
          <w:bCs/>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Investment properties are those that are used solely to earn rentals and/or for capital appreciation. The definition is not met if the property is used in any way to facilitate the delivery of services or production of goods or is held for sale.</w:t>
      </w:r>
    </w:p>
    <w:p w:rsidR="00C02A61" w:rsidRPr="0068094B" w:rsidRDefault="00C02A61" w:rsidP="00C02A61">
      <w:pPr>
        <w:autoSpaceDE w:val="0"/>
        <w:rPr>
          <w:rFonts w:asciiTheme="minorHAnsi" w:hAnsiTheme="minorHAnsi" w:cstheme="minorHAnsi"/>
          <w:color w:val="000000"/>
          <w:sz w:val="22"/>
          <w:szCs w:val="22"/>
          <w:shd w:val="clear" w:color="auto" w:fill="00FFFF"/>
        </w:rPr>
      </w:pPr>
    </w:p>
    <w:p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Leases</w:t>
      </w:r>
    </w:p>
    <w:p w:rsidR="00C02A61" w:rsidRPr="0068094B" w:rsidRDefault="00C02A61" w:rsidP="00C02A61">
      <w:pPr>
        <w:pStyle w:val="ListParagraph"/>
        <w:tabs>
          <w:tab w:val="left" w:pos="540"/>
        </w:tabs>
        <w:rPr>
          <w:rFonts w:asciiTheme="minorHAnsi" w:hAnsiTheme="minorHAnsi" w:cstheme="minorHAnsi"/>
          <w:b/>
          <w:bCs/>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Leases are classified as finance leases where the terms of the lease transfer substantially all the risks and rewards incidental to ownership of the property, plant or equipment from the lessor to the lessee. All other leases are classified as operating leases.</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Where a lease covers both land and buildings, the land and buildings elements are considered</w:t>
      </w:r>
      <w:r w:rsidR="00A754D6"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separately for classification.</w:t>
      </w:r>
    </w:p>
    <w:p w:rsidR="00C02A61" w:rsidRPr="0068094B" w:rsidRDefault="00C02A61" w:rsidP="00C02A61">
      <w:pPr>
        <w:autoSpaceDE w:val="0"/>
        <w:ind w:firstLine="720"/>
        <w:rPr>
          <w:rFonts w:asciiTheme="minorHAnsi" w:hAnsiTheme="minorHAnsi" w:cstheme="minorHAnsi"/>
          <w:b/>
          <w:bCs/>
          <w:color w:val="000000" w:themeColor="text1"/>
          <w:sz w:val="22"/>
          <w:szCs w:val="22"/>
          <w:shd w:val="clear" w:color="auto" w:fill="00FFFF"/>
        </w:rPr>
      </w:pPr>
    </w:p>
    <w:p w:rsidR="00B82972" w:rsidRPr="0068094B" w:rsidRDefault="00FD65CD" w:rsidP="00A754D6">
      <w:pPr>
        <w:autoSpaceDE w:val="0"/>
        <w:rPr>
          <w:rFonts w:asciiTheme="minorHAnsi" w:hAnsiTheme="minorHAnsi" w:cstheme="minorHAnsi"/>
          <w:color w:val="000000" w:themeColor="text1"/>
          <w:sz w:val="22"/>
          <w:szCs w:val="22"/>
        </w:rPr>
      </w:pPr>
      <w:r w:rsidRPr="0068094B">
        <w:rPr>
          <w:rFonts w:asciiTheme="minorHAnsi" w:hAnsiTheme="minorHAnsi" w:cstheme="minorHAnsi"/>
          <w:color w:val="000000" w:themeColor="text1"/>
          <w:sz w:val="22"/>
          <w:szCs w:val="22"/>
        </w:rPr>
        <w:t xml:space="preserve">Property plant and equipment held under finance leases is recognised on the </w:t>
      </w:r>
      <w:r w:rsidR="00CA6D5A" w:rsidRPr="0068094B">
        <w:rPr>
          <w:rFonts w:asciiTheme="minorHAnsi" w:hAnsiTheme="minorHAnsi" w:cstheme="minorHAnsi"/>
          <w:color w:val="000000" w:themeColor="text1"/>
          <w:sz w:val="22"/>
          <w:szCs w:val="22"/>
        </w:rPr>
        <w:t>B</w:t>
      </w:r>
      <w:r w:rsidRPr="0068094B">
        <w:rPr>
          <w:rFonts w:asciiTheme="minorHAnsi" w:hAnsiTheme="minorHAnsi" w:cstheme="minorHAnsi"/>
          <w:color w:val="000000" w:themeColor="text1"/>
          <w:sz w:val="22"/>
          <w:szCs w:val="22"/>
        </w:rPr>
        <w:t xml:space="preserve">alance </w:t>
      </w:r>
      <w:r w:rsidR="00CA6D5A" w:rsidRPr="0068094B">
        <w:rPr>
          <w:rFonts w:asciiTheme="minorHAnsi" w:hAnsiTheme="minorHAnsi" w:cstheme="minorHAnsi"/>
          <w:color w:val="000000" w:themeColor="text1"/>
          <w:sz w:val="22"/>
          <w:szCs w:val="22"/>
        </w:rPr>
        <w:t>S</w:t>
      </w:r>
      <w:r w:rsidRPr="0068094B">
        <w:rPr>
          <w:rFonts w:asciiTheme="minorHAnsi" w:hAnsiTheme="minorHAnsi" w:cstheme="minorHAnsi"/>
          <w:color w:val="000000" w:themeColor="text1"/>
          <w:sz w:val="22"/>
          <w:szCs w:val="22"/>
        </w:rPr>
        <w:t>heet at the commencement of the lease at its fair value measured at the inception of the lease (or the present value of future lease rentals of the minimum lease rentals, if lower).</w:t>
      </w:r>
    </w:p>
    <w:p w:rsidR="00FD65CD" w:rsidRPr="0068094B" w:rsidRDefault="00FD65CD" w:rsidP="00FD65CD">
      <w:pPr>
        <w:autoSpaceDE w:val="0"/>
        <w:ind w:left="360"/>
        <w:rPr>
          <w:rFonts w:asciiTheme="minorHAnsi" w:hAnsiTheme="minorHAnsi" w:cstheme="minorHAnsi"/>
          <w:color w:val="000000" w:themeColor="text1"/>
          <w:sz w:val="22"/>
          <w:szCs w:val="22"/>
        </w:rPr>
      </w:pPr>
    </w:p>
    <w:p w:rsidR="00C02A61" w:rsidRPr="0068094B" w:rsidRDefault="00C02A61" w:rsidP="00A754D6">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Rentals paid under operating leases are charged to the Comprehensive Income and Expenditure Statement as an expense of the services benefiting from use of the leased property, plant or equipment. Charges are made on a straight-line basis over the life of the lease, even if this does not match the pattern of payments (e.g. there is a rent-free period at the commencement of the lease).</w:t>
      </w:r>
    </w:p>
    <w:p w:rsidR="00C02A61" w:rsidRPr="0068094B" w:rsidRDefault="00C02A61" w:rsidP="00C02A61">
      <w:pPr>
        <w:autoSpaceDE w:val="0"/>
        <w:ind w:left="709" w:firstLine="11"/>
        <w:rPr>
          <w:rFonts w:asciiTheme="minorHAnsi" w:hAnsiTheme="minorHAnsi" w:cstheme="minorHAnsi"/>
          <w:color w:val="000000"/>
          <w:sz w:val="22"/>
          <w:szCs w:val="22"/>
        </w:rPr>
      </w:pPr>
    </w:p>
    <w:p w:rsidR="00C02A61" w:rsidRPr="0068094B" w:rsidRDefault="00DD736F" w:rsidP="00ED3B24">
      <w:pPr>
        <w:pStyle w:val="PlainText"/>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lastRenderedPageBreak/>
        <w:t>Where the Council grants a finance lease over a property or an item of plant or equipment, the relevant asset is written out of the Balance Sheet as a disposal and replaced by a long-term debtor in the Balance Sheet valued on the future income due under the finance lease.</w:t>
      </w:r>
    </w:p>
    <w:p w:rsidR="00C02A61" w:rsidRPr="0068094B" w:rsidRDefault="00DD736F" w:rsidP="000830C8">
      <w:pPr>
        <w:pStyle w:val="ListParagraph"/>
        <w:tabs>
          <w:tab w:val="left" w:pos="540"/>
        </w:tabs>
        <w:ind w:left="0"/>
        <w:rPr>
          <w:rFonts w:asciiTheme="minorHAnsi" w:hAnsiTheme="minorHAnsi" w:cstheme="minorHAnsi"/>
          <w:b/>
          <w:bCs/>
          <w:szCs w:val="22"/>
        </w:rPr>
      </w:pPr>
      <w:r w:rsidRPr="0068094B">
        <w:rPr>
          <w:rFonts w:asciiTheme="minorHAnsi" w:hAnsiTheme="minorHAnsi" w:cstheme="minorHAnsi"/>
          <w:szCs w:val="22"/>
        </w:rPr>
        <w:t>Where the Council grants an operating lease over an asset, this is retained on the Balance Sheet. Rental income is recognised in the Comprehensive Income and Expenditure statement on a straight-line basis over the life of the lease, even if this does not match the pattern of payments (e.g. if there is a premium paid at the commencement of the lease).</w:t>
      </w:r>
    </w:p>
    <w:p w:rsidR="009339EE" w:rsidRPr="0068094B" w:rsidRDefault="009339EE" w:rsidP="00C02A61">
      <w:pPr>
        <w:pStyle w:val="ListParagraph"/>
        <w:tabs>
          <w:tab w:val="left" w:pos="540"/>
        </w:tabs>
        <w:rPr>
          <w:rFonts w:asciiTheme="minorHAnsi" w:hAnsiTheme="minorHAnsi" w:cstheme="minorHAnsi"/>
          <w:b/>
          <w:bCs/>
          <w:szCs w:val="22"/>
        </w:rPr>
      </w:pPr>
    </w:p>
    <w:p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Property, Plant and Equipment</w:t>
      </w:r>
    </w:p>
    <w:p w:rsidR="00C02A61" w:rsidRPr="006C19E9" w:rsidRDefault="00C02A61" w:rsidP="00C02A61">
      <w:pPr>
        <w:pStyle w:val="ListParagraph"/>
        <w:tabs>
          <w:tab w:val="left" w:pos="540"/>
        </w:tabs>
        <w:rPr>
          <w:rFonts w:asciiTheme="minorHAnsi" w:hAnsiTheme="minorHAnsi" w:cstheme="minorHAnsi"/>
          <w:b/>
          <w:bCs/>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Expenditure on the acquisition, creation or enhancement of Property, Plant and Equipment is capitalised on an accruals basis</w:t>
      </w:r>
      <w:r w:rsidR="00DD736F" w:rsidRPr="0068094B">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Expenditure that maintains but does not add to an asset’s potential to deliver future economic benefits or service potential (i.e. repairs and maintenance) is charged as an expense when it is incurred.</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000000"/>
          <w:sz w:val="22"/>
          <w:szCs w:val="22"/>
        </w:rPr>
        <w:t>When new assets are first acquired and recognised on the balance sheet as a non-current asset, the total value of the asset must be over the £10,000 de</w:t>
      </w:r>
      <w:r w:rsidR="00427CC7">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minimis.</w:t>
      </w:r>
    </w:p>
    <w:p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FF0000"/>
          <w:sz w:val="22"/>
          <w:szCs w:val="22"/>
        </w:rPr>
        <w:t xml:space="preserve"> </w:t>
      </w: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initially measured at cost, comprising:</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7D7B32">
      <w:pPr>
        <w:pStyle w:val="ListParagraph"/>
        <w:numPr>
          <w:ilvl w:val="0"/>
          <w:numId w:val="37"/>
        </w:numPr>
        <w:tabs>
          <w:tab w:val="clear" w:pos="1287"/>
          <w:tab w:val="left" w:pos="709"/>
        </w:tabs>
        <w:ind w:left="0" w:firstLine="284"/>
        <w:rPr>
          <w:rFonts w:asciiTheme="minorHAnsi" w:hAnsiTheme="minorHAnsi" w:cstheme="minorHAnsi"/>
          <w:color w:val="000000"/>
          <w:szCs w:val="22"/>
        </w:rPr>
      </w:pPr>
      <w:r w:rsidRPr="0068094B">
        <w:rPr>
          <w:rFonts w:asciiTheme="minorHAnsi" w:hAnsiTheme="minorHAnsi" w:cstheme="minorHAnsi"/>
          <w:color w:val="000000"/>
          <w:szCs w:val="22"/>
        </w:rPr>
        <w:t>the purchase price</w:t>
      </w:r>
    </w:p>
    <w:p w:rsidR="00C02A61" w:rsidRPr="0068094B" w:rsidRDefault="00C02A61" w:rsidP="007D7B32">
      <w:pPr>
        <w:pStyle w:val="ListParagraph"/>
        <w:numPr>
          <w:ilvl w:val="0"/>
          <w:numId w:val="37"/>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any costs attributable to bringing the asset to the location and condition necessary for it to be capable of operating in the manner intended by management</w:t>
      </w:r>
    </w:p>
    <w:p w:rsidR="00C02A61" w:rsidRPr="0068094B" w:rsidRDefault="00C02A61" w:rsidP="007D7B32">
      <w:pPr>
        <w:pStyle w:val="ListParagraph"/>
        <w:numPr>
          <w:ilvl w:val="0"/>
          <w:numId w:val="37"/>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 xml:space="preserve">the initial estimate of the costs of dismantling and removing the item and restoring the site on which it is located. </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does not capitalise borrowing costs incurred whilst assets are under construction.</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then carried in the Balance Sheet using the following measurement bases:</w:t>
      </w:r>
    </w:p>
    <w:p w:rsidR="00686F48" w:rsidRPr="0068094B" w:rsidRDefault="00686F48" w:rsidP="00C02A61">
      <w:pPr>
        <w:autoSpaceDE w:val="0"/>
        <w:rPr>
          <w:rFonts w:asciiTheme="minorHAnsi" w:hAnsiTheme="minorHAnsi" w:cstheme="minorHAnsi"/>
          <w:color w:val="000000"/>
          <w:sz w:val="22"/>
          <w:szCs w:val="22"/>
        </w:rPr>
      </w:pPr>
    </w:p>
    <w:p w:rsidR="00C02A61" w:rsidRPr="0068094B" w:rsidRDefault="00C02A61" w:rsidP="007D7B32">
      <w:pPr>
        <w:pStyle w:val="ListParagraph"/>
        <w:numPr>
          <w:ilvl w:val="0"/>
          <w:numId w:val="38"/>
        </w:numPr>
        <w:ind w:left="851" w:hanging="425"/>
        <w:rPr>
          <w:rFonts w:asciiTheme="minorHAnsi" w:hAnsiTheme="minorHAnsi" w:cstheme="minorHAnsi"/>
          <w:color w:val="000000"/>
          <w:szCs w:val="22"/>
        </w:rPr>
      </w:pPr>
      <w:r w:rsidRPr="0068094B">
        <w:rPr>
          <w:rFonts w:asciiTheme="minorHAnsi" w:hAnsiTheme="minorHAnsi" w:cstheme="minorHAnsi"/>
          <w:color w:val="000000"/>
          <w:szCs w:val="22"/>
        </w:rPr>
        <w:t>infrastructure, community assets and assets under construction – depreciated historical cost</w:t>
      </w:r>
    </w:p>
    <w:p w:rsidR="00C02A61" w:rsidRPr="0068094B" w:rsidRDefault="00C02A61" w:rsidP="007D7B32">
      <w:pPr>
        <w:numPr>
          <w:ilvl w:val="0"/>
          <w:numId w:val="22"/>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all other assets – fair</w:t>
      </w:r>
      <w:r w:rsidR="003B3EB9" w:rsidRPr="0068094B">
        <w:rPr>
          <w:rFonts w:asciiTheme="minorHAnsi" w:hAnsiTheme="minorHAnsi" w:cstheme="minorHAnsi"/>
          <w:color w:val="000000"/>
          <w:sz w:val="22"/>
          <w:szCs w:val="22"/>
        </w:rPr>
        <w:t xml:space="preserve"> (or current)</w:t>
      </w:r>
      <w:r w:rsidRPr="0068094B">
        <w:rPr>
          <w:rFonts w:asciiTheme="minorHAnsi" w:hAnsiTheme="minorHAnsi" w:cstheme="minorHAnsi"/>
          <w:color w:val="000000"/>
          <w:sz w:val="22"/>
          <w:szCs w:val="22"/>
        </w:rPr>
        <w:t xml:space="preserve"> value, determined as the amount that would be paid for the asset in its existing use (existing use value – EUV).</w:t>
      </w:r>
    </w:p>
    <w:p w:rsidR="00B64EAF" w:rsidRPr="0068094B" w:rsidRDefault="00B64EAF" w:rsidP="00B64EAF">
      <w:pPr>
        <w:autoSpaceDE w:val="0"/>
        <w:ind w:left="851"/>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Where there is </w:t>
      </w:r>
      <w:r w:rsidR="003B3EB9" w:rsidRPr="0068094B">
        <w:rPr>
          <w:rFonts w:asciiTheme="minorHAnsi" w:hAnsiTheme="minorHAnsi" w:cstheme="minorHAnsi"/>
          <w:color w:val="000000"/>
          <w:sz w:val="22"/>
          <w:szCs w:val="22"/>
        </w:rPr>
        <w:t>no market-based evidence of current</w:t>
      </w:r>
      <w:r w:rsidRPr="0068094B">
        <w:rPr>
          <w:rFonts w:asciiTheme="minorHAnsi" w:hAnsiTheme="minorHAnsi" w:cstheme="minorHAnsi"/>
          <w:color w:val="000000"/>
          <w:sz w:val="22"/>
          <w:szCs w:val="22"/>
        </w:rPr>
        <w:t xml:space="preserve"> value because of the specialist nature of an asset, depreciated replacement cost (DRC) is used as an estimate.</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non-property assets that have short useful lives or low values (or both), depreciated historical cost b</w:t>
      </w:r>
      <w:r w:rsidR="003B3EB9" w:rsidRPr="0068094B">
        <w:rPr>
          <w:rFonts w:asciiTheme="minorHAnsi" w:hAnsiTheme="minorHAnsi" w:cstheme="minorHAnsi"/>
          <w:color w:val="000000"/>
          <w:sz w:val="22"/>
          <w:szCs w:val="22"/>
        </w:rPr>
        <w:t>asis is used as a proxy for current</w:t>
      </w:r>
      <w:r w:rsidRPr="0068094B">
        <w:rPr>
          <w:rFonts w:asciiTheme="minorHAnsi" w:hAnsiTheme="minorHAnsi" w:cstheme="minorHAnsi"/>
          <w:color w:val="000000"/>
          <w:sz w:val="22"/>
          <w:szCs w:val="22"/>
        </w:rPr>
        <w:t xml:space="preserve"> value.</w:t>
      </w:r>
    </w:p>
    <w:p w:rsidR="00C02A61" w:rsidRPr="0068094B" w:rsidRDefault="00C02A61" w:rsidP="00C02A61">
      <w:pPr>
        <w:autoSpaceDE w:val="0"/>
        <w:rPr>
          <w:rFonts w:asciiTheme="minorHAnsi" w:hAnsiTheme="minorHAnsi" w:cstheme="minorHAnsi"/>
          <w:color w:val="000000"/>
          <w:sz w:val="22"/>
          <w:szCs w:val="22"/>
          <w:shd w:val="clear" w:color="auto" w:fill="00FFFF"/>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Assets included in the Balance Sheet at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are re-valued sufficiently regularly to ensure that their carrying amount is not materially different from their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at the year-end, but as a minimum every five years. Increases in valuations are matched by credits to the Revaluation Reserve to recognise unrealised gains. </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decreases in value are identified, they are accounted for by:</w:t>
      </w:r>
    </w:p>
    <w:p w:rsidR="00C02A61" w:rsidRPr="0068094B" w:rsidRDefault="00C02A61" w:rsidP="007D7B32">
      <w:pPr>
        <w:numPr>
          <w:ilvl w:val="0"/>
          <w:numId w:val="12"/>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where there is a balance of revaluation gains for the asset in the Revaluation Reserve, the carrying amount of the asset is written down against that balance (up to the </w:t>
      </w:r>
      <w:r w:rsidRPr="0068094B">
        <w:rPr>
          <w:rFonts w:asciiTheme="minorHAnsi" w:hAnsiTheme="minorHAnsi" w:cstheme="minorHAnsi"/>
          <w:color w:val="000000"/>
          <w:sz w:val="22"/>
          <w:szCs w:val="22"/>
        </w:rPr>
        <w:lastRenderedPageBreak/>
        <w:t>amount of the accumulated gains)</w:t>
      </w:r>
    </w:p>
    <w:p w:rsidR="00C02A61" w:rsidRPr="0068094B" w:rsidRDefault="00C02A61" w:rsidP="00C02A61">
      <w:pPr>
        <w:autoSpaceDE w:val="0"/>
        <w:ind w:left="851" w:hanging="425"/>
        <w:rPr>
          <w:rFonts w:asciiTheme="minorHAnsi" w:hAnsiTheme="minorHAnsi" w:cstheme="minorHAnsi"/>
          <w:color w:val="000000"/>
          <w:sz w:val="22"/>
          <w:szCs w:val="22"/>
        </w:rPr>
      </w:pPr>
    </w:p>
    <w:p w:rsidR="00C02A61" w:rsidRPr="0068094B" w:rsidRDefault="00C02A61" w:rsidP="007D7B32">
      <w:pPr>
        <w:numPr>
          <w:ilvl w:val="0"/>
          <w:numId w:val="12"/>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no balance in the Revaluation Reserve or an insufficient balance, the carrying amount of the asset is written down against the relevant service line(s) in the Comprehensive Income and Expenditure Statement.</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provided for on all Property, Plant and Equipment assets by the systematic allocation of their depreciable amounts over their useful lives. An exception is made for assets without a determinable finite useful life (i.e. freehold land and certain Community Assets) and assets that are not yet available for use (i.e. assets under construction).</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calculated on the following bases:</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7D7B32">
      <w:pPr>
        <w:pStyle w:val="ListParagraph"/>
        <w:numPr>
          <w:ilvl w:val="0"/>
          <w:numId w:val="39"/>
        </w:numPr>
        <w:ind w:left="709" w:hanging="425"/>
        <w:rPr>
          <w:rFonts w:asciiTheme="minorHAnsi" w:hAnsiTheme="minorHAnsi" w:cstheme="minorHAnsi"/>
          <w:color w:val="000000"/>
          <w:szCs w:val="22"/>
        </w:rPr>
      </w:pPr>
      <w:r w:rsidRPr="0068094B">
        <w:rPr>
          <w:rFonts w:asciiTheme="minorHAnsi" w:hAnsiTheme="minorHAnsi" w:cstheme="minorHAnsi"/>
          <w:color w:val="000000"/>
          <w:szCs w:val="22"/>
        </w:rPr>
        <w:t>dwellings and other buildings – straight-line allocation over the useful life of the property as estimated by the valuer</w:t>
      </w:r>
    </w:p>
    <w:p w:rsidR="00C02A61" w:rsidRPr="0068094B" w:rsidRDefault="00C02A61" w:rsidP="007D7B32">
      <w:pPr>
        <w:numPr>
          <w:ilvl w:val="0"/>
          <w:numId w:val="17"/>
        </w:numPr>
        <w:tabs>
          <w:tab w:val="clear" w:pos="1440"/>
          <w:tab w:val="num" w:pos="851"/>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infrastructure, vehicles, plant, furniture and equipment – straight-line allocation over the useful life of the asset, as advised by a suitably qualified officer</w:t>
      </w:r>
    </w:p>
    <w:p w:rsidR="00C02A61" w:rsidRPr="0068094B" w:rsidRDefault="00C02A61" w:rsidP="00C02A61">
      <w:pPr>
        <w:autoSpaceDE w:val="0"/>
        <w:rPr>
          <w:rFonts w:asciiTheme="minorHAnsi" w:hAnsiTheme="minorHAnsi" w:cstheme="minorHAnsi"/>
          <w:color w:val="000000"/>
          <w:sz w:val="22"/>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an item of Property, Plant and Equipment asset has major components whose cost is significant in relation to the total cost of the item, the components are depreciated separately.</w:t>
      </w:r>
    </w:p>
    <w:p w:rsidR="00C02A61" w:rsidRPr="0068094B" w:rsidRDefault="00C02A61" w:rsidP="000830C8">
      <w:pPr>
        <w:suppressAutoHyphens w:val="0"/>
        <w:rPr>
          <w:rFonts w:asciiTheme="minorHAnsi" w:hAnsiTheme="minorHAnsi" w:cstheme="minorHAnsi"/>
          <w:sz w:val="22"/>
          <w:szCs w:val="22"/>
        </w:rPr>
      </w:pPr>
      <w:r w:rsidRPr="0068094B">
        <w:rPr>
          <w:rFonts w:asciiTheme="minorHAnsi" w:hAnsiTheme="minorHAnsi" w:cstheme="minorHAnsi"/>
          <w:sz w:val="22"/>
          <w:szCs w:val="22"/>
        </w:rPr>
        <w:t xml:space="preserve">Only assets with a gross book value of £500,000 and over </w:t>
      </w:r>
      <w:r w:rsidR="00DD736F" w:rsidRPr="0068094B">
        <w:rPr>
          <w:rFonts w:asciiTheme="minorHAnsi" w:hAnsiTheme="minorHAnsi" w:cstheme="minorHAnsi"/>
          <w:sz w:val="22"/>
          <w:szCs w:val="22"/>
        </w:rPr>
        <w:t>are</w:t>
      </w:r>
      <w:r w:rsidRPr="0068094B">
        <w:rPr>
          <w:rFonts w:asciiTheme="minorHAnsi" w:hAnsiTheme="minorHAnsi" w:cstheme="minorHAnsi"/>
          <w:sz w:val="22"/>
          <w:szCs w:val="22"/>
        </w:rPr>
        <w:t xml:space="preserve"> considered for componentisation.</w:t>
      </w:r>
    </w:p>
    <w:p w:rsidR="00C02A61" w:rsidRPr="0068094B" w:rsidRDefault="00C02A61" w:rsidP="00C02A61">
      <w:pPr>
        <w:pStyle w:val="ListParagraph"/>
        <w:ind w:left="436"/>
        <w:rPr>
          <w:rFonts w:asciiTheme="minorHAnsi" w:hAnsiTheme="minorHAnsi" w:cstheme="minorHAnsi"/>
          <w:szCs w:val="22"/>
        </w:rPr>
      </w:pPr>
    </w:p>
    <w:p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Depreciation is not charged on Assets Held for Sale.</w:t>
      </w:r>
    </w:p>
    <w:p w:rsidR="00C02A61" w:rsidRPr="0068094B" w:rsidRDefault="00C02A61" w:rsidP="00C02A61">
      <w:pPr>
        <w:autoSpaceDE w:val="0"/>
        <w:rPr>
          <w:rFonts w:asciiTheme="minorHAnsi" w:hAnsiTheme="minorHAnsi" w:cstheme="minorHAnsi"/>
          <w:color w:val="000000"/>
          <w:sz w:val="22"/>
          <w:szCs w:val="22"/>
        </w:rPr>
      </w:pPr>
    </w:p>
    <w:p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Revenue Expenditure Funded from Capital under Statute (REFCUS)</w:t>
      </w:r>
    </w:p>
    <w:p w:rsidR="00C02A61" w:rsidRPr="006C19E9" w:rsidRDefault="00C02A61" w:rsidP="00C02A61">
      <w:pPr>
        <w:pStyle w:val="ListParagraph"/>
        <w:tabs>
          <w:tab w:val="left" w:pos="540"/>
        </w:tabs>
        <w:rPr>
          <w:rFonts w:asciiTheme="minorHAnsi" w:hAnsiTheme="minorHAnsi" w:cstheme="minorHAnsi"/>
          <w:b/>
          <w:bCs/>
          <w:szCs w:val="22"/>
        </w:rPr>
      </w:pPr>
    </w:p>
    <w:p w:rsidR="00F20CC9"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Expenditure incurred during the year that may be capitalised under statutory provisions but that does not result in the creation of a non-current asset has been charged as expenditure to the relevant service in the Comprehensive Income and Expenditure Statement in the year. Where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determined to meet the cost of this expenditure from existing capital resources or by borrowing, a transfer in the Movement in Reserves Statement from the General Fund Balance to the Capital Adjustment Account then reverses out the amounts charged so that there is no impact on the level of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tax.</w:t>
      </w:r>
    </w:p>
    <w:p w:rsidR="00007FD0" w:rsidRPr="0068094B" w:rsidRDefault="00007FD0" w:rsidP="00C02A61">
      <w:pPr>
        <w:autoSpaceDE w:val="0"/>
        <w:rPr>
          <w:rFonts w:asciiTheme="minorHAnsi" w:hAnsiTheme="minorHAnsi" w:cstheme="minorHAnsi"/>
          <w:color w:val="000000"/>
          <w:sz w:val="22"/>
          <w:szCs w:val="22"/>
        </w:rPr>
      </w:pPr>
    </w:p>
    <w:p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shd w:val="clear" w:color="auto" w:fill="FFFFFF"/>
        </w:rPr>
        <w:t>Section 106 Developer Contributions</w:t>
      </w:r>
    </w:p>
    <w:p w:rsidR="00C02A61" w:rsidRPr="0068094B" w:rsidRDefault="00C02A61" w:rsidP="00C02A61">
      <w:pPr>
        <w:pStyle w:val="ListParagraph"/>
        <w:tabs>
          <w:tab w:val="left" w:pos="540"/>
        </w:tabs>
        <w:rPr>
          <w:rFonts w:asciiTheme="minorHAnsi" w:hAnsiTheme="minorHAnsi" w:cstheme="minorHAnsi"/>
          <w:b/>
          <w:bCs/>
          <w:szCs w:val="22"/>
          <w:shd w:val="clear" w:color="auto" w:fill="FFFFFF"/>
        </w:rPr>
      </w:pPr>
    </w:p>
    <w:p w:rsidR="00C02A61" w:rsidRPr="0068094B" w:rsidRDefault="00C02A61" w:rsidP="00B912CD">
      <w:pPr>
        <w:pStyle w:val="PlainText"/>
        <w:widowControl w:val="0"/>
        <w:tabs>
          <w:tab w:val="left" w:pos="-1440"/>
          <w:tab w:val="left" w:pos="-720"/>
          <w:tab w:val="left" w:pos="0"/>
          <w:tab w:val="decimal" w:pos="426"/>
          <w:tab w:val="left" w:pos="567"/>
        </w:tabs>
        <w:rPr>
          <w:rFonts w:asciiTheme="minorHAnsi" w:hAnsiTheme="minorHAnsi" w:cstheme="minorHAnsi"/>
          <w:b/>
          <w:bCs/>
          <w:sz w:val="22"/>
          <w:szCs w:val="22"/>
        </w:rPr>
      </w:pPr>
      <w:r w:rsidRPr="0068094B">
        <w:rPr>
          <w:rFonts w:asciiTheme="minorHAnsi" w:hAnsiTheme="minorHAnsi" w:cstheme="minorHAnsi"/>
          <w:sz w:val="22"/>
          <w:szCs w:val="22"/>
        </w:rPr>
        <w:t xml:space="preserve">Section 106 advances received are initially recognised as a creditor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accounts whilst the monies remain unspent to reflect the liability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to the developer if the agreement is not fulfilled.  Once the conditions of the agreement are met the advances are recognised as revenue income or capital contributions</w:t>
      </w:r>
      <w:r w:rsidR="00650803">
        <w:rPr>
          <w:rFonts w:asciiTheme="minorHAnsi" w:hAnsiTheme="minorHAnsi" w:cstheme="minorHAnsi"/>
          <w:sz w:val="22"/>
          <w:szCs w:val="22"/>
        </w:rPr>
        <w:t>.</w:t>
      </w:r>
    </w:p>
    <w:p w:rsidR="00007FD0" w:rsidRPr="0068094B" w:rsidRDefault="00007FD0" w:rsidP="00C02A61">
      <w:pPr>
        <w:pStyle w:val="ListParagraph"/>
        <w:tabs>
          <w:tab w:val="left" w:pos="540"/>
        </w:tabs>
        <w:rPr>
          <w:rFonts w:asciiTheme="minorHAnsi" w:hAnsiTheme="minorHAnsi" w:cstheme="minorHAnsi"/>
          <w:b/>
          <w:bCs/>
          <w:szCs w:val="22"/>
        </w:rPr>
      </w:pPr>
    </w:p>
    <w:p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VAT</w:t>
      </w:r>
    </w:p>
    <w:p w:rsidR="00C02A61" w:rsidRPr="0068094B" w:rsidRDefault="00C02A61" w:rsidP="00C02A61">
      <w:pPr>
        <w:rPr>
          <w:rFonts w:asciiTheme="minorHAnsi" w:hAnsiTheme="minorHAnsi" w:cstheme="minorHAnsi"/>
          <w:color w:val="000000"/>
          <w:sz w:val="22"/>
          <w:szCs w:val="22"/>
        </w:rPr>
      </w:pPr>
    </w:p>
    <w:p w:rsidR="003C6A7D" w:rsidRPr="0068094B" w:rsidRDefault="00C02A61" w:rsidP="00B912CD">
      <w:pPr>
        <w:rPr>
          <w:rFonts w:asciiTheme="minorHAnsi" w:hAnsiTheme="minorHAnsi" w:cstheme="minorHAnsi"/>
          <w:b/>
          <w:bCs/>
          <w:sz w:val="22"/>
          <w:szCs w:val="22"/>
        </w:rPr>
      </w:pPr>
      <w:r w:rsidRPr="0068094B">
        <w:rPr>
          <w:rFonts w:asciiTheme="minorHAnsi" w:hAnsiTheme="minorHAnsi" w:cstheme="minorHAnsi"/>
          <w:color w:val="000000"/>
          <w:sz w:val="22"/>
          <w:szCs w:val="22"/>
        </w:rPr>
        <w:t>VAT payable is included as an expense only to the extent that it is not recoverable from Her Majesty’s Revenue and Customs. VAT receivable is excluded from income.</w:t>
      </w:r>
    </w:p>
    <w:p w:rsidR="00921F51" w:rsidRDefault="00921F51" w:rsidP="007D7B32">
      <w:pPr>
        <w:numPr>
          <w:ilvl w:val="0"/>
          <w:numId w:val="40"/>
        </w:numPr>
        <w:tabs>
          <w:tab w:val="left" w:pos="0"/>
        </w:tabs>
        <w:ind w:left="0" w:hanging="567"/>
        <w:rPr>
          <w:rFonts w:asciiTheme="minorHAnsi" w:hAnsiTheme="minorHAnsi" w:cstheme="minorHAnsi"/>
          <w:b/>
          <w:bCs/>
          <w:sz w:val="22"/>
          <w:szCs w:val="22"/>
        </w:rPr>
      </w:pPr>
      <w:r>
        <w:rPr>
          <w:rFonts w:asciiTheme="minorHAnsi" w:hAnsiTheme="minorHAnsi" w:cstheme="minorHAnsi"/>
          <w:b/>
          <w:bCs/>
          <w:sz w:val="22"/>
          <w:szCs w:val="22"/>
        </w:rPr>
        <w:lastRenderedPageBreak/>
        <w:t>Impact of accounting standards adopted in 201</w:t>
      </w:r>
      <w:r w:rsidR="00424AA9">
        <w:rPr>
          <w:rFonts w:asciiTheme="minorHAnsi" w:hAnsiTheme="minorHAnsi" w:cstheme="minorHAnsi"/>
          <w:b/>
          <w:bCs/>
          <w:sz w:val="22"/>
          <w:szCs w:val="22"/>
        </w:rPr>
        <w:t>9</w:t>
      </w:r>
      <w:r w:rsidR="00DF64BC">
        <w:rPr>
          <w:rFonts w:asciiTheme="minorHAnsi" w:hAnsiTheme="minorHAnsi" w:cstheme="minorHAnsi"/>
          <w:b/>
          <w:bCs/>
          <w:sz w:val="22"/>
          <w:szCs w:val="22"/>
        </w:rPr>
        <w:t>-</w:t>
      </w:r>
      <w:r w:rsidR="00424AA9">
        <w:rPr>
          <w:rFonts w:asciiTheme="minorHAnsi" w:hAnsiTheme="minorHAnsi" w:cstheme="minorHAnsi"/>
          <w:b/>
          <w:bCs/>
          <w:sz w:val="22"/>
          <w:szCs w:val="22"/>
        </w:rPr>
        <w:t>20</w:t>
      </w:r>
    </w:p>
    <w:p w:rsidR="00921F51" w:rsidRDefault="00921F51" w:rsidP="0044393D">
      <w:pPr>
        <w:tabs>
          <w:tab w:val="left" w:pos="0"/>
        </w:tabs>
        <w:rPr>
          <w:rFonts w:asciiTheme="minorHAnsi" w:hAnsiTheme="minorHAnsi" w:cstheme="minorHAnsi"/>
          <w:b/>
          <w:bCs/>
          <w:sz w:val="22"/>
          <w:szCs w:val="22"/>
        </w:rPr>
      </w:pPr>
    </w:p>
    <w:p w:rsidR="00921F51" w:rsidRDefault="00921F51" w:rsidP="0044393D">
      <w:pPr>
        <w:tabs>
          <w:tab w:val="left" w:pos="0"/>
        </w:tabs>
        <w:rPr>
          <w:rFonts w:asciiTheme="minorHAnsi" w:hAnsiTheme="minorHAnsi" w:cstheme="minorHAnsi"/>
          <w:bCs/>
          <w:sz w:val="22"/>
          <w:szCs w:val="22"/>
        </w:rPr>
      </w:pPr>
      <w:r w:rsidRPr="000F2E89">
        <w:rPr>
          <w:rFonts w:asciiTheme="minorHAnsi" w:hAnsiTheme="minorHAnsi" w:cstheme="minorHAnsi"/>
          <w:bCs/>
          <w:sz w:val="22"/>
          <w:szCs w:val="22"/>
        </w:rPr>
        <w:t>The</w:t>
      </w:r>
      <w:r w:rsidR="000F2E89" w:rsidRPr="000F2E89">
        <w:rPr>
          <w:rFonts w:asciiTheme="minorHAnsi" w:hAnsiTheme="minorHAnsi" w:cstheme="minorHAnsi"/>
          <w:bCs/>
          <w:sz w:val="22"/>
          <w:szCs w:val="22"/>
        </w:rPr>
        <w:t xml:space="preserve">re are no new or amended accounting standards introduced </w:t>
      </w:r>
      <w:r w:rsidR="00BC6CF9">
        <w:rPr>
          <w:rFonts w:asciiTheme="minorHAnsi" w:hAnsiTheme="minorHAnsi" w:cstheme="minorHAnsi"/>
          <w:bCs/>
          <w:sz w:val="22"/>
          <w:szCs w:val="22"/>
        </w:rPr>
        <w:t>during</w:t>
      </w:r>
      <w:r w:rsidR="000F2E89" w:rsidRPr="000F2E89">
        <w:rPr>
          <w:rFonts w:asciiTheme="minorHAnsi" w:hAnsiTheme="minorHAnsi" w:cstheme="minorHAnsi"/>
          <w:bCs/>
          <w:sz w:val="22"/>
          <w:szCs w:val="22"/>
        </w:rPr>
        <w:t xml:space="preserve"> 2019-20 </w:t>
      </w:r>
      <w:r w:rsidR="000F2E89">
        <w:rPr>
          <w:rFonts w:asciiTheme="minorHAnsi" w:hAnsiTheme="minorHAnsi" w:cstheme="minorHAnsi"/>
          <w:bCs/>
          <w:sz w:val="22"/>
          <w:szCs w:val="22"/>
        </w:rPr>
        <w:t>that</w:t>
      </w:r>
      <w:r w:rsidR="000F2E89" w:rsidRPr="000F2E89">
        <w:rPr>
          <w:rFonts w:asciiTheme="minorHAnsi" w:hAnsiTheme="minorHAnsi" w:cstheme="minorHAnsi"/>
          <w:bCs/>
          <w:sz w:val="22"/>
          <w:szCs w:val="22"/>
        </w:rPr>
        <w:t xml:space="preserve"> have a material impact on the </w:t>
      </w:r>
      <w:r w:rsidRPr="000F2E89">
        <w:rPr>
          <w:rFonts w:asciiTheme="minorHAnsi" w:hAnsiTheme="minorHAnsi" w:cstheme="minorHAnsi"/>
          <w:bCs/>
          <w:sz w:val="22"/>
          <w:szCs w:val="22"/>
        </w:rPr>
        <w:t>Council</w:t>
      </w:r>
      <w:r w:rsidR="000F2E89" w:rsidRPr="000F2E89">
        <w:rPr>
          <w:rFonts w:asciiTheme="minorHAnsi" w:hAnsiTheme="minorHAnsi" w:cstheme="minorHAnsi"/>
          <w:bCs/>
          <w:sz w:val="22"/>
          <w:szCs w:val="22"/>
        </w:rPr>
        <w:t>’s financial statements.</w:t>
      </w:r>
    </w:p>
    <w:p w:rsidR="000C2CB5" w:rsidRPr="0044393D" w:rsidRDefault="000C2CB5" w:rsidP="0044393D">
      <w:pPr>
        <w:tabs>
          <w:tab w:val="left" w:pos="0"/>
        </w:tabs>
        <w:rPr>
          <w:rFonts w:asciiTheme="minorHAnsi" w:hAnsiTheme="minorHAnsi" w:cstheme="minorHAnsi"/>
          <w:bCs/>
          <w:sz w:val="22"/>
          <w:szCs w:val="22"/>
        </w:rPr>
      </w:pPr>
    </w:p>
    <w:p w:rsidR="00183652" w:rsidRPr="0068094B" w:rsidRDefault="004A6511" w:rsidP="007D7B32">
      <w:pPr>
        <w:numPr>
          <w:ilvl w:val="0"/>
          <w:numId w:val="40"/>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t>Accounting standards that have been issued but have not yet been adopted</w:t>
      </w:r>
    </w:p>
    <w:p w:rsidR="00145DB8" w:rsidRPr="0068094B" w:rsidRDefault="00145DB8" w:rsidP="00145DB8">
      <w:pPr>
        <w:tabs>
          <w:tab w:val="left" w:pos="0"/>
        </w:tabs>
        <w:jc w:val="both"/>
        <w:rPr>
          <w:rFonts w:asciiTheme="minorHAnsi" w:hAnsiTheme="minorHAnsi" w:cstheme="minorHAnsi"/>
          <w:b/>
          <w:bCs/>
          <w:sz w:val="22"/>
          <w:szCs w:val="22"/>
        </w:rPr>
      </w:pPr>
    </w:p>
    <w:p w:rsidR="0079722E" w:rsidRPr="00E30E1A" w:rsidRDefault="0079722E" w:rsidP="00E30E1A">
      <w:pPr>
        <w:tabs>
          <w:tab w:val="left" w:pos="0"/>
        </w:tabs>
        <w:rPr>
          <w:rFonts w:asciiTheme="minorHAnsi" w:hAnsiTheme="minorHAnsi" w:cstheme="minorHAnsi"/>
          <w:color w:val="000000"/>
          <w:sz w:val="22"/>
          <w:szCs w:val="22"/>
        </w:rPr>
      </w:pPr>
      <w:r w:rsidRPr="00E30E1A">
        <w:rPr>
          <w:rFonts w:asciiTheme="minorHAnsi" w:hAnsiTheme="minorHAnsi" w:cstheme="minorHAnsi"/>
          <w:sz w:val="22"/>
          <w:szCs w:val="22"/>
        </w:rPr>
        <w:t>The Council is required to disclose information relating to the impact of an accounting change that will be required by a new standard that has been issued, but has not yet been adopted by the Code of Practice on Local Authority Accounting in the United Kingdom 201</w:t>
      </w:r>
      <w:r w:rsidR="00BB492B" w:rsidRPr="00E30E1A">
        <w:rPr>
          <w:rFonts w:asciiTheme="minorHAnsi" w:hAnsiTheme="minorHAnsi" w:cstheme="minorHAnsi"/>
          <w:sz w:val="22"/>
          <w:szCs w:val="22"/>
        </w:rPr>
        <w:t>9</w:t>
      </w:r>
      <w:r w:rsidRPr="00E30E1A">
        <w:rPr>
          <w:rFonts w:asciiTheme="minorHAnsi" w:hAnsiTheme="minorHAnsi" w:cstheme="minorHAnsi"/>
          <w:sz w:val="22"/>
          <w:szCs w:val="22"/>
        </w:rPr>
        <w:t>-</w:t>
      </w:r>
      <w:r w:rsidR="00BB492B" w:rsidRPr="00E30E1A">
        <w:rPr>
          <w:rFonts w:asciiTheme="minorHAnsi" w:hAnsiTheme="minorHAnsi" w:cstheme="minorHAnsi"/>
          <w:sz w:val="22"/>
          <w:szCs w:val="22"/>
        </w:rPr>
        <w:t>20</w:t>
      </w:r>
      <w:r w:rsidR="00650803">
        <w:rPr>
          <w:rFonts w:asciiTheme="minorHAnsi" w:hAnsiTheme="minorHAnsi" w:cstheme="minorHAnsi"/>
          <w:sz w:val="22"/>
          <w:szCs w:val="22"/>
        </w:rPr>
        <w:t>.</w:t>
      </w:r>
    </w:p>
    <w:p w:rsidR="0079722E" w:rsidRPr="00E30E1A" w:rsidRDefault="0079722E" w:rsidP="00E30E1A">
      <w:pPr>
        <w:rPr>
          <w:rFonts w:asciiTheme="minorHAnsi" w:hAnsiTheme="minorHAnsi" w:cstheme="minorHAnsi"/>
          <w:sz w:val="22"/>
          <w:szCs w:val="22"/>
        </w:rPr>
      </w:pPr>
    </w:p>
    <w:p w:rsidR="0079722E" w:rsidRPr="00E30E1A" w:rsidRDefault="0079722E" w:rsidP="00E30E1A">
      <w:pPr>
        <w:rPr>
          <w:rFonts w:asciiTheme="minorHAnsi" w:hAnsiTheme="minorHAnsi" w:cstheme="minorHAnsi"/>
          <w:sz w:val="22"/>
          <w:szCs w:val="22"/>
        </w:rPr>
      </w:pPr>
      <w:r w:rsidRPr="00E30E1A">
        <w:rPr>
          <w:rFonts w:asciiTheme="minorHAnsi" w:hAnsiTheme="minorHAnsi" w:cstheme="minorHAnsi"/>
          <w:sz w:val="22"/>
          <w:szCs w:val="22"/>
        </w:rPr>
        <w:t>For 201</w:t>
      </w:r>
      <w:r w:rsidR="00BC6CF9" w:rsidRPr="00E30E1A">
        <w:rPr>
          <w:rFonts w:asciiTheme="minorHAnsi" w:hAnsiTheme="minorHAnsi" w:cstheme="minorHAnsi"/>
          <w:sz w:val="22"/>
          <w:szCs w:val="22"/>
        </w:rPr>
        <w:t>9</w:t>
      </w:r>
      <w:r w:rsidRPr="00E30E1A">
        <w:rPr>
          <w:rFonts w:asciiTheme="minorHAnsi" w:hAnsiTheme="minorHAnsi" w:cstheme="minorHAnsi"/>
          <w:sz w:val="22"/>
          <w:szCs w:val="22"/>
        </w:rPr>
        <w:t>-</w:t>
      </w:r>
      <w:r w:rsidR="00BC6CF9" w:rsidRPr="00E30E1A">
        <w:rPr>
          <w:rFonts w:asciiTheme="minorHAnsi" w:hAnsiTheme="minorHAnsi" w:cstheme="minorHAnsi"/>
          <w:sz w:val="22"/>
          <w:szCs w:val="22"/>
        </w:rPr>
        <w:t>20</w:t>
      </w:r>
      <w:r w:rsidRPr="00E30E1A">
        <w:rPr>
          <w:rFonts w:asciiTheme="minorHAnsi" w:hAnsiTheme="minorHAnsi" w:cstheme="minorHAnsi"/>
          <w:sz w:val="22"/>
          <w:szCs w:val="22"/>
        </w:rPr>
        <w:t xml:space="preserve"> the following accounting standard changes that need to be reported relate to:</w:t>
      </w:r>
    </w:p>
    <w:p w:rsidR="000428C8" w:rsidRPr="00E30E1A" w:rsidRDefault="000428C8" w:rsidP="00E30E1A">
      <w:pPr>
        <w:pStyle w:val="ListParagraph"/>
        <w:numPr>
          <w:ilvl w:val="0"/>
          <w:numId w:val="72"/>
        </w:numPr>
        <w:rPr>
          <w:rFonts w:asciiTheme="minorHAnsi" w:hAnsiTheme="minorHAnsi" w:cstheme="minorHAnsi"/>
          <w:szCs w:val="22"/>
        </w:rPr>
      </w:pPr>
      <w:r w:rsidRPr="00E30E1A">
        <w:rPr>
          <w:rFonts w:asciiTheme="minorHAnsi" w:hAnsiTheme="minorHAnsi" w:cstheme="minorHAnsi"/>
          <w:szCs w:val="22"/>
        </w:rPr>
        <w:t xml:space="preserve">Amendments to IAS </w:t>
      </w:r>
      <w:r w:rsidR="00BC6CF9" w:rsidRPr="00E30E1A">
        <w:rPr>
          <w:rFonts w:asciiTheme="minorHAnsi" w:hAnsiTheme="minorHAnsi" w:cstheme="minorHAnsi"/>
          <w:szCs w:val="22"/>
        </w:rPr>
        <w:t xml:space="preserve">28 </w:t>
      </w:r>
      <w:r w:rsidRPr="00E30E1A">
        <w:rPr>
          <w:rFonts w:asciiTheme="minorHAnsi" w:hAnsiTheme="minorHAnsi" w:cstheme="minorHAnsi"/>
          <w:szCs w:val="22"/>
        </w:rPr>
        <w:t xml:space="preserve">Investment </w:t>
      </w:r>
      <w:r w:rsidR="00BC6CF9" w:rsidRPr="00E30E1A">
        <w:rPr>
          <w:rFonts w:asciiTheme="minorHAnsi" w:hAnsiTheme="minorHAnsi" w:cstheme="minorHAnsi"/>
          <w:szCs w:val="22"/>
        </w:rPr>
        <w:t>in Associates and Joint Ventures</w:t>
      </w:r>
      <w:r w:rsidRPr="00E30E1A">
        <w:rPr>
          <w:rFonts w:asciiTheme="minorHAnsi" w:hAnsiTheme="minorHAnsi" w:cstheme="minorHAnsi"/>
          <w:szCs w:val="22"/>
        </w:rPr>
        <w:t xml:space="preserve">: </w:t>
      </w:r>
      <w:r w:rsidR="00BC6CF9" w:rsidRPr="00E30E1A">
        <w:rPr>
          <w:rFonts w:asciiTheme="minorHAnsi" w:hAnsiTheme="minorHAnsi" w:cstheme="minorHAnsi"/>
          <w:szCs w:val="22"/>
        </w:rPr>
        <w:t>Long-term Interests in Associates and Joint Ventures</w:t>
      </w:r>
    </w:p>
    <w:p w:rsidR="005262F0" w:rsidRPr="00E30E1A" w:rsidRDefault="005262F0" w:rsidP="00E30E1A">
      <w:pPr>
        <w:pStyle w:val="ListParagraph"/>
        <w:numPr>
          <w:ilvl w:val="0"/>
          <w:numId w:val="72"/>
        </w:numPr>
        <w:rPr>
          <w:rFonts w:asciiTheme="minorHAnsi" w:hAnsiTheme="minorHAnsi" w:cstheme="minorHAnsi"/>
          <w:szCs w:val="22"/>
        </w:rPr>
      </w:pPr>
      <w:r w:rsidRPr="00E30E1A">
        <w:rPr>
          <w:rFonts w:asciiTheme="minorHAnsi" w:hAnsiTheme="minorHAnsi" w:cstheme="minorHAnsi"/>
          <w:szCs w:val="22"/>
        </w:rPr>
        <w:t>Amendments to I</w:t>
      </w:r>
      <w:r w:rsidR="00BC6CF9" w:rsidRPr="00E30E1A">
        <w:rPr>
          <w:rFonts w:asciiTheme="minorHAnsi" w:hAnsiTheme="minorHAnsi" w:cstheme="minorHAnsi"/>
          <w:szCs w:val="22"/>
        </w:rPr>
        <w:t>A</w:t>
      </w:r>
      <w:r w:rsidRPr="00E30E1A">
        <w:rPr>
          <w:rFonts w:asciiTheme="minorHAnsi" w:hAnsiTheme="minorHAnsi" w:cstheme="minorHAnsi"/>
          <w:szCs w:val="22"/>
        </w:rPr>
        <w:t xml:space="preserve">S </w:t>
      </w:r>
      <w:r w:rsidR="00BC6CF9" w:rsidRPr="00E30E1A">
        <w:rPr>
          <w:rFonts w:asciiTheme="minorHAnsi" w:hAnsiTheme="minorHAnsi" w:cstheme="minorHAnsi"/>
          <w:szCs w:val="22"/>
        </w:rPr>
        <w:t>1</w:t>
      </w:r>
      <w:r w:rsidRPr="00E30E1A">
        <w:rPr>
          <w:rFonts w:asciiTheme="minorHAnsi" w:hAnsiTheme="minorHAnsi" w:cstheme="minorHAnsi"/>
          <w:szCs w:val="22"/>
        </w:rPr>
        <w:t xml:space="preserve">9 </w:t>
      </w:r>
      <w:r w:rsidR="00BC6CF9" w:rsidRPr="00E30E1A">
        <w:rPr>
          <w:rFonts w:asciiTheme="minorHAnsi" w:hAnsiTheme="minorHAnsi" w:cstheme="minorHAnsi"/>
          <w:szCs w:val="22"/>
        </w:rPr>
        <w:t>Employee Benefits</w:t>
      </w:r>
      <w:r w:rsidRPr="00E30E1A">
        <w:rPr>
          <w:rFonts w:asciiTheme="minorHAnsi" w:hAnsiTheme="minorHAnsi" w:cstheme="minorHAnsi"/>
          <w:szCs w:val="22"/>
        </w:rPr>
        <w:t>: P</w:t>
      </w:r>
      <w:r w:rsidR="00BC6CF9" w:rsidRPr="00E30E1A">
        <w:rPr>
          <w:rFonts w:asciiTheme="minorHAnsi" w:hAnsiTheme="minorHAnsi" w:cstheme="minorHAnsi"/>
          <w:szCs w:val="22"/>
        </w:rPr>
        <w:t>lan Amendment, Curtailment or Settlement</w:t>
      </w:r>
    </w:p>
    <w:p w:rsidR="000428C8" w:rsidRPr="00E30E1A" w:rsidRDefault="000428C8" w:rsidP="00E30E1A">
      <w:pPr>
        <w:pStyle w:val="ListParagraph"/>
        <w:numPr>
          <w:ilvl w:val="0"/>
          <w:numId w:val="72"/>
        </w:numPr>
        <w:rPr>
          <w:rFonts w:asciiTheme="minorHAnsi" w:hAnsiTheme="minorHAnsi" w:cstheme="minorHAnsi"/>
          <w:szCs w:val="22"/>
        </w:rPr>
      </w:pPr>
      <w:r w:rsidRPr="00E30E1A">
        <w:rPr>
          <w:rFonts w:asciiTheme="minorHAnsi" w:hAnsiTheme="minorHAnsi" w:cstheme="minorHAnsi"/>
          <w:szCs w:val="22"/>
        </w:rPr>
        <w:t>Annual Improvements to IFRS Standards 201</w:t>
      </w:r>
      <w:r w:rsidR="00BC6CF9" w:rsidRPr="00E30E1A">
        <w:rPr>
          <w:rFonts w:asciiTheme="minorHAnsi" w:hAnsiTheme="minorHAnsi" w:cstheme="minorHAnsi"/>
          <w:szCs w:val="22"/>
        </w:rPr>
        <w:t>5</w:t>
      </w:r>
      <w:r w:rsidRPr="00E30E1A">
        <w:rPr>
          <w:rFonts w:asciiTheme="minorHAnsi" w:hAnsiTheme="minorHAnsi" w:cstheme="minorHAnsi"/>
          <w:szCs w:val="22"/>
        </w:rPr>
        <w:t xml:space="preserve"> - 201</w:t>
      </w:r>
      <w:r w:rsidR="00BC6CF9" w:rsidRPr="00E30E1A">
        <w:rPr>
          <w:rFonts w:asciiTheme="minorHAnsi" w:hAnsiTheme="minorHAnsi" w:cstheme="minorHAnsi"/>
          <w:szCs w:val="22"/>
        </w:rPr>
        <w:t>7</w:t>
      </w:r>
      <w:r w:rsidRPr="00E30E1A">
        <w:rPr>
          <w:rFonts w:asciiTheme="minorHAnsi" w:hAnsiTheme="minorHAnsi" w:cstheme="minorHAnsi"/>
          <w:szCs w:val="22"/>
        </w:rPr>
        <w:t xml:space="preserve"> Cycle</w:t>
      </w:r>
    </w:p>
    <w:p w:rsidR="0079722E" w:rsidRPr="00E30E1A" w:rsidRDefault="0079722E" w:rsidP="00E30E1A">
      <w:pPr>
        <w:pStyle w:val="ListParagraph"/>
        <w:rPr>
          <w:color w:val="000000"/>
        </w:rPr>
      </w:pPr>
    </w:p>
    <w:p w:rsidR="0079722E" w:rsidRPr="00AD42BD" w:rsidRDefault="005262F0" w:rsidP="00E30E1A">
      <w:pPr>
        <w:tabs>
          <w:tab w:val="left" w:pos="0"/>
        </w:tabs>
        <w:rPr>
          <w:rFonts w:asciiTheme="minorHAnsi" w:hAnsiTheme="minorHAnsi" w:cstheme="minorHAnsi"/>
          <w:color w:val="000000"/>
          <w:sz w:val="22"/>
          <w:szCs w:val="22"/>
        </w:rPr>
      </w:pPr>
      <w:r w:rsidRPr="00E30E1A">
        <w:rPr>
          <w:rFonts w:asciiTheme="minorHAnsi" w:hAnsiTheme="minorHAnsi" w:cstheme="minorHAnsi"/>
          <w:color w:val="000000"/>
          <w:sz w:val="22"/>
          <w:szCs w:val="22"/>
        </w:rPr>
        <w:t>The Council does not presently expect these standards to have a material effect on the presentation of future financial information or transactions.</w:t>
      </w:r>
    </w:p>
    <w:p w:rsidR="00B965C6" w:rsidRPr="00AD42BD" w:rsidRDefault="00B965C6" w:rsidP="0079722E">
      <w:pPr>
        <w:tabs>
          <w:tab w:val="left" w:pos="0"/>
        </w:tabs>
        <w:ind w:left="360"/>
        <w:rPr>
          <w:rFonts w:asciiTheme="minorHAnsi" w:hAnsiTheme="minorHAnsi" w:cstheme="minorHAnsi"/>
          <w:color w:val="000000"/>
          <w:sz w:val="22"/>
          <w:szCs w:val="22"/>
        </w:rPr>
      </w:pPr>
    </w:p>
    <w:p w:rsidR="00183652" w:rsidRPr="0068094B" w:rsidRDefault="004A6511" w:rsidP="007D7B32">
      <w:pPr>
        <w:numPr>
          <w:ilvl w:val="0"/>
          <w:numId w:val="40"/>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Critical judgements in applying accounting policies</w:t>
      </w:r>
    </w:p>
    <w:p w:rsidR="00183652" w:rsidRPr="0068094B" w:rsidRDefault="00183652" w:rsidP="006A4558">
      <w:pPr>
        <w:tabs>
          <w:tab w:val="left" w:pos="0"/>
        </w:tabs>
        <w:jc w:val="both"/>
        <w:rPr>
          <w:rFonts w:asciiTheme="minorHAnsi" w:hAnsiTheme="minorHAnsi" w:cstheme="minorHAnsi"/>
          <w:b/>
          <w:bCs/>
          <w:sz w:val="22"/>
          <w:szCs w:val="22"/>
        </w:rPr>
      </w:pPr>
    </w:p>
    <w:p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In applying the accounting policies set out in Note 1,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had to make certain judgements about complex transactions or those involving uncertainty about future events.</w:t>
      </w:r>
    </w:p>
    <w:p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critical judgements made in the Statement of Accounts are:</w:t>
      </w:r>
    </w:p>
    <w:p w:rsidR="00183652" w:rsidRPr="0068094B" w:rsidRDefault="00183652" w:rsidP="006A4558">
      <w:pPr>
        <w:widowControl/>
        <w:tabs>
          <w:tab w:val="left" w:pos="0"/>
        </w:tabs>
        <w:autoSpaceDE w:val="0"/>
        <w:autoSpaceDN w:val="0"/>
        <w:adjustRightInd w:val="0"/>
        <w:rPr>
          <w:rFonts w:asciiTheme="minorHAnsi" w:hAnsiTheme="minorHAnsi" w:cstheme="minorHAnsi"/>
          <w:color w:val="000000"/>
          <w:sz w:val="22"/>
          <w:szCs w:val="22"/>
          <w:highlight w:val="yellow"/>
        </w:rPr>
      </w:pPr>
    </w:p>
    <w:p w:rsidR="004E16FA" w:rsidRPr="0068094B" w:rsidRDefault="004E16FA" w:rsidP="007D7B32">
      <w:pPr>
        <w:pStyle w:val="ListParagraph"/>
        <w:numPr>
          <w:ilvl w:val="0"/>
          <w:numId w:val="41"/>
        </w:numPr>
        <w:tabs>
          <w:tab w:val="left" w:pos="0"/>
        </w:tabs>
        <w:autoSpaceDN w:val="0"/>
        <w:adjustRightInd w:val="0"/>
        <w:ind w:left="284" w:hanging="284"/>
        <w:rPr>
          <w:rFonts w:asciiTheme="minorHAnsi" w:hAnsiTheme="minorHAnsi" w:cstheme="minorHAnsi"/>
          <w:color w:val="000000"/>
          <w:szCs w:val="22"/>
        </w:rPr>
      </w:pPr>
      <w:r w:rsidRPr="0068094B">
        <w:rPr>
          <w:rFonts w:asciiTheme="minorHAnsi" w:hAnsiTheme="minorHAnsi" w:cstheme="minorHAnsi"/>
          <w:color w:val="000000"/>
          <w:szCs w:val="22"/>
        </w:rPr>
        <w:t xml:space="preserve">There is high degree of uncertainty about future levels of funding for local government.  However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has determined that this uncertainty is not yet sufficient to provide an indication that the assets of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might be impaired as a result of a need to close facilities and reduce levels of service provision.</w:t>
      </w:r>
    </w:p>
    <w:p w:rsidR="00594F52" w:rsidRPr="0068094B" w:rsidRDefault="00594F52" w:rsidP="00594F52">
      <w:pPr>
        <w:pStyle w:val="ListParagraph"/>
        <w:tabs>
          <w:tab w:val="left" w:pos="0"/>
        </w:tabs>
        <w:autoSpaceDN w:val="0"/>
        <w:adjustRightInd w:val="0"/>
        <w:ind w:left="284"/>
        <w:rPr>
          <w:rFonts w:asciiTheme="minorHAnsi" w:hAnsiTheme="minorHAnsi" w:cstheme="minorHAnsi"/>
          <w:color w:val="000000"/>
          <w:szCs w:val="22"/>
        </w:rPr>
      </w:pPr>
    </w:p>
    <w:p w:rsidR="00F95C2A" w:rsidRPr="0068094B" w:rsidRDefault="00F95C2A" w:rsidP="007D7B32">
      <w:pPr>
        <w:pStyle w:val="ListParagraph"/>
        <w:numPr>
          <w:ilvl w:val="0"/>
          <w:numId w:val="41"/>
        </w:numPr>
        <w:tabs>
          <w:tab w:val="left" w:pos="0"/>
        </w:tabs>
        <w:autoSpaceDN w:val="0"/>
        <w:adjustRightInd w:val="0"/>
        <w:ind w:left="284" w:hanging="284"/>
        <w:jc w:val="both"/>
        <w:rPr>
          <w:rFonts w:asciiTheme="minorHAnsi" w:hAnsiTheme="minorHAnsi" w:cstheme="minorHAnsi"/>
          <w:b/>
          <w:bCs/>
          <w:szCs w:val="22"/>
        </w:rPr>
      </w:pPr>
      <w:r w:rsidRPr="0068094B">
        <w:rPr>
          <w:rFonts w:asciiTheme="minorHAnsi" w:hAnsiTheme="minorHAnsi" w:cstheme="minorHAnsi"/>
          <w:szCs w:val="22"/>
        </w:rPr>
        <w:t xml:space="preserve">As the accounting treatment and disclosures for operating and finance leases are significantly different,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 has made judgements on whether its lease arrangements for land and buildings are operating leases or finance leases under the criteria of IAS17.  These judgements are made in accordance with the </w:t>
      </w:r>
      <w:r w:rsidR="00E16274" w:rsidRPr="0068094B">
        <w:rPr>
          <w:rFonts w:asciiTheme="minorHAnsi" w:hAnsiTheme="minorHAnsi" w:cstheme="minorHAnsi"/>
          <w:szCs w:val="22"/>
        </w:rPr>
        <w:t>Council</w:t>
      </w:r>
      <w:r w:rsidRPr="0068094B">
        <w:rPr>
          <w:rFonts w:asciiTheme="minorHAnsi" w:hAnsiTheme="minorHAnsi" w:cstheme="minorHAnsi"/>
          <w:szCs w:val="22"/>
        </w:rPr>
        <w:t>’s accounting policy on leases, and are based on a series of tests designed to assess whether the risks and rewards of ownership have been transferred from the lessor to the lessee.</w:t>
      </w:r>
    </w:p>
    <w:p w:rsidR="009943D3" w:rsidRPr="0068094B" w:rsidRDefault="009943D3" w:rsidP="006A4558">
      <w:pPr>
        <w:tabs>
          <w:tab w:val="left" w:pos="0"/>
        </w:tabs>
        <w:jc w:val="both"/>
        <w:rPr>
          <w:rFonts w:asciiTheme="minorHAnsi" w:hAnsiTheme="minorHAnsi" w:cstheme="minorHAnsi"/>
          <w:b/>
          <w:bCs/>
          <w:sz w:val="22"/>
          <w:szCs w:val="22"/>
        </w:rPr>
      </w:pPr>
    </w:p>
    <w:p w:rsidR="00183652" w:rsidRPr="0068094B" w:rsidRDefault="004A6511" w:rsidP="007D7B32">
      <w:pPr>
        <w:numPr>
          <w:ilvl w:val="0"/>
          <w:numId w:val="40"/>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Assumptions made about the future and other major sources of estimation uncertainty</w:t>
      </w:r>
    </w:p>
    <w:p w:rsidR="00183652" w:rsidRPr="0068094B" w:rsidRDefault="00183652" w:rsidP="006A4558">
      <w:pPr>
        <w:tabs>
          <w:tab w:val="left" w:pos="0"/>
        </w:tabs>
        <w:jc w:val="both"/>
        <w:rPr>
          <w:rFonts w:asciiTheme="minorHAnsi" w:hAnsiTheme="minorHAnsi" w:cstheme="minorHAnsi"/>
          <w:b/>
          <w:bCs/>
          <w:sz w:val="22"/>
          <w:szCs w:val="22"/>
        </w:rPr>
      </w:pPr>
    </w:p>
    <w:p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preparation of the Statement of Accounts requires management to make judgements, estimates and assumptions that affect the amounts reported for assets and liabilities as at the balance sheet date and the amounts reported for income and expenditure during the year.  However, the nature of estimation means that actual outcomes could differ from those estimates</w:t>
      </w:r>
      <w:r w:rsidR="00650803">
        <w:rPr>
          <w:rFonts w:asciiTheme="minorHAnsi" w:hAnsiTheme="minorHAnsi" w:cstheme="minorHAnsi"/>
          <w:color w:val="000000"/>
          <w:sz w:val="22"/>
          <w:szCs w:val="22"/>
        </w:rPr>
        <w:t>.</w:t>
      </w:r>
    </w:p>
    <w:p w:rsidR="0033009E" w:rsidRPr="0068094B" w:rsidRDefault="0033009E" w:rsidP="006A4558">
      <w:pPr>
        <w:widowControl/>
        <w:tabs>
          <w:tab w:val="left" w:pos="0"/>
        </w:tabs>
        <w:autoSpaceDE w:val="0"/>
        <w:rPr>
          <w:rFonts w:asciiTheme="minorHAnsi" w:hAnsiTheme="minorHAnsi" w:cstheme="minorHAnsi"/>
          <w:color w:val="000000"/>
          <w:sz w:val="22"/>
          <w:szCs w:val="22"/>
        </w:rPr>
      </w:pPr>
    </w:p>
    <w:p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key judgments and estimation uncertainty that have a significant risk of causing material adjustment to the carrying amounts of assets and liabilities within the next financial year are:</w:t>
      </w:r>
    </w:p>
    <w:p w:rsidR="003C3C10" w:rsidRPr="0068094B" w:rsidRDefault="003C3C10" w:rsidP="006A4558">
      <w:pPr>
        <w:widowControl/>
        <w:tabs>
          <w:tab w:val="left" w:pos="0"/>
        </w:tabs>
        <w:autoSpaceDE w:val="0"/>
        <w:rPr>
          <w:rFonts w:asciiTheme="minorHAnsi" w:hAnsiTheme="minorHAnsi" w:cstheme="minorHAnsi"/>
          <w:color w:val="000000"/>
          <w:sz w:val="22"/>
          <w:szCs w:val="22"/>
          <w:u w:val="single"/>
        </w:rPr>
      </w:pPr>
    </w:p>
    <w:p w:rsidR="00AD4CD3" w:rsidRPr="00A25D72" w:rsidRDefault="00AF0EDC" w:rsidP="006A4558">
      <w:pPr>
        <w:widowControl/>
        <w:tabs>
          <w:tab w:val="left" w:pos="0"/>
        </w:tabs>
        <w:autoSpaceDE w:val="0"/>
        <w:rPr>
          <w:rFonts w:asciiTheme="minorHAnsi" w:hAnsiTheme="minorHAnsi" w:cstheme="minorHAnsi"/>
          <w:color w:val="000000"/>
          <w:sz w:val="22"/>
          <w:szCs w:val="22"/>
          <w:u w:val="single"/>
        </w:rPr>
      </w:pPr>
      <w:r w:rsidRPr="00A25D72">
        <w:rPr>
          <w:rFonts w:asciiTheme="minorHAnsi" w:hAnsiTheme="minorHAnsi" w:cstheme="minorHAnsi"/>
          <w:color w:val="000000"/>
          <w:sz w:val="22"/>
          <w:szCs w:val="22"/>
          <w:u w:val="single"/>
        </w:rPr>
        <w:t>Business Rates</w:t>
      </w:r>
    </w:p>
    <w:p w:rsidR="00AF0EDC" w:rsidRPr="00A25D72" w:rsidRDefault="00AF0EDC" w:rsidP="006A4558">
      <w:pPr>
        <w:widowControl/>
        <w:tabs>
          <w:tab w:val="left" w:pos="0"/>
        </w:tabs>
        <w:autoSpaceDE w:val="0"/>
        <w:rPr>
          <w:rFonts w:asciiTheme="minorHAnsi" w:hAnsiTheme="minorHAnsi" w:cstheme="minorHAnsi"/>
          <w:color w:val="000000"/>
          <w:sz w:val="22"/>
          <w:szCs w:val="22"/>
        </w:rPr>
      </w:pPr>
    </w:p>
    <w:p w:rsidR="00A076F0" w:rsidRDefault="00901F88" w:rsidP="00AF0EDC">
      <w:pPr>
        <w:tabs>
          <w:tab w:val="left" w:pos="0"/>
        </w:tabs>
        <w:rPr>
          <w:rFonts w:asciiTheme="minorHAnsi" w:hAnsiTheme="minorHAnsi" w:cstheme="minorHAnsi"/>
          <w:bCs/>
          <w:sz w:val="22"/>
          <w:szCs w:val="22"/>
        </w:rPr>
      </w:pPr>
      <w:r w:rsidRPr="00A25D72">
        <w:rPr>
          <w:rFonts w:asciiTheme="minorHAnsi" w:hAnsiTheme="minorHAnsi" w:cstheme="minorHAnsi"/>
          <w:bCs/>
          <w:sz w:val="22"/>
          <w:szCs w:val="22"/>
        </w:rPr>
        <w:t xml:space="preserve">A provision has been recognised for the best estimate of the amount that businesses have been overcharged for Business Rates up to 31 March 2020.  The estimate has been calculated using the Valuation Office ratings list of appeals and the analysis of successful appeals to date and those </w:t>
      </w:r>
      <w:r w:rsidRPr="00A25D72">
        <w:rPr>
          <w:rFonts w:asciiTheme="minorHAnsi" w:hAnsiTheme="minorHAnsi" w:cstheme="minorHAnsi"/>
          <w:bCs/>
          <w:sz w:val="22"/>
          <w:szCs w:val="22"/>
        </w:rPr>
        <w:lastRenderedPageBreak/>
        <w:t>that might occur over the life of the rating list, when providing the estimate of total provision up to and including 31 March 2020. The Council’s share of the balance of business rates appeals provisions held at this date amounted to £1.3m (see Note 19), the reduction mainly a reflection of the impact of the 2019-20 West Sussex Business Rate pilot scheme.</w:t>
      </w:r>
    </w:p>
    <w:p w:rsidR="00784FE1" w:rsidRDefault="00784FE1" w:rsidP="00AF0EDC">
      <w:pPr>
        <w:tabs>
          <w:tab w:val="left" w:pos="0"/>
        </w:tabs>
        <w:rPr>
          <w:rFonts w:asciiTheme="minorHAnsi" w:hAnsiTheme="minorHAnsi" w:cstheme="minorHAnsi"/>
          <w:bCs/>
          <w:sz w:val="22"/>
          <w:szCs w:val="22"/>
        </w:rPr>
      </w:pPr>
    </w:p>
    <w:p w:rsidR="00A076F0" w:rsidRPr="00A82902" w:rsidRDefault="00A076F0" w:rsidP="00AF0EDC">
      <w:pPr>
        <w:tabs>
          <w:tab w:val="left" w:pos="0"/>
        </w:tabs>
        <w:rPr>
          <w:rFonts w:asciiTheme="minorHAnsi" w:hAnsiTheme="minorHAnsi" w:cstheme="minorHAnsi"/>
          <w:bCs/>
          <w:sz w:val="22"/>
          <w:szCs w:val="22"/>
          <w:u w:val="single"/>
        </w:rPr>
      </w:pPr>
      <w:r w:rsidRPr="00A82902">
        <w:rPr>
          <w:rFonts w:asciiTheme="minorHAnsi" w:hAnsiTheme="minorHAnsi" w:cstheme="minorHAnsi"/>
          <w:bCs/>
          <w:sz w:val="22"/>
          <w:szCs w:val="22"/>
          <w:u w:val="single"/>
        </w:rPr>
        <w:t xml:space="preserve">Valuation of </w:t>
      </w:r>
      <w:r w:rsidR="0065429A" w:rsidRPr="00A82902">
        <w:rPr>
          <w:rFonts w:asciiTheme="minorHAnsi" w:hAnsiTheme="minorHAnsi" w:cstheme="minorHAnsi"/>
          <w:bCs/>
          <w:sz w:val="22"/>
          <w:szCs w:val="22"/>
          <w:u w:val="single"/>
        </w:rPr>
        <w:t xml:space="preserve">investment assets held by the Local Authority Property Fund (LAPF) </w:t>
      </w:r>
      <w:r w:rsidR="000C2CB5" w:rsidRPr="00A82902">
        <w:rPr>
          <w:rFonts w:asciiTheme="minorHAnsi" w:hAnsiTheme="minorHAnsi" w:cstheme="minorHAnsi"/>
          <w:bCs/>
          <w:sz w:val="22"/>
          <w:szCs w:val="22"/>
          <w:u w:val="single"/>
        </w:rPr>
        <w:t>a</w:t>
      </w:r>
      <w:r w:rsidR="0065429A" w:rsidRPr="00A82902">
        <w:rPr>
          <w:rFonts w:asciiTheme="minorHAnsi" w:hAnsiTheme="minorHAnsi" w:cstheme="minorHAnsi"/>
          <w:bCs/>
          <w:sz w:val="22"/>
          <w:szCs w:val="22"/>
          <w:u w:val="single"/>
        </w:rPr>
        <w:t>nd other pooled property funds</w:t>
      </w:r>
    </w:p>
    <w:p w:rsidR="0065429A" w:rsidRPr="00A82902" w:rsidRDefault="0065429A" w:rsidP="00AF0EDC">
      <w:pPr>
        <w:tabs>
          <w:tab w:val="left" w:pos="0"/>
        </w:tabs>
        <w:rPr>
          <w:rFonts w:asciiTheme="minorHAnsi" w:hAnsiTheme="minorHAnsi" w:cstheme="minorHAnsi"/>
          <w:bCs/>
          <w:sz w:val="22"/>
          <w:szCs w:val="22"/>
        </w:rPr>
      </w:pPr>
    </w:p>
    <w:p w:rsidR="0065429A" w:rsidRPr="0068094B" w:rsidRDefault="0065429A" w:rsidP="00AF0EDC">
      <w:pPr>
        <w:tabs>
          <w:tab w:val="left" w:pos="0"/>
        </w:tabs>
        <w:rPr>
          <w:rFonts w:asciiTheme="minorHAnsi" w:hAnsiTheme="minorHAnsi" w:cstheme="minorHAnsi"/>
          <w:bCs/>
          <w:sz w:val="22"/>
          <w:szCs w:val="22"/>
        </w:rPr>
      </w:pPr>
      <w:r w:rsidRPr="00A82902">
        <w:rPr>
          <w:rFonts w:asciiTheme="minorHAnsi" w:hAnsiTheme="minorHAnsi" w:cstheme="minorHAnsi"/>
          <w:bCs/>
          <w:sz w:val="22"/>
          <w:szCs w:val="22"/>
        </w:rPr>
        <w:t>Given the unprecedented impact of COVID 19 and the Government’s  containment response on movement, economic activity and property markets (occupational and investment), the scale of the uncertainty surrounding property pricing and valuations means estimates of property values should be viewed as less reliable than normal in the present climate. The estimated values provided by the professional Investment Manager of the Fund(s) are based on the best available information, but may vary from actual as greater evidence emerges from more efficient markets.</w:t>
      </w:r>
    </w:p>
    <w:p w:rsidR="00AF0EDC" w:rsidRPr="0068094B" w:rsidRDefault="00AF0EDC" w:rsidP="006A4558">
      <w:pPr>
        <w:widowControl/>
        <w:tabs>
          <w:tab w:val="left" w:pos="0"/>
        </w:tabs>
        <w:autoSpaceDE w:val="0"/>
        <w:rPr>
          <w:rFonts w:asciiTheme="minorHAnsi" w:hAnsiTheme="minorHAnsi" w:cstheme="minorHAnsi"/>
          <w:color w:val="000000"/>
          <w:sz w:val="22"/>
          <w:szCs w:val="22"/>
          <w:u w:val="single"/>
        </w:rPr>
      </w:pPr>
    </w:p>
    <w:p w:rsidR="00183652" w:rsidRPr="0068094B" w:rsidRDefault="004A6511" w:rsidP="006A4558">
      <w:pPr>
        <w:widowControl/>
        <w:tabs>
          <w:tab w:val="left" w:pos="0"/>
        </w:tabs>
        <w:autoSpaceDE w:val="0"/>
        <w:rPr>
          <w:rFonts w:asciiTheme="minorHAnsi" w:hAnsiTheme="minorHAnsi" w:cstheme="minorHAnsi"/>
          <w:color w:val="000000"/>
          <w:sz w:val="22"/>
          <w:szCs w:val="22"/>
          <w:u w:val="single"/>
        </w:rPr>
      </w:pPr>
      <w:r w:rsidRPr="0068094B">
        <w:rPr>
          <w:rFonts w:asciiTheme="minorHAnsi" w:hAnsiTheme="minorHAnsi" w:cstheme="minorHAnsi"/>
          <w:color w:val="000000"/>
          <w:sz w:val="22"/>
          <w:szCs w:val="22"/>
          <w:u w:val="single"/>
        </w:rPr>
        <w:t>Pensions Liability</w:t>
      </w:r>
    </w:p>
    <w:p w:rsidR="00183652" w:rsidRPr="0068094B" w:rsidRDefault="00183652" w:rsidP="006A4558">
      <w:pPr>
        <w:widowControl/>
        <w:tabs>
          <w:tab w:val="left" w:pos="0"/>
        </w:tabs>
        <w:autoSpaceDE w:val="0"/>
        <w:rPr>
          <w:rFonts w:asciiTheme="minorHAnsi" w:hAnsiTheme="minorHAnsi" w:cstheme="minorHAnsi"/>
          <w:color w:val="000000"/>
          <w:sz w:val="22"/>
          <w:szCs w:val="22"/>
          <w:u w:val="single"/>
        </w:rPr>
      </w:pPr>
    </w:p>
    <w:p w:rsidR="00991320"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Estimation of the net liability to pay pensions depends on a number of complex judgements relating to the discount rate used, the rate at which salaries are projected to increase, changes in retirement ages, mortality rates and expected returns on pension fund assets.</w:t>
      </w:r>
      <w:r w:rsidR="00A23F83">
        <w:rPr>
          <w:rFonts w:asciiTheme="minorHAnsi" w:hAnsiTheme="minorHAnsi" w:cstheme="minorHAnsi"/>
          <w:sz w:val="22"/>
          <w:szCs w:val="22"/>
        </w:rPr>
        <w:t xml:space="preserve"> </w:t>
      </w:r>
      <w:r w:rsidRPr="0068094B">
        <w:rPr>
          <w:rFonts w:asciiTheme="minorHAnsi" w:hAnsiTheme="minorHAnsi" w:cstheme="minorHAnsi"/>
          <w:sz w:val="22"/>
          <w:szCs w:val="22"/>
        </w:rPr>
        <w:t xml:space="preserve"> A firm of consulting actuaries is engaged to provide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with expert advice about the assumptions to be applied. </w:t>
      </w:r>
    </w:p>
    <w:p w:rsidR="00991320" w:rsidRDefault="00991320" w:rsidP="006A4558">
      <w:pPr>
        <w:widowControl/>
        <w:tabs>
          <w:tab w:val="left" w:pos="0"/>
        </w:tabs>
        <w:autoSpaceDE w:val="0"/>
        <w:rPr>
          <w:rFonts w:asciiTheme="minorHAnsi" w:hAnsiTheme="minorHAnsi" w:cstheme="minorHAnsi"/>
          <w:sz w:val="22"/>
          <w:szCs w:val="22"/>
        </w:rPr>
      </w:pPr>
    </w:p>
    <w:p w:rsidR="00991320" w:rsidRPr="00991320" w:rsidRDefault="00991320" w:rsidP="00161567">
      <w:pPr>
        <w:pStyle w:val="BodyTextGrey"/>
        <w:rPr>
          <w:rStyle w:val="fontstyle01"/>
          <w:rFonts w:asciiTheme="minorHAnsi" w:hAnsiTheme="minorHAnsi" w:cstheme="minorHAnsi"/>
          <w:sz w:val="22"/>
          <w:szCs w:val="22"/>
        </w:rPr>
      </w:pPr>
      <w:r w:rsidRPr="00991320">
        <w:rPr>
          <w:rFonts w:asciiTheme="minorHAnsi" w:hAnsiTheme="minorHAnsi" w:cstheme="minorHAnsi"/>
          <w:color w:val="auto"/>
          <w:sz w:val="22"/>
          <w:szCs w:val="22"/>
        </w:rPr>
        <w:t>The Council recognised the liability for the McCloud/</w:t>
      </w:r>
      <w:proofErr w:type="spellStart"/>
      <w:r w:rsidRPr="00991320">
        <w:rPr>
          <w:rFonts w:asciiTheme="minorHAnsi" w:hAnsiTheme="minorHAnsi" w:cstheme="minorHAnsi"/>
          <w:color w:val="auto"/>
          <w:sz w:val="22"/>
          <w:szCs w:val="22"/>
        </w:rPr>
        <w:t>Sargeant</w:t>
      </w:r>
      <w:proofErr w:type="spellEnd"/>
      <w:r w:rsidRPr="00991320">
        <w:rPr>
          <w:rFonts w:asciiTheme="minorHAnsi" w:hAnsiTheme="minorHAnsi" w:cstheme="minorHAnsi"/>
          <w:color w:val="auto"/>
          <w:sz w:val="22"/>
          <w:szCs w:val="22"/>
        </w:rPr>
        <w:t xml:space="preserve"> judg</w:t>
      </w:r>
      <w:r w:rsidR="008D5809">
        <w:rPr>
          <w:rFonts w:asciiTheme="minorHAnsi" w:hAnsiTheme="minorHAnsi" w:cstheme="minorHAnsi"/>
          <w:color w:val="auto"/>
          <w:sz w:val="22"/>
          <w:szCs w:val="22"/>
        </w:rPr>
        <w:t>e</w:t>
      </w:r>
      <w:r w:rsidRPr="00991320">
        <w:rPr>
          <w:rFonts w:asciiTheme="minorHAnsi" w:hAnsiTheme="minorHAnsi" w:cstheme="minorHAnsi"/>
          <w:color w:val="auto"/>
          <w:sz w:val="22"/>
          <w:szCs w:val="22"/>
        </w:rPr>
        <w:t>ments in its accounts for 2018-19.</w:t>
      </w:r>
      <w:r>
        <w:rPr>
          <w:rFonts w:asciiTheme="minorHAnsi" w:hAnsiTheme="minorHAnsi" w:cstheme="minorHAnsi"/>
          <w:color w:val="auto"/>
          <w:sz w:val="22"/>
          <w:szCs w:val="22"/>
        </w:rPr>
        <w:t xml:space="preserve"> </w:t>
      </w:r>
      <w:r w:rsidR="008D5809">
        <w:rPr>
          <w:rFonts w:asciiTheme="minorHAnsi" w:hAnsiTheme="minorHAnsi" w:cstheme="minorHAnsi"/>
          <w:color w:val="auto"/>
          <w:sz w:val="22"/>
          <w:szCs w:val="22"/>
        </w:rPr>
        <w:t xml:space="preserve"> </w:t>
      </w:r>
      <w:r w:rsidRPr="00991320">
        <w:rPr>
          <w:rStyle w:val="fontstyle01"/>
          <w:rFonts w:asciiTheme="minorHAnsi" w:hAnsiTheme="minorHAnsi" w:cstheme="minorHAnsi"/>
          <w:sz w:val="22"/>
          <w:szCs w:val="22"/>
        </w:rPr>
        <w:t>The timetable for changes for each of the public service pension schemes</w:t>
      </w:r>
      <w:r w:rsidR="00C0232A">
        <w:rPr>
          <w:rStyle w:val="fontstyle01"/>
          <w:rFonts w:asciiTheme="minorHAnsi" w:hAnsiTheme="minorHAnsi" w:cstheme="minorHAnsi"/>
          <w:sz w:val="22"/>
          <w:szCs w:val="22"/>
        </w:rPr>
        <w:t xml:space="preserve"> affected by the judgements </w:t>
      </w:r>
      <w:r w:rsidRPr="00991320">
        <w:rPr>
          <w:rStyle w:val="fontstyle01"/>
          <w:rFonts w:asciiTheme="minorHAnsi" w:hAnsiTheme="minorHAnsi" w:cstheme="minorHAnsi"/>
          <w:sz w:val="22"/>
          <w:szCs w:val="22"/>
        </w:rPr>
        <w:t>is not yet certain</w:t>
      </w:r>
      <w:r w:rsidR="00C0232A">
        <w:rPr>
          <w:rStyle w:val="fontstyle01"/>
          <w:rFonts w:asciiTheme="minorHAnsi" w:hAnsiTheme="minorHAnsi" w:cstheme="minorHAnsi"/>
          <w:sz w:val="22"/>
          <w:szCs w:val="22"/>
        </w:rPr>
        <w:t xml:space="preserve">. This means that </w:t>
      </w:r>
      <w:r w:rsidR="008D5809">
        <w:rPr>
          <w:rStyle w:val="fontstyle01"/>
          <w:rFonts w:asciiTheme="minorHAnsi" w:hAnsiTheme="minorHAnsi" w:cstheme="minorHAnsi"/>
          <w:sz w:val="22"/>
          <w:szCs w:val="22"/>
        </w:rPr>
        <w:t xml:space="preserve">the remedy </w:t>
      </w:r>
      <w:r w:rsidR="00C0232A">
        <w:rPr>
          <w:rStyle w:val="fontstyle01"/>
          <w:rFonts w:asciiTheme="minorHAnsi" w:hAnsiTheme="minorHAnsi" w:cstheme="minorHAnsi"/>
          <w:sz w:val="22"/>
          <w:szCs w:val="22"/>
        </w:rPr>
        <w:t>r</w:t>
      </w:r>
      <w:r w:rsidR="008D5809">
        <w:rPr>
          <w:rStyle w:val="fontstyle01"/>
          <w:rFonts w:asciiTheme="minorHAnsi" w:hAnsiTheme="minorHAnsi" w:cstheme="minorHAnsi"/>
          <w:sz w:val="22"/>
          <w:szCs w:val="22"/>
        </w:rPr>
        <w:t>elating to the Local</w:t>
      </w:r>
      <w:r w:rsidR="00C0232A">
        <w:rPr>
          <w:rStyle w:val="fontstyle01"/>
          <w:rFonts w:asciiTheme="minorHAnsi" w:hAnsiTheme="minorHAnsi" w:cstheme="minorHAnsi"/>
          <w:sz w:val="22"/>
          <w:szCs w:val="22"/>
        </w:rPr>
        <w:t xml:space="preserve"> </w:t>
      </w:r>
      <w:r w:rsidR="008D5809">
        <w:rPr>
          <w:rStyle w:val="fontstyle01"/>
          <w:rFonts w:asciiTheme="minorHAnsi" w:hAnsiTheme="minorHAnsi" w:cstheme="minorHAnsi"/>
          <w:sz w:val="22"/>
          <w:szCs w:val="22"/>
        </w:rPr>
        <w:t>Government Pension Scheme has yet to be decided</w:t>
      </w:r>
      <w:r w:rsidR="00C0232A">
        <w:rPr>
          <w:rStyle w:val="fontstyle01"/>
          <w:rFonts w:asciiTheme="minorHAnsi" w:hAnsiTheme="minorHAnsi" w:cstheme="minorHAnsi"/>
          <w:sz w:val="22"/>
          <w:szCs w:val="22"/>
        </w:rPr>
        <w:t xml:space="preserve"> and as such any potential obligation cannot be measured with sufficient reliability</w:t>
      </w:r>
      <w:r w:rsidR="008D5809">
        <w:rPr>
          <w:rStyle w:val="fontstyle01"/>
          <w:rFonts w:asciiTheme="minorHAnsi" w:hAnsiTheme="minorHAnsi" w:cstheme="minorHAnsi"/>
          <w:sz w:val="22"/>
          <w:szCs w:val="22"/>
        </w:rPr>
        <w:t>.</w:t>
      </w:r>
      <w:r w:rsidR="00C0232A">
        <w:rPr>
          <w:rStyle w:val="fontstyle01"/>
          <w:rFonts w:asciiTheme="minorHAnsi" w:hAnsiTheme="minorHAnsi" w:cstheme="minorHAnsi"/>
          <w:sz w:val="22"/>
          <w:szCs w:val="22"/>
        </w:rPr>
        <w:t xml:space="preserve"> </w:t>
      </w:r>
      <w:r w:rsidR="008D5809">
        <w:rPr>
          <w:rStyle w:val="fontstyle01"/>
          <w:rFonts w:asciiTheme="minorHAnsi" w:hAnsiTheme="minorHAnsi" w:cstheme="minorHAnsi"/>
          <w:sz w:val="22"/>
          <w:szCs w:val="22"/>
        </w:rPr>
        <w:t xml:space="preserve"> It is also not yet known if local authorities will be required to carry the financial burden for the remedy</w:t>
      </w:r>
      <w:r w:rsidR="00650803">
        <w:rPr>
          <w:rStyle w:val="fontstyle01"/>
          <w:rFonts w:asciiTheme="minorHAnsi" w:hAnsiTheme="minorHAnsi" w:cstheme="minorHAnsi"/>
          <w:sz w:val="22"/>
          <w:szCs w:val="22"/>
        </w:rPr>
        <w:t>.</w:t>
      </w:r>
    </w:p>
    <w:p w:rsidR="00183652" w:rsidRPr="0068094B" w:rsidRDefault="00991320" w:rsidP="00C0232A">
      <w:pPr>
        <w:tabs>
          <w:tab w:val="left" w:pos="0"/>
        </w:tabs>
        <w:rPr>
          <w:rFonts w:asciiTheme="minorHAnsi" w:hAnsiTheme="minorHAnsi" w:cstheme="minorHAnsi"/>
          <w:sz w:val="22"/>
          <w:szCs w:val="22"/>
          <w:u w:val="single"/>
        </w:rPr>
      </w:pPr>
      <w:r w:rsidRPr="00991320">
        <w:rPr>
          <w:rStyle w:val="fontstyle01"/>
          <w:rFonts w:asciiTheme="minorHAnsi" w:hAnsiTheme="minorHAnsi" w:cstheme="minorHAnsi"/>
          <w:sz w:val="22"/>
          <w:szCs w:val="22"/>
        </w:rPr>
        <w:t xml:space="preserve"> </w:t>
      </w:r>
      <w:r w:rsidR="008E4F2A">
        <w:rPr>
          <w:rFonts w:asciiTheme="minorHAnsi" w:hAnsiTheme="minorHAnsi" w:cstheme="minorHAnsi"/>
          <w:sz w:val="22"/>
          <w:szCs w:val="22"/>
          <w:u w:val="single"/>
        </w:rPr>
        <w:t xml:space="preserve">Impairment </w:t>
      </w:r>
      <w:r w:rsidR="007E4B79">
        <w:rPr>
          <w:rFonts w:asciiTheme="minorHAnsi" w:hAnsiTheme="minorHAnsi" w:cstheme="minorHAnsi"/>
          <w:sz w:val="22"/>
          <w:szCs w:val="22"/>
          <w:u w:val="single"/>
        </w:rPr>
        <w:t>loss a</w:t>
      </w:r>
      <w:r w:rsidR="004A6511" w:rsidRPr="0068094B">
        <w:rPr>
          <w:rFonts w:asciiTheme="minorHAnsi" w:hAnsiTheme="minorHAnsi" w:cstheme="minorHAnsi"/>
          <w:sz w:val="22"/>
          <w:szCs w:val="22"/>
          <w:u w:val="single"/>
        </w:rPr>
        <w:t>llowance</w:t>
      </w:r>
    </w:p>
    <w:p w:rsidR="00183652" w:rsidRPr="0068094B" w:rsidRDefault="00183652" w:rsidP="006A4558">
      <w:pPr>
        <w:widowControl/>
        <w:tabs>
          <w:tab w:val="left" w:pos="0"/>
        </w:tabs>
        <w:autoSpaceDE w:val="0"/>
        <w:rPr>
          <w:rFonts w:asciiTheme="minorHAnsi" w:hAnsiTheme="minorHAnsi" w:cstheme="minorHAnsi"/>
          <w:sz w:val="22"/>
          <w:szCs w:val="22"/>
        </w:rPr>
      </w:pPr>
    </w:p>
    <w:p w:rsidR="00183652" w:rsidRPr="0068094B"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provided within its financial statements an estimated </w:t>
      </w:r>
      <w:r w:rsidR="008E4F2A">
        <w:rPr>
          <w:rFonts w:asciiTheme="minorHAnsi" w:hAnsiTheme="minorHAnsi" w:cstheme="minorHAnsi"/>
          <w:sz w:val="22"/>
          <w:szCs w:val="22"/>
        </w:rPr>
        <w:t xml:space="preserve">impairment </w:t>
      </w:r>
      <w:r w:rsidRPr="0068094B">
        <w:rPr>
          <w:rFonts w:asciiTheme="minorHAnsi" w:hAnsiTheme="minorHAnsi" w:cstheme="minorHAnsi"/>
          <w:sz w:val="22"/>
          <w:szCs w:val="22"/>
        </w:rPr>
        <w:t xml:space="preserve">allowance for </w:t>
      </w:r>
      <w:r w:rsidR="008E4F2A">
        <w:rPr>
          <w:rFonts w:asciiTheme="minorHAnsi" w:hAnsiTheme="minorHAnsi" w:cstheme="minorHAnsi"/>
          <w:sz w:val="22"/>
          <w:szCs w:val="22"/>
        </w:rPr>
        <w:t>relevant financial assets</w:t>
      </w:r>
      <w:r w:rsidRPr="0068094B">
        <w:rPr>
          <w:rFonts w:asciiTheme="minorHAnsi" w:hAnsiTheme="minorHAnsi" w:cstheme="minorHAnsi"/>
          <w:sz w:val="22"/>
          <w:szCs w:val="22"/>
        </w:rPr>
        <w:t xml:space="preserve"> to </w:t>
      </w:r>
      <w:r w:rsidR="007E4B79">
        <w:rPr>
          <w:rFonts w:asciiTheme="minorHAnsi" w:hAnsiTheme="minorHAnsi" w:cstheme="minorHAnsi"/>
          <w:sz w:val="22"/>
          <w:szCs w:val="22"/>
        </w:rPr>
        <w:t xml:space="preserve">reflect the risk that future cash flows will not be received. </w:t>
      </w:r>
      <w:r w:rsidRPr="0068094B">
        <w:rPr>
          <w:rFonts w:asciiTheme="minorHAnsi" w:hAnsiTheme="minorHAnsi" w:cstheme="minorHAnsi"/>
          <w:sz w:val="22"/>
          <w:szCs w:val="22"/>
        </w:rPr>
        <w:t>This allowance is by its nature an estimate</w:t>
      </w:r>
      <w:r w:rsidR="00650803">
        <w:rPr>
          <w:rFonts w:asciiTheme="minorHAnsi" w:hAnsiTheme="minorHAnsi" w:cstheme="minorHAnsi"/>
          <w:sz w:val="22"/>
          <w:szCs w:val="22"/>
        </w:rPr>
        <w:t>.</w:t>
      </w:r>
    </w:p>
    <w:p w:rsidR="00572652" w:rsidRDefault="00572652" w:rsidP="006A4558">
      <w:pPr>
        <w:widowControl/>
        <w:tabs>
          <w:tab w:val="left" w:pos="0"/>
        </w:tabs>
        <w:autoSpaceDE w:val="0"/>
        <w:rPr>
          <w:rFonts w:asciiTheme="minorHAnsi" w:hAnsiTheme="minorHAnsi" w:cstheme="minorHAnsi"/>
          <w:color w:val="000000"/>
          <w:sz w:val="22"/>
          <w:szCs w:val="22"/>
          <w:u w:val="single"/>
          <w:shd w:val="clear" w:color="auto" w:fill="FFFFFF"/>
        </w:rPr>
      </w:pPr>
    </w:p>
    <w:p w:rsidR="00255B74" w:rsidRPr="0068094B" w:rsidRDefault="00255B74" w:rsidP="006A4558">
      <w:pPr>
        <w:widowControl/>
        <w:tabs>
          <w:tab w:val="left" w:pos="0"/>
        </w:tabs>
        <w:autoSpaceDE w:val="0"/>
        <w:rPr>
          <w:rFonts w:asciiTheme="minorHAnsi" w:hAnsiTheme="minorHAnsi" w:cstheme="minorHAnsi"/>
          <w:color w:val="000000"/>
          <w:sz w:val="22"/>
          <w:szCs w:val="22"/>
          <w:u w:val="single"/>
          <w:shd w:val="clear" w:color="auto" w:fill="FFFFFF"/>
        </w:rPr>
      </w:pPr>
      <w:r w:rsidRPr="0068094B">
        <w:rPr>
          <w:rFonts w:asciiTheme="minorHAnsi" w:hAnsiTheme="minorHAnsi" w:cstheme="minorHAnsi"/>
          <w:color w:val="000000"/>
          <w:sz w:val="22"/>
          <w:szCs w:val="22"/>
          <w:u w:val="single"/>
          <w:shd w:val="clear" w:color="auto" w:fill="FFFFFF"/>
        </w:rPr>
        <w:t>Asset Valuations and Impairments</w:t>
      </w:r>
    </w:p>
    <w:p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rsidR="00255B74" w:rsidRDefault="00255B74" w:rsidP="006A4558">
      <w:pPr>
        <w:widowControl/>
        <w:tabs>
          <w:tab w:val="left" w:pos="0"/>
        </w:tabs>
        <w:autoSpaceDE w:val="0"/>
        <w:rPr>
          <w:rFonts w:asciiTheme="minorHAnsi" w:hAnsiTheme="minorHAnsi" w:cstheme="minorHAnsi"/>
          <w:color w:val="000000"/>
          <w:sz w:val="22"/>
          <w:szCs w:val="22"/>
          <w:shd w:val="clear" w:color="auto" w:fill="FFFFFF"/>
        </w:rPr>
      </w:pPr>
      <w:r w:rsidRPr="0068094B">
        <w:rPr>
          <w:rFonts w:asciiTheme="minorHAnsi" w:hAnsiTheme="minorHAnsi" w:cstheme="minorHAnsi"/>
          <w:color w:val="000000"/>
          <w:sz w:val="22"/>
          <w:szCs w:val="22"/>
          <w:shd w:val="clear" w:color="auto" w:fill="FFFFFF"/>
        </w:rPr>
        <w:t xml:space="preserve">Any asset valuation and impairment is based upon on an estimate and the </w:t>
      </w:r>
      <w:r w:rsidR="00E16274" w:rsidRPr="0068094B">
        <w:rPr>
          <w:rFonts w:asciiTheme="minorHAnsi" w:hAnsiTheme="minorHAnsi" w:cstheme="minorHAnsi"/>
          <w:color w:val="000000"/>
          <w:sz w:val="22"/>
          <w:szCs w:val="22"/>
          <w:shd w:val="clear" w:color="auto" w:fill="FFFFFF"/>
        </w:rPr>
        <w:t>Council</w:t>
      </w:r>
      <w:r w:rsidRPr="0068094B">
        <w:rPr>
          <w:rFonts w:asciiTheme="minorHAnsi" w:hAnsiTheme="minorHAnsi" w:cstheme="minorHAnsi"/>
          <w:color w:val="000000"/>
          <w:sz w:val="22"/>
          <w:szCs w:val="22"/>
          <w:shd w:val="clear" w:color="auto" w:fill="FFFFFF"/>
        </w:rPr>
        <w:t xml:space="preserve"> draws on the expertise of its valuer to calculate valuations, useful lives and impairment reviews in accordance with professional guidance.</w:t>
      </w:r>
    </w:p>
    <w:p w:rsidR="005262F0" w:rsidRDefault="005262F0" w:rsidP="006A4558">
      <w:pPr>
        <w:widowControl/>
        <w:tabs>
          <w:tab w:val="left" w:pos="0"/>
        </w:tabs>
        <w:autoSpaceDE w:val="0"/>
        <w:rPr>
          <w:rFonts w:asciiTheme="minorHAnsi" w:hAnsiTheme="minorHAnsi" w:cstheme="minorHAnsi"/>
          <w:color w:val="000000"/>
          <w:sz w:val="22"/>
          <w:szCs w:val="22"/>
          <w:shd w:val="clear" w:color="auto" w:fill="FFFFFF"/>
        </w:rPr>
      </w:pPr>
    </w:p>
    <w:p w:rsidR="001B610B" w:rsidRPr="001B610B" w:rsidRDefault="001B610B" w:rsidP="001B610B">
      <w:pPr>
        <w:widowControl/>
        <w:suppressAutoHyphens w:val="0"/>
        <w:rPr>
          <w:rFonts w:asciiTheme="minorHAnsi" w:hAnsiTheme="minorHAnsi" w:cstheme="minorHAnsi"/>
          <w:bCs/>
          <w:sz w:val="22"/>
          <w:szCs w:val="22"/>
        </w:rPr>
      </w:pPr>
      <w:r w:rsidRPr="001B610B">
        <w:rPr>
          <w:rFonts w:asciiTheme="minorHAnsi" w:hAnsiTheme="minorHAnsi" w:cstheme="minorHAnsi"/>
          <w:bCs/>
          <w:sz w:val="22"/>
          <w:szCs w:val="22"/>
        </w:rPr>
        <w:t xml:space="preserve">The valuations disclosed in Note 11 </w:t>
      </w:r>
      <w:r w:rsidR="00A81B99">
        <w:rPr>
          <w:rFonts w:asciiTheme="minorHAnsi" w:hAnsiTheme="minorHAnsi" w:cstheme="minorHAnsi"/>
          <w:bCs/>
          <w:sz w:val="22"/>
          <w:szCs w:val="22"/>
        </w:rPr>
        <w:t xml:space="preserve">and Note 12 </w:t>
      </w:r>
      <w:r w:rsidRPr="001B610B">
        <w:rPr>
          <w:rFonts w:asciiTheme="minorHAnsi" w:hAnsiTheme="minorHAnsi" w:cstheme="minorHAnsi"/>
          <w:bCs/>
          <w:sz w:val="22"/>
          <w:szCs w:val="22"/>
        </w:rPr>
        <w:t>were prepared during the period up to 31st March 2020, valuing the portfolio as at 28th February 2020 or earlier. During the intervening period, there has been the coronavirus pandemic, which has had and will have an impact on the global and national economy. As a result, on 18th March 2020, the RICS published a valuation practice alert, which suggested the following paragraph be inserted to valuation disclosure notes in general to provide more context to the impact recent events have had upon the reported property values at 31 March 2020.</w:t>
      </w:r>
    </w:p>
    <w:p w:rsidR="001B610B" w:rsidRPr="001B610B" w:rsidRDefault="001B610B" w:rsidP="001B610B">
      <w:pPr>
        <w:widowControl/>
        <w:suppressAutoHyphens w:val="0"/>
        <w:rPr>
          <w:rFonts w:asciiTheme="minorHAnsi" w:hAnsiTheme="minorHAnsi" w:cstheme="minorHAnsi"/>
          <w:bCs/>
          <w:sz w:val="22"/>
          <w:szCs w:val="22"/>
        </w:rPr>
      </w:pPr>
      <w:r w:rsidRPr="001B610B">
        <w:rPr>
          <w:rFonts w:asciiTheme="minorHAnsi" w:hAnsiTheme="minorHAnsi" w:cstheme="minorHAnsi"/>
          <w:bCs/>
          <w:sz w:val="22"/>
          <w:szCs w:val="22"/>
        </w:rPr>
        <w:t xml:space="preserve"> </w:t>
      </w:r>
    </w:p>
    <w:p w:rsidR="001B610B" w:rsidRDefault="001B610B" w:rsidP="001B610B">
      <w:pPr>
        <w:widowControl/>
        <w:suppressAutoHyphens w:val="0"/>
        <w:rPr>
          <w:rFonts w:asciiTheme="minorHAnsi" w:hAnsiTheme="minorHAnsi" w:cstheme="minorHAnsi"/>
          <w:bCs/>
          <w:sz w:val="22"/>
          <w:szCs w:val="22"/>
        </w:rPr>
      </w:pPr>
      <w:r w:rsidRPr="001B610B">
        <w:rPr>
          <w:rFonts w:asciiTheme="minorHAnsi" w:hAnsiTheme="minorHAnsi" w:cstheme="minorHAnsi"/>
          <w:bCs/>
          <w:sz w:val="22"/>
          <w:szCs w:val="22"/>
        </w:rPr>
        <w:t xml:space="preserve">‘The outbreak of the Novel Coronavirus (COVID-19), declared by the World Health Organisation as a “Global Pandemic” on 11 March 2020, has impacted global financial markets. Travel restrictions have been implemented by many countries. Market activity is being impacted in many sectors. As at the valuation date, we consider that we can attach less weight to previous </w:t>
      </w:r>
      <w:r w:rsidRPr="001B610B">
        <w:rPr>
          <w:rFonts w:asciiTheme="minorHAnsi" w:hAnsiTheme="minorHAnsi" w:cstheme="minorHAnsi"/>
          <w:bCs/>
          <w:sz w:val="22"/>
          <w:szCs w:val="22"/>
        </w:rPr>
        <w:lastRenderedPageBreak/>
        <w:t>market evidence for comparison purposes, to inform opinions of value.  Indeed, the current response to COVID-19 means that we are faced with an unprecedented set of circumstances on which to base a judgement. Our valuations are therefore reported on the basis of ‘material valuation uncertainty’ as per VPS 3 and VPGA 10 of the RICS Red Book Global. Consequently, less certainty – and a higher degree of caution – should be attached to our valuation than would normally be the case. Given the unknown future impact that COVID-19 might have on the real estate market, we recommend that you keep the valuation under frequent review.’</w:t>
      </w:r>
    </w:p>
    <w:p w:rsidR="001B610B" w:rsidRPr="001B610B" w:rsidRDefault="001B610B" w:rsidP="001B610B">
      <w:pPr>
        <w:widowControl/>
        <w:suppressAutoHyphens w:val="0"/>
        <w:rPr>
          <w:rFonts w:asciiTheme="minorHAnsi" w:hAnsiTheme="minorHAnsi" w:cstheme="minorHAnsi"/>
          <w:bCs/>
          <w:sz w:val="22"/>
          <w:szCs w:val="22"/>
        </w:rPr>
      </w:pPr>
    </w:p>
    <w:p w:rsidR="00CE18D3" w:rsidRDefault="00CE18D3" w:rsidP="001B610B">
      <w:pPr>
        <w:widowControl/>
        <w:tabs>
          <w:tab w:val="left" w:pos="0"/>
        </w:tabs>
        <w:autoSpaceDE w:val="0"/>
        <w:rPr>
          <w:rFonts w:asciiTheme="minorHAnsi" w:hAnsiTheme="minorHAnsi" w:cstheme="minorHAnsi"/>
          <w:bCs/>
          <w:sz w:val="22"/>
          <w:szCs w:val="22"/>
        </w:rPr>
      </w:pPr>
      <w:r w:rsidRPr="009723CE">
        <w:rPr>
          <w:rFonts w:asciiTheme="minorHAnsi" w:hAnsiTheme="minorHAnsi" w:cstheme="minorHAnsi"/>
          <w:bCs/>
          <w:sz w:val="22"/>
          <w:szCs w:val="22"/>
        </w:rPr>
        <w:t xml:space="preserve">Further work was undertaken by the Council’s valuer during the course of the audit period to review the asset valuations up to 31 March 2020.  The outcome of this review concluded </w:t>
      </w:r>
      <w:r w:rsidR="004625BC" w:rsidRPr="009723CE">
        <w:rPr>
          <w:rFonts w:asciiTheme="minorHAnsi" w:hAnsiTheme="minorHAnsi" w:cstheme="minorHAnsi"/>
          <w:bCs/>
          <w:sz w:val="22"/>
          <w:szCs w:val="22"/>
        </w:rPr>
        <w:t>that the</w:t>
      </w:r>
      <w:r w:rsidR="00BE0FCD" w:rsidRPr="009723CE">
        <w:rPr>
          <w:rFonts w:asciiTheme="minorHAnsi" w:hAnsiTheme="minorHAnsi" w:cstheme="minorHAnsi"/>
          <w:bCs/>
          <w:sz w:val="22"/>
          <w:szCs w:val="22"/>
        </w:rPr>
        <w:t xml:space="preserve"> statement of </w:t>
      </w:r>
      <w:r w:rsidR="00904B8E" w:rsidRPr="009723CE">
        <w:rPr>
          <w:rFonts w:asciiTheme="minorHAnsi" w:hAnsiTheme="minorHAnsi" w:cstheme="minorHAnsi"/>
          <w:bCs/>
          <w:sz w:val="22"/>
          <w:szCs w:val="22"/>
        </w:rPr>
        <w:t xml:space="preserve">material </w:t>
      </w:r>
      <w:r w:rsidR="004625BC" w:rsidRPr="009723CE">
        <w:rPr>
          <w:rFonts w:asciiTheme="minorHAnsi" w:hAnsiTheme="minorHAnsi" w:cstheme="minorHAnsi"/>
          <w:bCs/>
          <w:sz w:val="22"/>
          <w:szCs w:val="22"/>
        </w:rPr>
        <w:t xml:space="preserve">valuation </w:t>
      </w:r>
      <w:r w:rsidR="00904B8E" w:rsidRPr="009723CE">
        <w:rPr>
          <w:rFonts w:asciiTheme="minorHAnsi" w:hAnsiTheme="minorHAnsi" w:cstheme="minorHAnsi"/>
          <w:bCs/>
          <w:sz w:val="22"/>
          <w:szCs w:val="22"/>
        </w:rPr>
        <w:t>uncertain</w:t>
      </w:r>
      <w:r w:rsidR="00BE0FCD" w:rsidRPr="009723CE">
        <w:rPr>
          <w:rFonts w:asciiTheme="minorHAnsi" w:hAnsiTheme="minorHAnsi" w:cstheme="minorHAnsi"/>
          <w:bCs/>
          <w:sz w:val="22"/>
          <w:szCs w:val="22"/>
        </w:rPr>
        <w:t xml:space="preserve">ty </w:t>
      </w:r>
      <w:r w:rsidR="00904B8E" w:rsidRPr="009723CE">
        <w:rPr>
          <w:rFonts w:asciiTheme="minorHAnsi" w:hAnsiTheme="minorHAnsi" w:cstheme="minorHAnsi"/>
          <w:bCs/>
          <w:sz w:val="22"/>
          <w:szCs w:val="22"/>
        </w:rPr>
        <w:t>was no longer applicable</w:t>
      </w:r>
      <w:r w:rsidR="00BE0FCD" w:rsidRPr="009723CE">
        <w:rPr>
          <w:rFonts w:asciiTheme="minorHAnsi" w:hAnsiTheme="minorHAnsi" w:cstheme="minorHAnsi"/>
          <w:bCs/>
          <w:sz w:val="22"/>
          <w:szCs w:val="22"/>
        </w:rPr>
        <w:t xml:space="preserve"> in some cases</w:t>
      </w:r>
      <w:r w:rsidR="00650803">
        <w:rPr>
          <w:rFonts w:asciiTheme="minorHAnsi" w:hAnsiTheme="minorHAnsi" w:cstheme="minorHAnsi"/>
          <w:bCs/>
          <w:sz w:val="22"/>
          <w:szCs w:val="22"/>
        </w:rPr>
        <w:t>.</w:t>
      </w:r>
    </w:p>
    <w:p w:rsidR="001B610B" w:rsidRPr="001B610B" w:rsidRDefault="001B610B" w:rsidP="001B610B">
      <w:pPr>
        <w:widowControl/>
        <w:tabs>
          <w:tab w:val="left" w:pos="0"/>
        </w:tabs>
        <w:autoSpaceDE w:val="0"/>
        <w:rPr>
          <w:rFonts w:asciiTheme="minorHAnsi" w:hAnsiTheme="minorHAnsi" w:cstheme="minorHAnsi"/>
          <w:sz w:val="22"/>
          <w:szCs w:val="22"/>
          <w:shd w:val="clear" w:color="auto" w:fill="FFFFFF"/>
        </w:rPr>
      </w:pPr>
    </w:p>
    <w:p w:rsidR="005262F0" w:rsidRPr="0068094B" w:rsidRDefault="005262F0" w:rsidP="006A4558">
      <w:pPr>
        <w:widowControl/>
        <w:tabs>
          <w:tab w:val="left" w:pos="0"/>
        </w:tabs>
        <w:autoSpaceDE w:val="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For financial assets other than for level 1</w:t>
      </w:r>
      <w:r w:rsidR="00A8290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valuations, the Council has chosen a valuation technique that it judges is reasonable and is likely to produce a materially accurate estimation of the actual fair value of the asset.  Information about the valuation techniques adopted is described above (</w:t>
      </w:r>
      <w:r w:rsidR="00AA6056">
        <w:rPr>
          <w:rFonts w:asciiTheme="minorHAnsi" w:hAnsiTheme="minorHAnsi" w:cstheme="minorHAnsi"/>
          <w:color w:val="000000"/>
          <w:sz w:val="22"/>
          <w:szCs w:val="22"/>
          <w:shd w:val="clear" w:color="auto" w:fill="FFFFFF"/>
        </w:rPr>
        <w:t>1.</w:t>
      </w:r>
      <w:r w:rsidR="00747A51">
        <w:rPr>
          <w:rFonts w:asciiTheme="minorHAnsi" w:hAnsiTheme="minorHAnsi" w:cstheme="minorHAnsi"/>
          <w:color w:val="000000"/>
          <w:sz w:val="22"/>
          <w:szCs w:val="22"/>
          <w:shd w:val="clear" w:color="auto" w:fill="FFFFFF"/>
        </w:rPr>
        <w:t>9</w:t>
      </w:r>
      <w:r w:rsidR="00650803">
        <w:rPr>
          <w:rFonts w:asciiTheme="minorHAnsi" w:hAnsiTheme="minorHAnsi" w:cstheme="minorHAnsi"/>
          <w:color w:val="000000"/>
          <w:sz w:val="22"/>
          <w:szCs w:val="22"/>
          <w:shd w:val="clear" w:color="auto" w:fill="FFFFFF"/>
        </w:rPr>
        <w:t>)</w:t>
      </w:r>
    </w:p>
    <w:p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rsidR="00701292" w:rsidRPr="0068094B" w:rsidRDefault="00701292" w:rsidP="001E1440">
      <w:pPr>
        <w:widowControl/>
        <w:tabs>
          <w:tab w:val="left" w:pos="0"/>
        </w:tabs>
        <w:autoSpaceDE w:val="0"/>
        <w:rPr>
          <w:rFonts w:asciiTheme="minorHAnsi" w:hAnsiTheme="minorHAnsi" w:cstheme="minorHAnsi"/>
          <w:color w:val="000000"/>
          <w:sz w:val="22"/>
          <w:szCs w:val="22"/>
          <w:shd w:val="clear" w:color="auto" w:fill="FFFFFF"/>
        </w:rPr>
      </w:pPr>
    </w:p>
    <w:p w:rsidR="000C71DE" w:rsidRPr="0068094B" w:rsidRDefault="000C71DE" w:rsidP="001E1440">
      <w:pPr>
        <w:widowControl/>
        <w:tabs>
          <w:tab w:val="left" w:pos="0"/>
        </w:tabs>
        <w:autoSpaceDE w:val="0"/>
        <w:rPr>
          <w:rFonts w:asciiTheme="minorHAnsi" w:hAnsiTheme="minorHAnsi" w:cstheme="minorHAnsi"/>
          <w:color w:val="000000"/>
          <w:sz w:val="22"/>
          <w:szCs w:val="22"/>
          <w:shd w:val="clear" w:color="auto" w:fill="FFFFFF"/>
        </w:rPr>
        <w:sectPr w:rsidR="000C71DE" w:rsidRPr="0068094B" w:rsidSect="00420C36">
          <w:footnotePr>
            <w:pos w:val="beneathText"/>
          </w:footnotePr>
          <w:pgSz w:w="11906" w:h="16838"/>
          <w:pgMar w:top="851" w:right="1736" w:bottom="1418" w:left="1440" w:header="284" w:footer="576" w:gutter="0"/>
          <w:cols w:space="720"/>
          <w:docGrid w:linePitch="360"/>
        </w:sectPr>
      </w:pPr>
    </w:p>
    <w:p w:rsidR="00044691" w:rsidRPr="0068094B" w:rsidRDefault="00673B42" w:rsidP="007D7B32">
      <w:pPr>
        <w:numPr>
          <w:ilvl w:val="0"/>
          <w:numId w:val="40"/>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lastRenderedPageBreak/>
        <w:t>Expenditure and Funding Analysis</w:t>
      </w:r>
      <w:r w:rsidR="00044691" w:rsidRPr="0068094B">
        <w:rPr>
          <w:rFonts w:asciiTheme="minorHAnsi" w:hAnsiTheme="minorHAnsi" w:cstheme="minorHAnsi"/>
          <w:b/>
          <w:bCs/>
          <w:sz w:val="22"/>
          <w:szCs w:val="22"/>
        </w:rPr>
        <w:br/>
      </w:r>
    </w:p>
    <w:p w:rsidR="00673B42" w:rsidRPr="0068094B" w:rsidRDefault="00044691" w:rsidP="00044691">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 xml:space="preserve">The Expenditure and Funding Analysis shows how annual expenditure is used and funded from resources by local authorities in comparison with those resources consumed or earned by authorities in accordance with generally accepted accounting principles (GAAP). </w:t>
      </w:r>
    </w:p>
    <w:p w:rsidR="00044691" w:rsidRPr="0068094B" w:rsidRDefault="00044691" w:rsidP="00044691">
      <w:pPr>
        <w:tabs>
          <w:tab w:val="left" w:pos="0"/>
        </w:tabs>
        <w:rPr>
          <w:rFonts w:asciiTheme="minorHAnsi" w:hAnsiTheme="minorHAnsi" w:cstheme="minorHAnsi"/>
          <w:bCs/>
          <w:sz w:val="22"/>
          <w:szCs w:val="22"/>
        </w:rPr>
      </w:pPr>
    </w:p>
    <w:tbl>
      <w:tblPr>
        <w:tblW w:w="14176" w:type="dxa"/>
        <w:tblInd w:w="-34" w:type="dxa"/>
        <w:tblLayout w:type="fixed"/>
        <w:tblLook w:val="0000" w:firstRow="0" w:lastRow="0" w:firstColumn="0" w:lastColumn="0" w:noHBand="0" w:noVBand="0"/>
      </w:tblPr>
      <w:tblGrid>
        <w:gridCol w:w="1606"/>
        <w:gridCol w:w="1607"/>
        <w:gridCol w:w="1749"/>
        <w:gridCol w:w="4111"/>
        <w:gridCol w:w="1701"/>
        <w:gridCol w:w="1559"/>
        <w:gridCol w:w="1843"/>
      </w:tblGrid>
      <w:tr w:rsidR="00673B42" w:rsidRPr="0068094B" w:rsidTr="00E81D2B">
        <w:trPr>
          <w:trHeight w:val="340"/>
          <w:tblHeader/>
        </w:trPr>
        <w:tc>
          <w:tcPr>
            <w:tcW w:w="4962" w:type="dxa"/>
            <w:gridSpan w:val="3"/>
          </w:tcPr>
          <w:p w:rsidR="00673B42" w:rsidRPr="0068094B" w:rsidRDefault="00673B42" w:rsidP="00D23EE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201</w:t>
            </w:r>
            <w:r w:rsidR="00D23EE6">
              <w:rPr>
                <w:rFonts w:asciiTheme="minorHAnsi" w:hAnsiTheme="minorHAnsi" w:cstheme="minorHAnsi"/>
                <w:sz w:val="22"/>
                <w:szCs w:val="22"/>
              </w:rPr>
              <w:t>8</w:t>
            </w:r>
            <w:r w:rsidRPr="0068094B">
              <w:rPr>
                <w:rFonts w:asciiTheme="minorHAnsi" w:hAnsiTheme="minorHAnsi" w:cstheme="minorHAnsi"/>
                <w:sz w:val="22"/>
                <w:szCs w:val="22"/>
              </w:rPr>
              <w:t>-1</w:t>
            </w:r>
            <w:r w:rsidR="00D23EE6">
              <w:rPr>
                <w:rFonts w:asciiTheme="minorHAnsi" w:hAnsiTheme="minorHAnsi" w:cstheme="minorHAnsi"/>
                <w:sz w:val="22"/>
                <w:szCs w:val="22"/>
              </w:rPr>
              <w:t>9</w:t>
            </w:r>
            <w:r w:rsidR="000754F0">
              <w:rPr>
                <w:rFonts w:asciiTheme="minorHAnsi" w:hAnsiTheme="minorHAnsi" w:cstheme="minorHAnsi"/>
                <w:sz w:val="22"/>
                <w:szCs w:val="22"/>
              </w:rPr>
              <w:t xml:space="preserve"> (Restated)</w:t>
            </w:r>
          </w:p>
        </w:tc>
        <w:tc>
          <w:tcPr>
            <w:tcW w:w="4111" w:type="dxa"/>
          </w:tcPr>
          <w:p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5103" w:type="dxa"/>
            <w:gridSpan w:val="3"/>
            <w:shd w:val="clear" w:color="auto" w:fill="D9D9D9" w:themeFill="background1" w:themeFillShade="D9"/>
          </w:tcPr>
          <w:p w:rsidR="00673B42" w:rsidRPr="0068094B" w:rsidRDefault="00673B42" w:rsidP="00D23EE6">
            <w:pPr>
              <w:pStyle w:val="Heading1"/>
              <w:keepNext w:val="0"/>
              <w:snapToGrid w:val="0"/>
              <w:jc w:val="center"/>
              <w:rPr>
                <w:rFonts w:asciiTheme="minorHAnsi" w:hAnsiTheme="minorHAnsi" w:cstheme="minorHAnsi"/>
                <w:sz w:val="22"/>
                <w:szCs w:val="22"/>
              </w:rPr>
            </w:pPr>
            <w:r w:rsidRPr="0068094B">
              <w:rPr>
                <w:rFonts w:asciiTheme="minorHAnsi" w:hAnsiTheme="minorHAnsi" w:cstheme="minorHAnsi"/>
                <w:sz w:val="22"/>
                <w:szCs w:val="22"/>
              </w:rPr>
              <w:t>201</w:t>
            </w:r>
            <w:r w:rsidR="00D23EE6">
              <w:rPr>
                <w:rFonts w:asciiTheme="minorHAnsi" w:hAnsiTheme="minorHAnsi" w:cstheme="minorHAnsi"/>
                <w:sz w:val="22"/>
                <w:szCs w:val="22"/>
              </w:rPr>
              <w:t>9</w:t>
            </w:r>
            <w:r w:rsidRPr="0068094B">
              <w:rPr>
                <w:rFonts w:asciiTheme="minorHAnsi" w:hAnsiTheme="minorHAnsi" w:cstheme="minorHAnsi"/>
                <w:sz w:val="22"/>
                <w:szCs w:val="22"/>
              </w:rPr>
              <w:t>-</w:t>
            </w:r>
            <w:r w:rsidR="00D23EE6">
              <w:rPr>
                <w:rFonts w:asciiTheme="minorHAnsi" w:hAnsiTheme="minorHAnsi" w:cstheme="minorHAnsi"/>
                <w:sz w:val="22"/>
                <w:szCs w:val="22"/>
              </w:rPr>
              <w:t>20</w:t>
            </w:r>
          </w:p>
        </w:tc>
      </w:tr>
      <w:tr w:rsidR="006A7B07" w:rsidRPr="0068094B" w:rsidTr="00E81D2B">
        <w:trPr>
          <w:trHeight w:val="340"/>
          <w:tblHeader/>
        </w:trPr>
        <w:tc>
          <w:tcPr>
            <w:tcW w:w="1606" w:type="dxa"/>
            <w:vAlign w:val="bottom"/>
          </w:tcPr>
          <w:p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rsidR="007D7B32" w:rsidRDefault="0049652A" w:rsidP="0049652A">
            <w:pPr>
              <w:jc w:val="right"/>
              <w:rPr>
                <w:rFonts w:asciiTheme="minorHAnsi" w:hAnsiTheme="minorHAnsi" w:cstheme="minorHAnsi"/>
                <w:sz w:val="22"/>
                <w:szCs w:val="22"/>
              </w:rPr>
            </w:pPr>
            <w:r>
              <w:rPr>
                <w:rFonts w:asciiTheme="minorHAnsi" w:hAnsiTheme="minorHAnsi" w:cstheme="minorHAnsi"/>
                <w:sz w:val="22"/>
                <w:szCs w:val="22"/>
              </w:rPr>
              <w:t>Chargeable to the General Fund</w:t>
            </w:r>
          </w:p>
          <w:p w:rsidR="00C72621" w:rsidRPr="00C72621" w:rsidRDefault="00C72621" w:rsidP="0049652A">
            <w:pPr>
              <w:jc w:val="right"/>
              <w:rPr>
                <w:rFonts w:asciiTheme="minorHAnsi" w:hAnsiTheme="minorHAnsi" w:cstheme="minorHAnsi"/>
                <w:sz w:val="22"/>
                <w:szCs w:val="22"/>
              </w:rPr>
            </w:pPr>
          </w:p>
        </w:tc>
        <w:tc>
          <w:tcPr>
            <w:tcW w:w="1607" w:type="dxa"/>
            <w:vAlign w:val="bottom"/>
          </w:tcPr>
          <w:p w:rsidR="007D7B32" w:rsidRDefault="006A7B07" w:rsidP="0049652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w:t>
            </w:r>
            <w:r w:rsidR="0049652A">
              <w:rPr>
                <w:rFonts w:asciiTheme="minorHAnsi" w:hAnsiTheme="minorHAnsi" w:cstheme="minorHAnsi"/>
                <w:b w:val="0"/>
                <w:sz w:val="22"/>
                <w:szCs w:val="22"/>
              </w:rPr>
              <w:t>en funding and accounting basis</w:t>
            </w:r>
          </w:p>
          <w:p w:rsidR="00C72621" w:rsidRPr="00C72621" w:rsidRDefault="00C72621" w:rsidP="00D5174F"/>
        </w:tc>
        <w:tc>
          <w:tcPr>
            <w:tcW w:w="1749" w:type="dxa"/>
            <w:vAlign w:val="bottom"/>
          </w:tcPr>
          <w:p w:rsidR="00C72621" w:rsidRPr="0068094B" w:rsidRDefault="006A7B07" w:rsidP="00D5174F">
            <w:pPr>
              <w:jc w:val="right"/>
              <w:rPr>
                <w:rFonts w:asciiTheme="minorHAnsi" w:hAnsiTheme="minorHAnsi" w:cstheme="minorHAnsi"/>
                <w:sz w:val="22"/>
                <w:szCs w:val="22"/>
              </w:rPr>
            </w:pPr>
            <w:r w:rsidRPr="0068094B">
              <w:rPr>
                <w:rFonts w:asciiTheme="minorHAnsi" w:hAnsiTheme="minorHAnsi" w:cstheme="minorHAnsi"/>
                <w:sz w:val="22"/>
                <w:szCs w:val="22"/>
              </w:rPr>
              <w:t>Net expenditure in the Comprehensive Income and Expenditure statement</w:t>
            </w:r>
          </w:p>
        </w:tc>
        <w:tc>
          <w:tcPr>
            <w:tcW w:w="4111" w:type="dxa"/>
            <w:vAlign w:val="bottom"/>
          </w:tcPr>
          <w:p w:rsidR="006A7B07" w:rsidRPr="0068094B" w:rsidRDefault="006A7B07" w:rsidP="006A7B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sz w:val="22"/>
                <w:szCs w:val="22"/>
              </w:rPr>
            </w:pPr>
          </w:p>
        </w:tc>
        <w:tc>
          <w:tcPr>
            <w:tcW w:w="1701" w:type="dxa"/>
            <w:shd w:val="clear" w:color="auto" w:fill="D9D9D9" w:themeFill="background1" w:themeFillShade="D9"/>
            <w:vAlign w:val="bottom"/>
          </w:tcPr>
          <w:p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rsidR="006A7B07" w:rsidRDefault="006A7B07" w:rsidP="004B7EAA">
            <w:pPr>
              <w:jc w:val="right"/>
              <w:rPr>
                <w:rFonts w:asciiTheme="minorHAnsi" w:hAnsiTheme="minorHAnsi" w:cstheme="minorHAnsi"/>
                <w:sz w:val="22"/>
                <w:szCs w:val="22"/>
              </w:rPr>
            </w:pPr>
            <w:r w:rsidRPr="0068094B">
              <w:rPr>
                <w:rFonts w:asciiTheme="minorHAnsi" w:hAnsiTheme="minorHAnsi" w:cstheme="minorHAnsi"/>
                <w:sz w:val="22"/>
                <w:szCs w:val="22"/>
              </w:rPr>
              <w:t>Chargeable to the General Fund</w:t>
            </w:r>
          </w:p>
          <w:p w:rsidR="00C72621" w:rsidRPr="0068094B" w:rsidRDefault="00C72621" w:rsidP="004B7EAA">
            <w:pPr>
              <w:jc w:val="right"/>
              <w:rPr>
                <w:rFonts w:asciiTheme="minorHAnsi" w:hAnsiTheme="minorHAnsi" w:cstheme="minorHAnsi"/>
                <w:sz w:val="22"/>
                <w:szCs w:val="22"/>
              </w:rPr>
            </w:pPr>
          </w:p>
        </w:tc>
        <w:tc>
          <w:tcPr>
            <w:tcW w:w="1559" w:type="dxa"/>
            <w:shd w:val="clear" w:color="auto" w:fill="D9D9D9" w:themeFill="background1" w:themeFillShade="D9"/>
            <w:vAlign w:val="bottom"/>
          </w:tcPr>
          <w:p w:rsidR="006A7B07" w:rsidRDefault="006A7B07" w:rsidP="004B7EA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between funding and accounting basis</w:t>
            </w:r>
          </w:p>
          <w:p w:rsidR="00C72621" w:rsidRPr="00C72621" w:rsidRDefault="00C72621" w:rsidP="00C72621"/>
        </w:tc>
        <w:tc>
          <w:tcPr>
            <w:tcW w:w="1843" w:type="dxa"/>
            <w:shd w:val="clear" w:color="auto" w:fill="D9D9D9" w:themeFill="background1" w:themeFillShade="D9"/>
            <w:vAlign w:val="bottom"/>
          </w:tcPr>
          <w:p w:rsidR="00C72621" w:rsidRPr="00D5174F" w:rsidRDefault="006A7B07" w:rsidP="00D5174F">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Net expenditure in the Comprehensive Income and Expenditure statement</w:t>
            </w:r>
          </w:p>
        </w:tc>
      </w:tr>
      <w:tr w:rsidR="00673B42" w:rsidRPr="0068094B" w:rsidTr="00E81D2B">
        <w:trPr>
          <w:trHeight w:val="340"/>
          <w:tblHeader/>
        </w:trPr>
        <w:tc>
          <w:tcPr>
            <w:tcW w:w="1606" w:type="dxa"/>
            <w:tcBorders>
              <w:bottom w:val="single" w:sz="4" w:space="0" w:color="auto"/>
            </w:tcBorders>
            <w:vAlign w:val="center"/>
          </w:tcPr>
          <w:p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607" w:type="dxa"/>
            <w:tcBorders>
              <w:bottom w:val="single" w:sz="4" w:space="0" w:color="auto"/>
            </w:tcBorders>
            <w:vAlign w:val="center"/>
          </w:tcPr>
          <w:p w:rsidR="00673B42" w:rsidRPr="0068094B" w:rsidRDefault="00673B42"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749" w:type="dxa"/>
            <w:tcBorders>
              <w:bottom w:val="single" w:sz="4" w:space="0" w:color="auto"/>
            </w:tcBorders>
            <w:vAlign w:val="center"/>
          </w:tcPr>
          <w:p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4111" w:type="dxa"/>
            <w:vAlign w:val="center"/>
          </w:tcPr>
          <w:p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701" w:type="dxa"/>
            <w:tcBorders>
              <w:bottom w:val="single" w:sz="4" w:space="0" w:color="auto"/>
            </w:tcBorders>
            <w:shd w:val="clear" w:color="auto" w:fill="D9D9D9" w:themeFill="background1" w:themeFillShade="D9"/>
            <w:vAlign w:val="center"/>
          </w:tcPr>
          <w:p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59" w:type="dxa"/>
            <w:tcBorders>
              <w:bottom w:val="single" w:sz="4" w:space="0" w:color="auto"/>
            </w:tcBorders>
            <w:shd w:val="clear" w:color="auto" w:fill="D9D9D9" w:themeFill="background1" w:themeFillShade="D9"/>
            <w:vAlign w:val="center"/>
          </w:tcPr>
          <w:p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843" w:type="dxa"/>
            <w:tcBorders>
              <w:bottom w:val="single" w:sz="4" w:space="0" w:color="auto"/>
            </w:tcBorders>
            <w:shd w:val="clear" w:color="auto" w:fill="D9D9D9" w:themeFill="background1" w:themeFillShade="D9"/>
            <w:vAlign w:val="center"/>
          </w:tcPr>
          <w:p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D23EE6" w:rsidRPr="0068094B" w:rsidTr="00E81D2B">
        <w:trPr>
          <w:trHeight w:val="283"/>
        </w:trPr>
        <w:tc>
          <w:tcPr>
            <w:tcW w:w="1606" w:type="dxa"/>
            <w:tcBorders>
              <w:top w:val="single" w:sz="4" w:space="0" w:color="auto"/>
            </w:tcBorders>
            <w:shd w:val="clear" w:color="auto" w:fill="auto"/>
            <w:vAlign w:val="center"/>
          </w:tcPr>
          <w:p w:rsidR="00D23EE6" w:rsidRPr="00581207" w:rsidRDefault="00820EDE"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1,238</w:t>
            </w:r>
          </w:p>
        </w:tc>
        <w:tc>
          <w:tcPr>
            <w:tcW w:w="1607" w:type="dxa"/>
            <w:tcBorders>
              <w:top w:val="single" w:sz="4" w:space="0" w:color="auto"/>
            </w:tcBorders>
            <w:shd w:val="clear" w:color="auto" w:fill="auto"/>
            <w:vAlign w:val="center"/>
          </w:tcPr>
          <w:p w:rsidR="00D23EE6" w:rsidRPr="00581207" w:rsidRDefault="00822659"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808</w:t>
            </w:r>
          </w:p>
        </w:tc>
        <w:tc>
          <w:tcPr>
            <w:tcW w:w="1749" w:type="dxa"/>
            <w:tcBorders>
              <w:top w:val="single" w:sz="4" w:space="0" w:color="auto"/>
            </w:tcBorders>
            <w:shd w:val="clear" w:color="auto" w:fill="auto"/>
            <w:vAlign w:val="center"/>
          </w:tcPr>
          <w:p w:rsidR="00D23EE6" w:rsidRPr="00581207" w:rsidRDefault="00581207"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81207">
              <w:rPr>
                <w:rFonts w:asciiTheme="minorHAnsi" w:hAnsiTheme="minorHAnsi" w:cstheme="minorHAnsi"/>
                <w:b w:val="0"/>
                <w:sz w:val="22"/>
                <w:szCs w:val="22"/>
              </w:rPr>
              <w:t>2,046</w:t>
            </w:r>
          </w:p>
        </w:tc>
        <w:tc>
          <w:tcPr>
            <w:tcW w:w="4111" w:type="dxa"/>
            <w:vAlign w:val="center"/>
          </w:tcPr>
          <w:p w:rsidR="00D23EE6" w:rsidRPr="00230733" w:rsidRDefault="00D23EE6" w:rsidP="007D7B32">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Leader</w:t>
            </w:r>
          </w:p>
        </w:tc>
        <w:tc>
          <w:tcPr>
            <w:tcW w:w="1701" w:type="dxa"/>
            <w:tcBorders>
              <w:top w:val="single" w:sz="4" w:space="0" w:color="auto"/>
            </w:tcBorders>
            <w:shd w:val="clear" w:color="auto" w:fill="D9D9D9" w:themeFill="background1" w:themeFillShade="D9"/>
            <w:vAlign w:val="center"/>
          </w:tcPr>
          <w:p w:rsidR="00D23EE6" w:rsidRPr="00A82902" w:rsidRDefault="0013613A" w:rsidP="00F3160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966</w:t>
            </w:r>
          </w:p>
        </w:tc>
        <w:tc>
          <w:tcPr>
            <w:tcW w:w="1559" w:type="dxa"/>
            <w:tcBorders>
              <w:top w:val="single" w:sz="4" w:space="0" w:color="auto"/>
            </w:tcBorders>
            <w:shd w:val="clear" w:color="auto" w:fill="D9D9D9" w:themeFill="background1" w:themeFillShade="D9"/>
            <w:vAlign w:val="center"/>
          </w:tcPr>
          <w:p w:rsidR="00D23EE6" w:rsidRPr="00C90778" w:rsidRDefault="00A82902" w:rsidP="00DD327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241</w:t>
            </w:r>
          </w:p>
        </w:tc>
        <w:tc>
          <w:tcPr>
            <w:tcW w:w="1843" w:type="dxa"/>
            <w:tcBorders>
              <w:top w:val="single" w:sz="4" w:space="0" w:color="auto"/>
            </w:tcBorders>
            <w:shd w:val="clear" w:color="auto" w:fill="D9D9D9" w:themeFill="background1" w:themeFillShade="D9"/>
            <w:vAlign w:val="center"/>
          </w:tcPr>
          <w:p w:rsidR="00D23EE6" w:rsidRPr="00C90778" w:rsidRDefault="00A82902" w:rsidP="0003469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1,207</w:t>
            </w:r>
          </w:p>
        </w:tc>
      </w:tr>
      <w:tr w:rsidR="00D23EE6" w:rsidRPr="0068094B" w:rsidTr="00E81D2B">
        <w:trPr>
          <w:trHeight w:val="283"/>
        </w:trPr>
        <w:tc>
          <w:tcPr>
            <w:tcW w:w="1606" w:type="dxa"/>
            <w:shd w:val="clear" w:color="auto" w:fill="auto"/>
            <w:vAlign w:val="center"/>
          </w:tcPr>
          <w:p w:rsidR="00D23EE6" w:rsidRPr="00581207" w:rsidRDefault="00820ED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1,497</w:t>
            </w:r>
          </w:p>
        </w:tc>
        <w:tc>
          <w:tcPr>
            <w:tcW w:w="1607" w:type="dxa"/>
            <w:shd w:val="clear" w:color="auto" w:fill="auto"/>
            <w:vAlign w:val="center"/>
          </w:tcPr>
          <w:p w:rsidR="00D23EE6" w:rsidRPr="00581207" w:rsidRDefault="00822659" w:rsidP="008226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1,168</w:t>
            </w:r>
          </w:p>
        </w:tc>
        <w:tc>
          <w:tcPr>
            <w:tcW w:w="1749" w:type="dxa"/>
            <w:shd w:val="clear" w:color="auto" w:fill="auto"/>
            <w:vAlign w:val="center"/>
          </w:tcPr>
          <w:p w:rsidR="00D23EE6" w:rsidRPr="00581207" w:rsidRDefault="005812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2,665</w:t>
            </w:r>
          </w:p>
        </w:tc>
        <w:tc>
          <w:tcPr>
            <w:tcW w:w="4111" w:type="dxa"/>
            <w:vAlign w:val="center"/>
          </w:tcPr>
          <w:p w:rsidR="00D23EE6" w:rsidRPr="00230733" w:rsidRDefault="00230733" w:rsidP="007D7B32">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Planning</w:t>
            </w:r>
            <w:r w:rsidR="00D23EE6" w:rsidRPr="00230733">
              <w:rPr>
                <w:rFonts w:asciiTheme="minorHAnsi" w:hAnsiTheme="minorHAnsi" w:cstheme="minorHAnsi"/>
                <w:b w:val="0"/>
                <w:sz w:val="22"/>
                <w:szCs w:val="22"/>
                <w:lang w:val="en-US"/>
              </w:rPr>
              <w:t xml:space="preserve"> Services</w:t>
            </w:r>
          </w:p>
        </w:tc>
        <w:tc>
          <w:tcPr>
            <w:tcW w:w="1701" w:type="dxa"/>
            <w:shd w:val="clear" w:color="auto" w:fill="D9D9D9" w:themeFill="background1" w:themeFillShade="D9"/>
            <w:vAlign w:val="center"/>
          </w:tcPr>
          <w:p w:rsidR="00D23EE6" w:rsidRPr="00A82902" w:rsidRDefault="0013613A" w:rsidP="00E96A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1,066</w:t>
            </w:r>
          </w:p>
        </w:tc>
        <w:tc>
          <w:tcPr>
            <w:tcW w:w="1559" w:type="dxa"/>
            <w:shd w:val="clear" w:color="auto" w:fill="D9D9D9" w:themeFill="background1" w:themeFillShade="D9"/>
            <w:vAlign w:val="center"/>
          </w:tcPr>
          <w:p w:rsidR="00D23EE6" w:rsidRPr="00C90778" w:rsidRDefault="00DB5C14"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858</w:t>
            </w:r>
          </w:p>
        </w:tc>
        <w:tc>
          <w:tcPr>
            <w:tcW w:w="1843" w:type="dxa"/>
            <w:shd w:val="clear" w:color="auto" w:fill="D9D9D9" w:themeFill="background1" w:themeFillShade="D9"/>
            <w:vAlign w:val="center"/>
          </w:tcPr>
          <w:p w:rsidR="00D23EE6" w:rsidRPr="00C90778" w:rsidRDefault="0013613A" w:rsidP="00E96A6B">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1,924</w:t>
            </w:r>
          </w:p>
        </w:tc>
      </w:tr>
      <w:tr w:rsidR="00D23EE6" w:rsidRPr="0068094B" w:rsidTr="00E81D2B">
        <w:trPr>
          <w:trHeight w:val="283"/>
        </w:trPr>
        <w:tc>
          <w:tcPr>
            <w:tcW w:w="1606" w:type="dxa"/>
            <w:shd w:val="clear" w:color="auto" w:fill="auto"/>
            <w:vAlign w:val="center"/>
          </w:tcPr>
          <w:p w:rsidR="00D23EE6" w:rsidRPr="00581207" w:rsidRDefault="00820EDE"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1,698</w:t>
            </w:r>
          </w:p>
        </w:tc>
        <w:tc>
          <w:tcPr>
            <w:tcW w:w="1607" w:type="dxa"/>
            <w:shd w:val="clear" w:color="auto" w:fill="auto"/>
            <w:vAlign w:val="center"/>
          </w:tcPr>
          <w:p w:rsidR="00D23EE6" w:rsidRPr="00581207" w:rsidRDefault="00822659"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1,385</w:t>
            </w:r>
          </w:p>
        </w:tc>
        <w:tc>
          <w:tcPr>
            <w:tcW w:w="1749" w:type="dxa"/>
            <w:shd w:val="clear" w:color="auto" w:fill="auto"/>
            <w:vAlign w:val="center"/>
          </w:tcPr>
          <w:p w:rsidR="00D23EE6" w:rsidRPr="00581207" w:rsidRDefault="00581207"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3,083</w:t>
            </w:r>
          </w:p>
        </w:tc>
        <w:tc>
          <w:tcPr>
            <w:tcW w:w="4111" w:type="dxa"/>
            <w:vAlign w:val="center"/>
          </w:tcPr>
          <w:p w:rsidR="00D23EE6" w:rsidRPr="00230733" w:rsidRDefault="00D23EE6" w:rsidP="002307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Co</w:t>
            </w:r>
            <w:r w:rsidR="00230733" w:rsidRPr="00230733">
              <w:rPr>
                <w:rFonts w:asciiTheme="minorHAnsi" w:hAnsiTheme="minorHAnsi" w:cstheme="minorHAnsi"/>
                <w:b w:val="0"/>
                <w:sz w:val="22"/>
                <w:szCs w:val="22"/>
                <w:lang w:val="en-US"/>
              </w:rPr>
              <w:t xml:space="preserve">mmunity </w:t>
            </w:r>
            <w:r w:rsidRPr="00230733">
              <w:rPr>
                <w:rFonts w:asciiTheme="minorHAnsi" w:hAnsiTheme="minorHAnsi" w:cstheme="minorHAnsi"/>
                <w:b w:val="0"/>
                <w:sz w:val="22"/>
                <w:szCs w:val="22"/>
                <w:lang w:val="en-US"/>
              </w:rPr>
              <w:t>Services</w:t>
            </w:r>
            <w:r w:rsidR="0003216B">
              <w:rPr>
                <w:rFonts w:asciiTheme="minorHAnsi" w:hAnsiTheme="minorHAnsi" w:cstheme="minorHAnsi"/>
                <w:b w:val="0"/>
                <w:sz w:val="22"/>
                <w:szCs w:val="22"/>
                <w:lang w:val="en-US"/>
              </w:rPr>
              <w:t xml:space="preserve"> and Culture</w:t>
            </w:r>
            <w:r w:rsidRPr="00230733">
              <w:rPr>
                <w:rFonts w:asciiTheme="minorHAnsi" w:hAnsiTheme="minorHAnsi" w:cstheme="minorHAnsi"/>
                <w:b w:val="0"/>
                <w:sz w:val="22"/>
                <w:szCs w:val="22"/>
                <w:lang w:val="en-US"/>
              </w:rPr>
              <w:t xml:space="preserve"> </w:t>
            </w:r>
          </w:p>
        </w:tc>
        <w:tc>
          <w:tcPr>
            <w:tcW w:w="1701" w:type="dxa"/>
            <w:shd w:val="clear" w:color="auto" w:fill="D9D9D9" w:themeFill="background1" w:themeFillShade="D9"/>
            <w:vAlign w:val="center"/>
          </w:tcPr>
          <w:p w:rsidR="00D23EE6" w:rsidRPr="00A82902" w:rsidRDefault="0013613A" w:rsidP="000B0A1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1,545</w:t>
            </w:r>
          </w:p>
        </w:tc>
        <w:tc>
          <w:tcPr>
            <w:tcW w:w="1559" w:type="dxa"/>
            <w:shd w:val="clear" w:color="auto" w:fill="D9D9D9" w:themeFill="background1" w:themeFillShade="D9"/>
            <w:vAlign w:val="center"/>
          </w:tcPr>
          <w:p w:rsidR="00D23EE6" w:rsidRPr="00C90778" w:rsidRDefault="00DB5C14"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277</w:t>
            </w:r>
          </w:p>
        </w:tc>
        <w:tc>
          <w:tcPr>
            <w:tcW w:w="1843" w:type="dxa"/>
            <w:shd w:val="clear" w:color="auto" w:fill="D9D9D9" w:themeFill="background1" w:themeFillShade="D9"/>
            <w:vAlign w:val="center"/>
          </w:tcPr>
          <w:p w:rsidR="00D23EE6" w:rsidRPr="00C90778" w:rsidRDefault="0013613A" w:rsidP="000B0A1D">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1,822</w:t>
            </w:r>
          </w:p>
        </w:tc>
      </w:tr>
      <w:tr w:rsidR="00D23EE6" w:rsidRPr="0068094B" w:rsidTr="00E81D2B">
        <w:trPr>
          <w:trHeight w:val="283"/>
        </w:trPr>
        <w:tc>
          <w:tcPr>
            <w:tcW w:w="1606" w:type="dxa"/>
            <w:shd w:val="clear" w:color="auto" w:fill="auto"/>
            <w:vAlign w:val="center"/>
          </w:tcPr>
          <w:p w:rsidR="00D23EE6" w:rsidRPr="00581207" w:rsidRDefault="00820EDE"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(4,530)</w:t>
            </w:r>
          </w:p>
        </w:tc>
        <w:tc>
          <w:tcPr>
            <w:tcW w:w="1607" w:type="dxa"/>
            <w:shd w:val="clear" w:color="auto" w:fill="auto"/>
            <w:vAlign w:val="center"/>
          </w:tcPr>
          <w:p w:rsidR="00D23EE6" w:rsidRPr="00581207" w:rsidRDefault="00822659"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2,658</w:t>
            </w:r>
          </w:p>
        </w:tc>
        <w:tc>
          <w:tcPr>
            <w:tcW w:w="1749" w:type="dxa"/>
            <w:shd w:val="clear" w:color="auto" w:fill="auto"/>
            <w:vAlign w:val="center"/>
          </w:tcPr>
          <w:p w:rsidR="00D23EE6" w:rsidRPr="00581207" w:rsidRDefault="00581207"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(1,872)</w:t>
            </w:r>
          </w:p>
        </w:tc>
        <w:tc>
          <w:tcPr>
            <w:tcW w:w="4111" w:type="dxa"/>
            <w:vAlign w:val="center"/>
          </w:tcPr>
          <w:p w:rsidR="00D23EE6" w:rsidRPr="00230733" w:rsidRDefault="0003216B" w:rsidP="002307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Pr>
                <w:rFonts w:asciiTheme="minorHAnsi" w:hAnsiTheme="minorHAnsi" w:cstheme="minorHAnsi"/>
                <w:b w:val="0"/>
                <w:sz w:val="22"/>
                <w:szCs w:val="22"/>
                <w:lang w:val="en-US"/>
              </w:rPr>
              <w:t>Growth, Place and Regeneration</w:t>
            </w:r>
          </w:p>
        </w:tc>
        <w:tc>
          <w:tcPr>
            <w:tcW w:w="1701" w:type="dxa"/>
            <w:shd w:val="clear" w:color="auto" w:fill="D9D9D9" w:themeFill="background1" w:themeFillShade="D9"/>
            <w:vAlign w:val="center"/>
          </w:tcPr>
          <w:p w:rsidR="00D23EE6" w:rsidRPr="00A82902" w:rsidRDefault="0013613A"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(4,2</w:t>
            </w:r>
            <w:r w:rsidR="00667502" w:rsidRPr="00A82902">
              <w:rPr>
                <w:rFonts w:asciiTheme="minorHAnsi" w:hAnsiTheme="minorHAnsi" w:cstheme="minorHAnsi"/>
                <w:b w:val="0"/>
                <w:bCs/>
                <w:sz w:val="22"/>
                <w:szCs w:val="22"/>
              </w:rPr>
              <w:t>38</w:t>
            </w:r>
            <w:r w:rsidRPr="00A82902">
              <w:rPr>
                <w:rFonts w:asciiTheme="minorHAnsi" w:hAnsiTheme="minorHAnsi" w:cstheme="minorHAnsi"/>
                <w:b w:val="0"/>
                <w:bCs/>
                <w:sz w:val="22"/>
                <w:szCs w:val="22"/>
              </w:rPr>
              <w:t>)</w:t>
            </w:r>
          </w:p>
        </w:tc>
        <w:tc>
          <w:tcPr>
            <w:tcW w:w="1559" w:type="dxa"/>
            <w:shd w:val="clear" w:color="auto" w:fill="D9D9D9" w:themeFill="background1" w:themeFillShade="D9"/>
            <w:vAlign w:val="center"/>
          </w:tcPr>
          <w:p w:rsidR="00D23EE6" w:rsidRPr="00C90778" w:rsidRDefault="00DD3276"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841</w:t>
            </w:r>
          </w:p>
        </w:tc>
        <w:tc>
          <w:tcPr>
            <w:tcW w:w="1843" w:type="dxa"/>
            <w:shd w:val="clear" w:color="auto" w:fill="D9D9D9" w:themeFill="background1" w:themeFillShade="D9"/>
            <w:vAlign w:val="center"/>
          </w:tcPr>
          <w:p w:rsidR="00D23EE6" w:rsidRPr="00C90778" w:rsidRDefault="0013613A" w:rsidP="0066750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(3</w:t>
            </w:r>
            <w:r w:rsidR="00667502" w:rsidRPr="00C90778">
              <w:rPr>
                <w:rFonts w:asciiTheme="minorHAnsi" w:hAnsiTheme="minorHAnsi" w:cstheme="minorHAnsi"/>
                <w:b w:val="0"/>
                <w:bCs/>
                <w:sz w:val="22"/>
                <w:szCs w:val="22"/>
              </w:rPr>
              <w:t>,397</w:t>
            </w:r>
            <w:r w:rsidRPr="00C90778">
              <w:rPr>
                <w:rFonts w:asciiTheme="minorHAnsi" w:hAnsiTheme="minorHAnsi" w:cstheme="minorHAnsi"/>
                <w:b w:val="0"/>
                <w:bCs/>
                <w:sz w:val="22"/>
                <w:szCs w:val="22"/>
              </w:rPr>
              <w:t>)</w:t>
            </w:r>
          </w:p>
        </w:tc>
      </w:tr>
      <w:tr w:rsidR="0003216B" w:rsidRPr="0068094B" w:rsidTr="00E81D2B">
        <w:trPr>
          <w:trHeight w:val="283"/>
        </w:trPr>
        <w:tc>
          <w:tcPr>
            <w:tcW w:w="1606" w:type="dxa"/>
            <w:shd w:val="clear" w:color="auto" w:fill="auto"/>
            <w:vAlign w:val="center"/>
          </w:tcPr>
          <w:p w:rsidR="0003216B" w:rsidRPr="00581207" w:rsidRDefault="00820EDE"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741</w:t>
            </w:r>
          </w:p>
        </w:tc>
        <w:tc>
          <w:tcPr>
            <w:tcW w:w="1607" w:type="dxa"/>
            <w:shd w:val="clear" w:color="auto" w:fill="auto"/>
            <w:vAlign w:val="center"/>
          </w:tcPr>
          <w:p w:rsidR="0003216B" w:rsidRPr="00581207" w:rsidRDefault="00822659" w:rsidP="008226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508</w:t>
            </w:r>
          </w:p>
        </w:tc>
        <w:tc>
          <w:tcPr>
            <w:tcW w:w="1749" w:type="dxa"/>
            <w:shd w:val="clear" w:color="auto" w:fill="auto"/>
            <w:vAlign w:val="center"/>
          </w:tcPr>
          <w:p w:rsidR="0003216B" w:rsidRPr="00581207" w:rsidRDefault="00581207"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1,249</w:t>
            </w:r>
          </w:p>
        </w:tc>
        <w:tc>
          <w:tcPr>
            <w:tcW w:w="4111" w:type="dxa"/>
            <w:vAlign w:val="center"/>
          </w:tcPr>
          <w:p w:rsidR="0003216B" w:rsidRPr="00230733" w:rsidRDefault="0003216B" w:rsidP="007D7B32">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Housing, Communications, Licensing</w:t>
            </w:r>
            <w:r>
              <w:rPr>
                <w:rFonts w:asciiTheme="minorHAnsi" w:hAnsiTheme="minorHAnsi" w:cstheme="minorHAnsi"/>
                <w:b w:val="0"/>
                <w:sz w:val="22"/>
                <w:szCs w:val="22"/>
                <w:lang w:val="en-US"/>
              </w:rPr>
              <w:t xml:space="preserve"> and Events</w:t>
            </w:r>
          </w:p>
        </w:tc>
        <w:tc>
          <w:tcPr>
            <w:tcW w:w="1701" w:type="dxa"/>
            <w:shd w:val="clear" w:color="auto" w:fill="D9D9D9" w:themeFill="background1" w:themeFillShade="D9"/>
            <w:vAlign w:val="center"/>
          </w:tcPr>
          <w:p w:rsidR="0003216B" w:rsidRPr="00A82902" w:rsidRDefault="0013613A"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1,136</w:t>
            </w:r>
          </w:p>
        </w:tc>
        <w:tc>
          <w:tcPr>
            <w:tcW w:w="1559" w:type="dxa"/>
            <w:shd w:val="clear" w:color="auto" w:fill="D9D9D9" w:themeFill="background1" w:themeFillShade="D9"/>
            <w:vAlign w:val="center"/>
          </w:tcPr>
          <w:p w:rsidR="0003216B" w:rsidRPr="00C90778" w:rsidRDefault="00DB5C14"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714</w:t>
            </w:r>
          </w:p>
        </w:tc>
        <w:tc>
          <w:tcPr>
            <w:tcW w:w="1843" w:type="dxa"/>
            <w:shd w:val="clear" w:color="auto" w:fill="D9D9D9" w:themeFill="background1" w:themeFillShade="D9"/>
            <w:vAlign w:val="center"/>
          </w:tcPr>
          <w:p w:rsidR="0003216B" w:rsidRPr="00C90778" w:rsidRDefault="0013613A"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1,850</w:t>
            </w:r>
          </w:p>
        </w:tc>
      </w:tr>
      <w:tr w:rsidR="0003216B" w:rsidRPr="0068094B" w:rsidTr="00E81D2B">
        <w:trPr>
          <w:trHeight w:val="283"/>
        </w:trPr>
        <w:tc>
          <w:tcPr>
            <w:tcW w:w="1606" w:type="dxa"/>
            <w:shd w:val="clear" w:color="auto" w:fill="auto"/>
            <w:vAlign w:val="center"/>
          </w:tcPr>
          <w:p w:rsidR="0003216B" w:rsidRPr="00581207" w:rsidRDefault="00820EDE"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4,115</w:t>
            </w:r>
          </w:p>
        </w:tc>
        <w:tc>
          <w:tcPr>
            <w:tcW w:w="1607" w:type="dxa"/>
            <w:shd w:val="clear" w:color="auto" w:fill="auto"/>
            <w:vAlign w:val="center"/>
          </w:tcPr>
          <w:p w:rsidR="0003216B" w:rsidRPr="00581207" w:rsidRDefault="00822659" w:rsidP="008226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1,807</w:t>
            </w:r>
          </w:p>
        </w:tc>
        <w:tc>
          <w:tcPr>
            <w:tcW w:w="1749" w:type="dxa"/>
            <w:shd w:val="clear" w:color="auto" w:fill="auto"/>
            <w:vAlign w:val="center"/>
          </w:tcPr>
          <w:p w:rsidR="0003216B" w:rsidRPr="00581207" w:rsidRDefault="00581207"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5,922</w:t>
            </w:r>
          </w:p>
        </w:tc>
        <w:tc>
          <w:tcPr>
            <w:tcW w:w="4111" w:type="dxa"/>
            <w:vAlign w:val="center"/>
          </w:tcPr>
          <w:p w:rsidR="0003216B" w:rsidRPr="00230733" w:rsidRDefault="0003216B" w:rsidP="00BA6D1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Environment Services</w:t>
            </w:r>
            <w:r>
              <w:rPr>
                <w:rFonts w:asciiTheme="minorHAnsi" w:hAnsiTheme="minorHAnsi" w:cstheme="minorHAnsi"/>
                <w:b w:val="0"/>
                <w:sz w:val="22"/>
                <w:szCs w:val="22"/>
                <w:lang w:val="en-US"/>
              </w:rPr>
              <w:t xml:space="preserve"> and Chichester</w:t>
            </w:r>
            <w:r w:rsidR="00BA6D19">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US"/>
              </w:rPr>
              <w:t>Contract Services</w:t>
            </w:r>
          </w:p>
        </w:tc>
        <w:tc>
          <w:tcPr>
            <w:tcW w:w="1701" w:type="dxa"/>
            <w:shd w:val="clear" w:color="auto" w:fill="D9D9D9" w:themeFill="background1" w:themeFillShade="D9"/>
            <w:vAlign w:val="center"/>
          </w:tcPr>
          <w:p w:rsidR="0003216B" w:rsidRPr="00A82902" w:rsidRDefault="0013613A" w:rsidP="0007712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4,7</w:t>
            </w:r>
            <w:r w:rsidR="00077122" w:rsidRPr="00A82902">
              <w:rPr>
                <w:rFonts w:asciiTheme="minorHAnsi" w:hAnsiTheme="minorHAnsi" w:cstheme="minorHAnsi"/>
                <w:b w:val="0"/>
                <w:bCs/>
                <w:sz w:val="22"/>
                <w:szCs w:val="22"/>
              </w:rPr>
              <w:t>53</w:t>
            </w:r>
          </w:p>
        </w:tc>
        <w:tc>
          <w:tcPr>
            <w:tcW w:w="1559" w:type="dxa"/>
            <w:shd w:val="clear" w:color="auto" w:fill="D9D9D9" w:themeFill="background1" w:themeFillShade="D9"/>
            <w:vAlign w:val="center"/>
          </w:tcPr>
          <w:p w:rsidR="0003216B" w:rsidRPr="00C90778" w:rsidRDefault="00DB5C14"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1,869</w:t>
            </w:r>
          </w:p>
        </w:tc>
        <w:tc>
          <w:tcPr>
            <w:tcW w:w="1843" w:type="dxa"/>
            <w:shd w:val="clear" w:color="auto" w:fill="D9D9D9" w:themeFill="background1" w:themeFillShade="D9"/>
            <w:vAlign w:val="center"/>
          </w:tcPr>
          <w:p w:rsidR="0003216B" w:rsidRPr="00C90778" w:rsidRDefault="0013613A" w:rsidP="0007712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6,</w:t>
            </w:r>
            <w:r w:rsidR="00077122" w:rsidRPr="00C90778">
              <w:rPr>
                <w:rFonts w:asciiTheme="minorHAnsi" w:hAnsiTheme="minorHAnsi" w:cstheme="minorHAnsi"/>
                <w:b w:val="0"/>
                <w:bCs/>
                <w:sz w:val="22"/>
                <w:szCs w:val="22"/>
              </w:rPr>
              <w:t>622</w:t>
            </w:r>
          </w:p>
        </w:tc>
      </w:tr>
      <w:tr w:rsidR="0003216B" w:rsidRPr="0068094B" w:rsidTr="00E81D2B">
        <w:trPr>
          <w:trHeight w:val="283"/>
        </w:trPr>
        <w:tc>
          <w:tcPr>
            <w:tcW w:w="1606" w:type="dxa"/>
            <w:shd w:val="clear" w:color="auto" w:fill="auto"/>
            <w:vAlign w:val="center"/>
          </w:tcPr>
          <w:p w:rsidR="0003216B" w:rsidRPr="00581207" w:rsidRDefault="00820EDE"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5,970</w:t>
            </w:r>
          </w:p>
        </w:tc>
        <w:tc>
          <w:tcPr>
            <w:tcW w:w="1607" w:type="dxa"/>
            <w:shd w:val="clear" w:color="auto" w:fill="auto"/>
            <w:vAlign w:val="center"/>
          </w:tcPr>
          <w:p w:rsidR="0003216B" w:rsidRPr="00581207" w:rsidRDefault="00822659"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897</w:t>
            </w:r>
          </w:p>
        </w:tc>
        <w:tc>
          <w:tcPr>
            <w:tcW w:w="1749" w:type="dxa"/>
            <w:shd w:val="clear" w:color="auto" w:fill="auto"/>
            <w:vAlign w:val="center"/>
          </w:tcPr>
          <w:p w:rsidR="0003216B" w:rsidRPr="00581207" w:rsidRDefault="00581207"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6,867</w:t>
            </w:r>
          </w:p>
        </w:tc>
        <w:tc>
          <w:tcPr>
            <w:tcW w:w="4111" w:type="dxa"/>
            <w:vAlign w:val="center"/>
          </w:tcPr>
          <w:p w:rsidR="0003216B" w:rsidRPr="00230733" w:rsidRDefault="0003216B"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Pr>
                <w:rFonts w:asciiTheme="minorHAnsi" w:hAnsiTheme="minorHAnsi" w:cstheme="minorHAnsi"/>
                <w:b w:val="0"/>
                <w:sz w:val="22"/>
                <w:szCs w:val="22"/>
                <w:lang w:val="en-US"/>
              </w:rPr>
              <w:t>Finance, Corporate</w:t>
            </w:r>
            <w:r w:rsidRPr="00230733">
              <w:rPr>
                <w:rFonts w:asciiTheme="minorHAnsi" w:hAnsiTheme="minorHAnsi" w:cstheme="minorHAnsi"/>
                <w:b w:val="0"/>
                <w:sz w:val="22"/>
                <w:szCs w:val="22"/>
                <w:lang w:val="en-US"/>
              </w:rPr>
              <w:t xml:space="preserve"> Services</w:t>
            </w:r>
            <w:r>
              <w:rPr>
                <w:rFonts w:asciiTheme="minorHAnsi" w:hAnsiTheme="minorHAnsi" w:cstheme="minorHAnsi"/>
                <w:b w:val="0"/>
                <w:sz w:val="22"/>
                <w:szCs w:val="22"/>
                <w:lang w:val="en-US"/>
              </w:rPr>
              <w:t xml:space="preserve"> and Revenue and Benefits</w:t>
            </w:r>
          </w:p>
        </w:tc>
        <w:tc>
          <w:tcPr>
            <w:tcW w:w="1701" w:type="dxa"/>
            <w:shd w:val="clear" w:color="auto" w:fill="D9D9D9" w:themeFill="background1" w:themeFillShade="D9"/>
            <w:vAlign w:val="center"/>
          </w:tcPr>
          <w:p w:rsidR="0003216B" w:rsidRPr="00A82902" w:rsidRDefault="0013613A" w:rsidP="0007712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5,8</w:t>
            </w:r>
            <w:r w:rsidR="00077122" w:rsidRPr="00A82902">
              <w:rPr>
                <w:rFonts w:asciiTheme="minorHAnsi" w:hAnsiTheme="minorHAnsi" w:cstheme="minorHAnsi"/>
                <w:b w:val="0"/>
                <w:bCs/>
                <w:sz w:val="22"/>
                <w:szCs w:val="22"/>
              </w:rPr>
              <w:t>77</w:t>
            </w:r>
          </w:p>
        </w:tc>
        <w:tc>
          <w:tcPr>
            <w:tcW w:w="1559" w:type="dxa"/>
            <w:shd w:val="clear" w:color="auto" w:fill="D9D9D9" w:themeFill="background1" w:themeFillShade="D9"/>
            <w:vAlign w:val="center"/>
          </w:tcPr>
          <w:p w:rsidR="0003216B" w:rsidRPr="00C90778" w:rsidRDefault="00DB5C14"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1,597</w:t>
            </w:r>
          </w:p>
        </w:tc>
        <w:tc>
          <w:tcPr>
            <w:tcW w:w="1843" w:type="dxa"/>
            <w:shd w:val="clear" w:color="auto" w:fill="D9D9D9" w:themeFill="background1" w:themeFillShade="D9"/>
            <w:vAlign w:val="center"/>
          </w:tcPr>
          <w:p w:rsidR="0003216B" w:rsidRPr="00C90778" w:rsidRDefault="0013613A" w:rsidP="0007712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7,4</w:t>
            </w:r>
            <w:r w:rsidR="00077122" w:rsidRPr="00C90778">
              <w:rPr>
                <w:rFonts w:asciiTheme="minorHAnsi" w:hAnsiTheme="minorHAnsi" w:cstheme="minorHAnsi"/>
                <w:b w:val="0"/>
                <w:bCs/>
                <w:sz w:val="22"/>
                <w:szCs w:val="22"/>
              </w:rPr>
              <w:t>74</w:t>
            </w:r>
          </w:p>
        </w:tc>
      </w:tr>
      <w:tr w:rsidR="0003216B" w:rsidRPr="0068094B" w:rsidTr="00E34E51">
        <w:trPr>
          <w:trHeight w:val="283"/>
        </w:trPr>
        <w:tc>
          <w:tcPr>
            <w:tcW w:w="1606" w:type="dxa"/>
            <w:tcBorders>
              <w:top w:val="single" w:sz="4" w:space="0" w:color="000000"/>
            </w:tcBorders>
            <w:shd w:val="clear" w:color="auto" w:fill="auto"/>
            <w:vAlign w:val="center"/>
          </w:tcPr>
          <w:p w:rsidR="0003216B" w:rsidRPr="0068094B" w:rsidRDefault="000321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10,729</w:t>
            </w:r>
          </w:p>
        </w:tc>
        <w:tc>
          <w:tcPr>
            <w:tcW w:w="1607" w:type="dxa"/>
            <w:tcBorders>
              <w:top w:val="single" w:sz="4" w:space="0" w:color="000000"/>
            </w:tcBorders>
            <w:shd w:val="clear" w:color="auto" w:fill="auto"/>
            <w:vAlign w:val="center"/>
          </w:tcPr>
          <w:p w:rsidR="0003216B" w:rsidRPr="0068094B" w:rsidRDefault="000321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9,231</w:t>
            </w:r>
          </w:p>
        </w:tc>
        <w:tc>
          <w:tcPr>
            <w:tcW w:w="1749" w:type="dxa"/>
            <w:tcBorders>
              <w:top w:val="single" w:sz="4" w:space="0" w:color="000000"/>
            </w:tcBorders>
            <w:shd w:val="clear" w:color="auto" w:fill="auto"/>
            <w:vAlign w:val="center"/>
          </w:tcPr>
          <w:p w:rsidR="0003216B" w:rsidRPr="0068094B" w:rsidRDefault="000321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19,960</w:t>
            </w:r>
          </w:p>
        </w:tc>
        <w:tc>
          <w:tcPr>
            <w:tcW w:w="4111" w:type="dxa"/>
            <w:vAlign w:val="center"/>
          </w:tcPr>
          <w:p w:rsidR="0003216B" w:rsidRPr="0068094B" w:rsidRDefault="0003216B"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701" w:type="dxa"/>
            <w:tcBorders>
              <w:top w:val="single" w:sz="4" w:space="0" w:color="000000"/>
            </w:tcBorders>
            <w:shd w:val="clear" w:color="auto" w:fill="D9D9D9" w:themeFill="background1" w:themeFillShade="D9"/>
            <w:vAlign w:val="center"/>
          </w:tcPr>
          <w:p w:rsidR="0003216B" w:rsidRPr="00A82902" w:rsidRDefault="0013613A"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82902">
              <w:rPr>
                <w:rFonts w:asciiTheme="minorHAnsi" w:hAnsiTheme="minorHAnsi" w:cstheme="minorHAnsi"/>
                <w:sz w:val="22"/>
                <w:szCs w:val="22"/>
              </w:rPr>
              <w:t>11,</w:t>
            </w:r>
            <w:r w:rsidR="00667502" w:rsidRPr="00A82902">
              <w:rPr>
                <w:rFonts w:asciiTheme="minorHAnsi" w:hAnsiTheme="minorHAnsi" w:cstheme="minorHAnsi"/>
                <w:sz w:val="22"/>
                <w:szCs w:val="22"/>
              </w:rPr>
              <w:t>105</w:t>
            </w:r>
          </w:p>
        </w:tc>
        <w:tc>
          <w:tcPr>
            <w:tcW w:w="1559" w:type="dxa"/>
            <w:tcBorders>
              <w:top w:val="single" w:sz="4" w:space="0" w:color="000000"/>
            </w:tcBorders>
            <w:shd w:val="clear" w:color="auto" w:fill="D9D9D9" w:themeFill="background1" w:themeFillShade="D9"/>
            <w:vAlign w:val="center"/>
          </w:tcPr>
          <w:p w:rsidR="0003216B" w:rsidRPr="00C90778" w:rsidRDefault="00953DEB" w:rsidP="00A829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6,</w:t>
            </w:r>
            <w:r w:rsidR="00A82902" w:rsidRPr="00C90778">
              <w:rPr>
                <w:rFonts w:asciiTheme="minorHAnsi" w:hAnsiTheme="minorHAnsi" w:cstheme="minorHAnsi"/>
                <w:sz w:val="22"/>
                <w:szCs w:val="22"/>
              </w:rPr>
              <w:t>397</w:t>
            </w:r>
          </w:p>
        </w:tc>
        <w:tc>
          <w:tcPr>
            <w:tcW w:w="1843" w:type="dxa"/>
            <w:tcBorders>
              <w:top w:val="single" w:sz="4" w:space="0" w:color="000000"/>
            </w:tcBorders>
            <w:shd w:val="clear" w:color="auto" w:fill="D9D9D9" w:themeFill="background1" w:themeFillShade="D9"/>
            <w:vAlign w:val="center"/>
          </w:tcPr>
          <w:p w:rsidR="0003216B" w:rsidRPr="00C90778" w:rsidRDefault="0013613A" w:rsidP="00A829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17,</w:t>
            </w:r>
            <w:r w:rsidR="00A82902" w:rsidRPr="00C90778">
              <w:rPr>
                <w:rFonts w:asciiTheme="minorHAnsi" w:hAnsiTheme="minorHAnsi" w:cstheme="minorHAnsi"/>
                <w:sz w:val="22"/>
                <w:szCs w:val="22"/>
              </w:rPr>
              <w:t>502</w:t>
            </w:r>
          </w:p>
        </w:tc>
      </w:tr>
      <w:tr w:rsidR="0003216B" w:rsidRPr="0068094B" w:rsidTr="00E81D2B">
        <w:trPr>
          <w:trHeight w:val="283"/>
        </w:trPr>
        <w:tc>
          <w:tcPr>
            <w:tcW w:w="1606" w:type="dxa"/>
            <w:tcBorders>
              <w:bottom w:val="single" w:sz="4" w:space="0" w:color="auto"/>
            </w:tcBorders>
            <w:shd w:val="clear" w:color="auto" w:fill="auto"/>
            <w:vAlign w:val="center"/>
          </w:tcPr>
          <w:p w:rsidR="0003216B" w:rsidRPr="0068094B" w:rsidRDefault="000321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D16CC2">
              <w:rPr>
                <w:rFonts w:asciiTheme="minorHAnsi" w:hAnsiTheme="minorHAnsi" w:cstheme="minorHAnsi"/>
                <w:b w:val="0"/>
                <w:sz w:val="22"/>
                <w:szCs w:val="22"/>
              </w:rPr>
              <w:t>(15,991)</w:t>
            </w:r>
          </w:p>
        </w:tc>
        <w:tc>
          <w:tcPr>
            <w:tcW w:w="1607" w:type="dxa"/>
            <w:tcBorders>
              <w:bottom w:val="single" w:sz="4" w:space="0" w:color="auto"/>
            </w:tcBorders>
            <w:shd w:val="clear" w:color="auto" w:fill="auto"/>
            <w:vAlign w:val="center"/>
          </w:tcPr>
          <w:p w:rsidR="0003216B" w:rsidRPr="0068094B" w:rsidRDefault="000321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D16CC2">
              <w:rPr>
                <w:rFonts w:asciiTheme="minorHAnsi" w:hAnsiTheme="minorHAnsi" w:cstheme="minorHAnsi"/>
                <w:b w:val="0"/>
                <w:sz w:val="22"/>
                <w:szCs w:val="22"/>
              </w:rPr>
              <w:t>(14,012)</w:t>
            </w:r>
          </w:p>
        </w:tc>
        <w:tc>
          <w:tcPr>
            <w:tcW w:w="1749" w:type="dxa"/>
            <w:tcBorders>
              <w:bottom w:val="single" w:sz="4" w:space="0" w:color="auto"/>
            </w:tcBorders>
            <w:shd w:val="clear" w:color="auto" w:fill="auto"/>
            <w:vAlign w:val="center"/>
          </w:tcPr>
          <w:p w:rsidR="0003216B" w:rsidRPr="0068094B" w:rsidRDefault="000321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D16CC2">
              <w:rPr>
                <w:rFonts w:asciiTheme="minorHAnsi" w:hAnsiTheme="minorHAnsi" w:cstheme="minorHAnsi"/>
                <w:b w:val="0"/>
                <w:sz w:val="22"/>
                <w:szCs w:val="22"/>
              </w:rPr>
              <w:t>(30,003)</w:t>
            </w:r>
          </w:p>
        </w:tc>
        <w:tc>
          <w:tcPr>
            <w:tcW w:w="4111" w:type="dxa"/>
            <w:tcBorders>
              <w:bottom w:val="single" w:sz="4" w:space="0" w:color="auto"/>
            </w:tcBorders>
            <w:vAlign w:val="center"/>
          </w:tcPr>
          <w:p w:rsidR="0003216B" w:rsidRPr="0068094B" w:rsidRDefault="0003216B" w:rsidP="006A7B07">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701" w:type="dxa"/>
            <w:tcBorders>
              <w:bottom w:val="single" w:sz="4" w:space="0" w:color="auto"/>
            </w:tcBorders>
            <w:shd w:val="clear" w:color="auto" w:fill="D9D9D9" w:themeFill="background1" w:themeFillShade="D9"/>
            <w:vAlign w:val="center"/>
          </w:tcPr>
          <w:p w:rsidR="0003216B" w:rsidRPr="00A82902" w:rsidRDefault="00A97A3E" w:rsidP="00A97A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sz w:val="22"/>
                <w:szCs w:val="22"/>
              </w:rPr>
              <w:t>(14,877)</w:t>
            </w:r>
          </w:p>
        </w:tc>
        <w:tc>
          <w:tcPr>
            <w:tcW w:w="1559" w:type="dxa"/>
            <w:tcBorders>
              <w:bottom w:val="single" w:sz="4" w:space="0" w:color="auto"/>
            </w:tcBorders>
            <w:shd w:val="clear" w:color="auto" w:fill="D9D9D9" w:themeFill="background1" w:themeFillShade="D9"/>
            <w:vAlign w:val="center"/>
          </w:tcPr>
          <w:p w:rsidR="0003216B" w:rsidRPr="00C90778" w:rsidRDefault="00953DEB" w:rsidP="0003469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(238)</w:t>
            </w:r>
          </w:p>
        </w:tc>
        <w:tc>
          <w:tcPr>
            <w:tcW w:w="1843" w:type="dxa"/>
            <w:tcBorders>
              <w:bottom w:val="single" w:sz="4" w:space="0" w:color="auto"/>
            </w:tcBorders>
            <w:shd w:val="clear" w:color="auto" w:fill="D9D9D9" w:themeFill="background1" w:themeFillShade="D9"/>
            <w:vAlign w:val="center"/>
          </w:tcPr>
          <w:p w:rsidR="0003216B" w:rsidRPr="00C90778" w:rsidRDefault="00A97A3E" w:rsidP="0003469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(15,115)</w:t>
            </w:r>
          </w:p>
        </w:tc>
      </w:tr>
      <w:tr w:rsidR="0003216B" w:rsidRPr="0068094B" w:rsidTr="00E81D2B">
        <w:trPr>
          <w:trHeight w:val="283"/>
        </w:trPr>
        <w:tc>
          <w:tcPr>
            <w:tcW w:w="1606" w:type="dxa"/>
            <w:tcBorders>
              <w:top w:val="single" w:sz="4" w:space="0" w:color="auto"/>
              <w:bottom w:val="single" w:sz="4" w:space="0" w:color="auto"/>
            </w:tcBorders>
            <w:shd w:val="clear" w:color="auto" w:fill="auto"/>
            <w:vAlign w:val="center"/>
          </w:tcPr>
          <w:p w:rsidR="0003216B" w:rsidRPr="0068094B" w:rsidRDefault="0003216B"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D16CC2">
              <w:rPr>
                <w:rFonts w:asciiTheme="minorHAnsi" w:hAnsiTheme="minorHAnsi" w:cstheme="minorHAnsi"/>
                <w:bCs/>
                <w:sz w:val="22"/>
                <w:szCs w:val="22"/>
              </w:rPr>
              <w:t>(5,262)</w:t>
            </w:r>
          </w:p>
        </w:tc>
        <w:tc>
          <w:tcPr>
            <w:tcW w:w="1607" w:type="dxa"/>
            <w:tcBorders>
              <w:top w:val="single" w:sz="4" w:space="0" w:color="auto"/>
              <w:bottom w:val="single" w:sz="4" w:space="0" w:color="auto"/>
            </w:tcBorders>
            <w:shd w:val="clear" w:color="auto" w:fill="auto"/>
            <w:vAlign w:val="center"/>
          </w:tcPr>
          <w:p w:rsidR="0003216B" w:rsidRPr="0068094B"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D16CC2">
              <w:rPr>
                <w:rFonts w:asciiTheme="minorHAnsi" w:hAnsiTheme="minorHAnsi" w:cstheme="minorHAnsi"/>
                <w:bCs/>
                <w:sz w:val="22"/>
                <w:szCs w:val="22"/>
              </w:rPr>
              <w:t>(4,781)</w:t>
            </w:r>
          </w:p>
        </w:tc>
        <w:tc>
          <w:tcPr>
            <w:tcW w:w="1749" w:type="dxa"/>
            <w:tcBorders>
              <w:top w:val="single" w:sz="4" w:space="0" w:color="auto"/>
              <w:bottom w:val="single" w:sz="4" w:space="0" w:color="auto"/>
            </w:tcBorders>
            <w:shd w:val="clear" w:color="auto" w:fill="auto"/>
            <w:vAlign w:val="center"/>
          </w:tcPr>
          <w:p w:rsidR="0003216B" w:rsidRPr="0068094B"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D16CC2">
              <w:rPr>
                <w:rFonts w:asciiTheme="minorHAnsi" w:hAnsiTheme="minorHAnsi" w:cstheme="minorHAnsi"/>
                <w:bCs/>
                <w:sz w:val="22"/>
                <w:szCs w:val="22"/>
              </w:rPr>
              <w:t>(10,043)</w:t>
            </w:r>
          </w:p>
        </w:tc>
        <w:tc>
          <w:tcPr>
            <w:tcW w:w="4111" w:type="dxa"/>
            <w:tcBorders>
              <w:top w:val="single" w:sz="4" w:space="0" w:color="auto"/>
              <w:bottom w:val="single" w:sz="4" w:space="0" w:color="auto"/>
            </w:tcBorders>
            <w:vAlign w:val="center"/>
          </w:tcPr>
          <w:p w:rsidR="0003216B" w:rsidRPr="0068094B" w:rsidRDefault="0003216B" w:rsidP="006A7B07">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Pr>
                <w:rFonts w:asciiTheme="minorHAnsi" w:hAnsiTheme="minorHAnsi" w:cstheme="minorHAnsi"/>
                <w:sz w:val="22"/>
                <w:szCs w:val="22"/>
                <w:lang w:val="en-US"/>
              </w:rPr>
              <w:t>(</w:t>
            </w:r>
            <w:r w:rsidRPr="0068094B">
              <w:rPr>
                <w:rFonts w:asciiTheme="minorHAnsi" w:hAnsiTheme="minorHAnsi" w:cstheme="minorHAnsi"/>
                <w:sz w:val="22"/>
                <w:szCs w:val="22"/>
                <w:lang w:val="en-US"/>
              </w:rPr>
              <w:t>Surplus</w:t>
            </w:r>
            <w:r>
              <w:rPr>
                <w:rFonts w:asciiTheme="minorHAnsi" w:hAnsiTheme="minorHAnsi" w:cstheme="minorHAnsi"/>
                <w:sz w:val="22"/>
                <w:szCs w:val="22"/>
                <w:lang w:val="en-US"/>
              </w:rPr>
              <w:t>)</w:t>
            </w:r>
            <w:r w:rsidRPr="0068094B">
              <w:rPr>
                <w:rFonts w:asciiTheme="minorHAnsi" w:hAnsiTheme="minorHAnsi" w:cstheme="minorHAnsi"/>
                <w:sz w:val="22"/>
                <w:szCs w:val="22"/>
                <w:lang w:val="en-US"/>
              </w:rPr>
              <w:t xml:space="preserve"> or Deficit</w:t>
            </w:r>
          </w:p>
        </w:tc>
        <w:tc>
          <w:tcPr>
            <w:tcW w:w="1701" w:type="dxa"/>
            <w:tcBorders>
              <w:top w:val="single" w:sz="4" w:space="0" w:color="auto"/>
              <w:bottom w:val="single" w:sz="4" w:space="0" w:color="auto"/>
            </w:tcBorders>
            <w:shd w:val="clear" w:color="auto" w:fill="D9D9D9" w:themeFill="background1" w:themeFillShade="D9"/>
            <w:vAlign w:val="center"/>
          </w:tcPr>
          <w:p w:rsidR="0003216B" w:rsidRPr="00A82902" w:rsidRDefault="00A97A3E"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A82902">
              <w:rPr>
                <w:rFonts w:asciiTheme="minorHAnsi" w:hAnsiTheme="minorHAnsi" w:cstheme="minorHAnsi"/>
                <w:bCs/>
                <w:sz w:val="22"/>
                <w:szCs w:val="22"/>
              </w:rPr>
              <w:t>(3,7</w:t>
            </w:r>
            <w:r w:rsidR="00667502" w:rsidRPr="00A82902">
              <w:rPr>
                <w:rFonts w:asciiTheme="minorHAnsi" w:hAnsiTheme="minorHAnsi" w:cstheme="minorHAnsi"/>
                <w:bCs/>
                <w:sz w:val="22"/>
                <w:szCs w:val="22"/>
              </w:rPr>
              <w:t>72</w:t>
            </w:r>
            <w:r w:rsidRPr="00A82902">
              <w:rPr>
                <w:rFonts w:asciiTheme="minorHAnsi" w:hAnsiTheme="minorHAnsi" w:cstheme="minorHAnsi"/>
                <w:bCs/>
                <w:sz w:val="22"/>
                <w:szCs w:val="22"/>
              </w:rPr>
              <w:t>)</w:t>
            </w:r>
          </w:p>
        </w:tc>
        <w:tc>
          <w:tcPr>
            <w:tcW w:w="1559" w:type="dxa"/>
            <w:tcBorders>
              <w:top w:val="single" w:sz="4" w:space="0" w:color="auto"/>
              <w:bottom w:val="single" w:sz="4" w:space="0" w:color="auto"/>
            </w:tcBorders>
            <w:shd w:val="clear" w:color="auto" w:fill="D9D9D9" w:themeFill="background1" w:themeFillShade="D9"/>
            <w:vAlign w:val="center"/>
          </w:tcPr>
          <w:p w:rsidR="0003216B" w:rsidRPr="00C90778" w:rsidRDefault="00A82902" w:rsidP="00A8290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6</w:t>
            </w:r>
            <w:r w:rsidR="00953DEB" w:rsidRPr="00C90778">
              <w:rPr>
                <w:rFonts w:asciiTheme="minorHAnsi" w:hAnsiTheme="minorHAnsi" w:cstheme="minorHAnsi"/>
                <w:bCs/>
                <w:sz w:val="22"/>
                <w:szCs w:val="22"/>
              </w:rPr>
              <w:t>,</w:t>
            </w:r>
            <w:r w:rsidRPr="00C90778">
              <w:rPr>
                <w:rFonts w:asciiTheme="minorHAnsi" w:hAnsiTheme="minorHAnsi" w:cstheme="minorHAnsi"/>
                <w:bCs/>
                <w:sz w:val="22"/>
                <w:szCs w:val="22"/>
              </w:rPr>
              <w:t>159</w:t>
            </w:r>
          </w:p>
        </w:tc>
        <w:tc>
          <w:tcPr>
            <w:tcW w:w="1843" w:type="dxa"/>
            <w:tcBorders>
              <w:top w:val="single" w:sz="4" w:space="0" w:color="auto"/>
              <w:bottom w:val="single" w:sz="4" w:space="0" w:color="auto"/>
            </w:tcBorders>
            <w:shd w:val="clear" w:color="auto" w:fill="D9D9D9" w:themeFill="background1" w:themeFillShade="D9"/>
            <w:vAlign w:val="center"/>
          </w:tcPr>
          <w:p w:rsidR="0003216B" w:rsidRPr="00C90778" w:rsidRDefault="00A97A3E" w:rsidP="00A8290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2,</w:t>
            </w:r>
            <w:r w:rsidR="00A82902" w:rsidRPr="00C90778">
              <w:rPr>
                <w:rFonts w:asciiTheme="minorHAnsi" w:hAnsiTheme="minorHAnsi" w:cstheme="minorHAnsi"/>
                <w:bCs/>
                <w:sz w:val="22"/>
                <w:szCs w:val="22"/>
              </w:rPr>
              <w:t>387</w:t>
            </w:r>
          </w:p>
        </w:tc>
      </w:tr>
      <w:tr w:rsidR="0003216B" w:rsidRPr="0068094B" w:rsidTr="00E81D2B">
        <w:trPr>
          <w:trHeight w:val="283"/>
        </w:trPr>
        <w:tc>
          <w:tcPr>
            <w:tcW w:w="1606" w:type="dxa"/>
            <w:tcBorders>
              <w:top w:val="single" w:sz="4" w:space="0" w:color="auto"/>
            </w:tcBorders>
            <w:shd w:val="clear" w:color="auto" w:fill="auto"/>
            <w:vAlign w:val="center"/>
          </w:tcPr>
          <w:p w:rsidR="0003216B" w:rsidRPr="0068094B" w:rsidRDefault="0003216B"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(39,004)</w:t>
            </w:r>
          </w:p>
        </w:tc>
        <w:tc>
          <w:tcPr>
            <w:tcW w:w="1607" w:type="dxa"/>
            <w:tcBorders>
              <w:top w:val="single" w:sz="4" w:space="0" w:color="auto"/>
            </w:tcBorders>
            <w:shd w:val="clear" w:color="auto" w:fill="auto"/>
            <w:vAlign w:val="center"/>
          </w:tcPr>
          <w:p w:rsidR="0003216B" w:rsidRPr="0068094B"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749" w:type="dxa"/>
            <w:tcBorders>
              <w:top w:val="single" w:sz="4" w:space="0" w:color="auto"/>
            </w:tcBorders>
            <w:shd w:val="clear" w:color="auto" w:fill="auto"/>
            <w:vAlign w:val="center"/>
          </w:tcPr>
          <w:p w:rsidR="0003216B" w:rsidRPr="0068094B"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tcBorders>
              <w:top w:val="single" w:sz="4" w:space="0" w:color="auto"/>
            </w:tcBorders>
            <w:vAlign w:val="center"/>
          </w:tcPr>
          <w:p w:rsidR="0003216B" w:rsidRPr="0068094B" w:rsidRDefault="0003216B"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Opening General Fund Balance</w:t>
            </w:r>
          </w:p>
        </w:tc>
        <w:tc>
          <w:tcPr>
            <w:tcW w:w="1701" w:type="dxa"/>
            <w:tcBorders>
              <w:top w:val="single" w:sz="4" w:space="0" w:color="auto"/>
            </w:tcBorders>
            <w:shd w:val="clear" w:color="auto" w:fill="D9D9D9" w:themeFill="background1" w:themeFillShade="D9"/>
            <w:vAlign w:val="center"/>
          </w:tcPr>
          <w:p w:rsidR="0003216B" w:rsidRPr="00A82902" w:rsidRDefault="0003216B"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(44,266)</w:t>
            </w:r>
          </w:p>
        </w:tc>
        <w:tc>
          <w:tcPr>
            <w:tcW w:w="1559" w:type="dxa"/>
            <w:tcBorders>
              <w:top w:val="single" w:sz="4" w:space="0" w:color="auto"/>
            </w:tcBorders>
            <w:shd w:val="clear" w:color="auto" w:fill="auto"/>
            <w:vAlign w:val="center"/>
          </w:tcPr>
          <w:p w:rsidR="0003216B" w:rsidRPr="00A82902"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tcBorders>
              <w:top w:val="single" w:sz="4" w:space="0" w:color="auto"/>
            </w:tcBorders>
            <w:shd w:val="clear" w:color="auto" w:fill="auto"/>
            <w:vAlign w:val="center"/>
          </w:tcPr>
          <w:p w:rsidR="0003216B" w:rsidRPr="00A82902"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03216B" w:rsidRPr="0068094B" w:rsidTr="00E81D2B">
        <w:trPr>
          <w:trHeight w:val="283"/>
        </w:trPr>
        <w:tc>
          <w:tcPr>
            <w:tcW w:w="1606" w:type="dxa"/>
            <w:tcBorders>
              <w:bottom w:val="single" w:sz="4" w:space="0" w:color="000000"/>
            </w:tcBorders>
            <w:shd w:val="clear" w:color="auto" w:fill="auto"/>
            <w:vAlign w:val="center"/>
          </w:tcPr>
          <w:p w:rsidR="0003216B" w:rsidRPr="0068094B" w:rsidRDefault="0003216B"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(5,262)</w:t>
            </w:r>
          </w:p>
        </w:tc>
        <w:tc>
          <w:tcPr>
            <w:tcW w:w="1607" w:type="dxa"/>
            <w:shd w:val="clear" w:color="auto" w:fill="auto"/>
            <w:vAlign w:val="center"/>
          </w:tcPr>
          <w:p w:rsidR="0003216B" w:rsidRPr="0068094B"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749" w:type="dxa"/>
            <w:shd w:val="clear" w:color="auto" w:fill="auto"/>
            <w:vAlign w:val="center"/>
          </w:tcPr>
          <w:p w:rsidR="0003216B" w:rsidRPr="0068094B"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rsidR="0003216B" w:rsidRPr="0068094B" w:rsidRDefault="0003216B"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Less/ Plus Surplus or (Deficit) on General Fund in year</w:t>
            </w:r>
          </w:p>
        </w:tc>
        <w:tc>
          <w:tcPr>
            <w:tcW w:w="1701" w:type="dxa"/>
            <w:tcBorders>
              <w:bottom w:val="single" w:sz="4" w:space="0" w:color="000000"/>
            </w:tcBorders>
            <w:shd w:val="clear" w:color="auto" w:fill="D9D9D9" w:themeFill="background1" w:themeFillShade="D9"/>
            <w:vAlign w:val="center"/>
          </w:tcPr>
          <w:p w:rsidR="0003216B" w:rsidRPr="00A82902" w:rsidRDefault="00A97A3E"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(3,7</w:t>
            </w:r>
            <w:r w:rsidR="00667502" w:rsidRPr="00A82902">
              <w:rPr>
                <w:rFonts w:asciiTheme="minorHAnsi" w:hAnsiTheme="minorHAnsi" w:cstheme="minorHAnsi"/>
                <w:b w:val="0"/>
                <w:bCs/>
                <w:sz w:val="22"/>
                <w:szCs w:val="22"/>
              </w:rPr>
              <w:t>72</w:t>
            </w:r>
            <w:r w:rsidRPr="00A82902">
              <w:rPr>
                <w:rFonts w:asciiTheme="minorHAnsi" w:hAnsiTheme="minorHAnsi" w:cstheme="minorHAnsi"/>
                <w:b w:val="0"/>
                <w:bCs/>
                <w:sz w:val="22"/>
                <w:szCs w:val="22"/>
              </w:rPr>
              <w:t>)</w:t>
            </w:r>
          </w:p>
        </w:tc>
        <w:tc>
          <w:tcPr>
            <w:tcW w:w="1559" w:type="dxa"/>
            <w:shd w:val="clear" w:color="auto" w:fill="auto"/>
            <w:vAlign w:val="center"/>
          </w:tcPr>
          <w:p w:rsidR="0003216B" w:rsidRPr="00A82902"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shd w:val="clear" w:color="auto" w:fill="auto"/>
            <w:vAlign w:val="center"/>
          </w:tcPr>
          <w:p w:rsidR="0003216B" w:rsidRPr="00A82902"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03216B" w:rsidRPr="0068094B" w:rsidTr="00E81D2B">
        <w:trPr>
          <w:trHeight w:val="283"/>
        </w:trPr>
        <w:tc>
          <w:tcPr>
            <w:tcW w:w="1606" w:type="dxa"/>
            <w:tcBorders>
              <w:top w:val="single" w:sz="4" w:space="0" w:color="000000"/>
              <w:bottom w:val="single" w:sz="4" w:space="0" w:color="000000"/>
            </w:tcBorders>
            <w:shd w:val="clear" w:color="auto" w:fill="auto"/>
            <w:vAlign w:val="center"/>
          </w:tcPr>
          <w:p w:rsidR="0003216B" w:rsidRPr="0068094B" w:rsidRDefault="0003216B"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(44,266)</w:t>
            </w:r>
          </w:p>
        </w:tc>
        <w:tc>
          <w:tcPr>
            <w:tcW w:w="1607" w:type="dxa"/>
            <w:shd w:val="clear" w:color="auto" w:fill="auto"/>
            <w:vAlign w:val="center"/>
          </w:tcPr>
          <w:p w:rsidR="0003216B" w:rsidRPr="0068094B"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749" w:type="dxa"/>
            <w:shd w:val="clear" w:color="auto" w:fill="auto"/>
            <w:vAlign w:val="center"/>
          </w:tcPr>
          <w:p w:rsidR="0003216B" w:rsidRPr="0068094B" w:rsidRDefault="0003216B"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4111" w:type="dxa"/>
            <w:vAlign w:val="center"/>
          </w:tcPr>
          <w:p w:rsidR="0003216B" w:rsidRPr="0068094B" w:rsidRDefault="0003216B"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Closing General Fund balance at 31 March</w:t>
            </w:r>
          </w:p>
        </w:tc>
        <w:tc>
          <w:tcPr>
            <w:tcW w:w="1701" w:type="dxa"/>
            <w:tcBorders>
              <w:top w:val="single" w:sz="4" w:space="0" w:color="000000"/>
              <w:bottom w:val="single" w:sz="4" w:space="0" w:color="000000"/>
            </w:tcBorders>
            <w:shd w:val="clear" w:color="auto" w:fill="D9D9D9" w:themeFill="background1" w:themeFillShade="D9"/>
            <w:vAlign w:val="center"/>
          </w:tcPr>
          <w:p w:rsidR="0003216B" w:rsidRPr="00A82902" w:rsidRDefault="00A97A3E"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82902">
              <w:rPr>
                <w:rFonts w:asciiTheme="minorHAnsi" w:hAnsiTheme="minorHAnsi" w:cstheme="minorHAnsi"/>
                <w:sz w:val="22"/>
                <w:szCs w:val="22"/>
              </w:rPr>
              <w:t>(48,0</w:t>
            </w:r>
            <w:r w:rsidR="00667502" w:rsidRPr="00A82902">
              <w:rPr>
                <w:rFonts w:asciiTheme="minorHAnsi" w:hAnsiTheme="minorHAnsi" w:cstheme="minorHAnsi"/>
                <w:sz w:val="22"/>
                <w:szCs w:val="22"/>
              </w:rPr>
              <w:t>38</w:t>
            </w:r>
            <w:r w:rsidRPr="00A82902">
              <w:rPr>
                <w:rFonts w:asciiTheme="minorHAnsi" w:hAnsiTheme="minorHAnsi" w:cstheme="minorHAnsi"/>
                <w:sz w:val="22"/>
                <w:szCs w:val="22"/>
              </w:rPr>
              <w:t>)</w:t>
            </w:r>
          </w:p>
        </w:tc>
        <w:tc>
          <w:tcPr>
            <w:tcW w:w="1559" w:type="dxa"/>
            <w:shd w:val="clear" w:color="auto" w:fill="auto"/>
            <w:vAlign w:val="center"/>
          </w:tcPr>
          <w:p w:rsidR="0003216B" w:rsidRPr="00A82902" w:rsidRDefault="0003216B"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843" w:type="dxa"/>
            <w:shd w:val="clear" w:color="auto" w:fill="auto"/>
            <w:vAlign w:val="center"/>
          </w:tcPr>
          <w:p w:rsidR="0003216B" w:rsidRPr="00A82902" w:rsidRDefault="0003216B"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bl>
    <w:p w:rsidR="00650803" w:rsidRDefault="00650803" w:rsidP="00650803">
      <w:pPr>
        <w:tabs>
          <w:tab w:val="left" w:pos="0"/>
        </w:tabs>
        <w:jc w:val="both"/>
        <w:rPr>
          <w:rFonts w:asciiTheme="minorHAnsi" w:hAnsiTheme="minorHAnsi" w:cstheme="minorHAnsi"/>
          <w:b/>
          <w:bCs/>
          <w:sz w:val="22"/>
          <w:szCs w:val="22"/>
          <w:u w:val="single"/>
        </w:rPr>
      </w:pPr>
    </w:p>
    <w:p w:rsidR="003C6A01" w:rsidRPr="00650803" w:rsidRDefault="00650803" w:rsidP="00650803">
      <w:pPr>
        <w:widowControl/>
        <w:suppressAutoHyphens w:val="0"/>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rsidR="00F84C0D" w:rsidRPr="0068094B" w:rsidRDefault="000533C8" w:rsidP="00F84C0D">
      <w:pPr>
        <w:tabs>
          <w:tab w:val="left" w:pos="0"/>
        </w:tabs>
        <w:rPr>
          <w:rFonts w:asciiTheme="minorHAnsi" w:hAnsiTheme="minorHAnsi" w:cstheme="minorHAnsi"/>
          <w:b/>
          <w:bCs/>
          <w:sz w:val="22"/>
          <w:szCs w:val="22"/>
        </w:rPr>
      </w:pPr>
      <w:r>
        <w:rPr>
          <w:rFonts w:asciiTheme="minorHAnsi" w:hAnsiTheme="minorHAnsi" w:cstheme="minorHAnsi"/>
          <w:b/>
          <w:bCs/>
          <w:sz w:val="22"/>
          <w:szCs w:val="22"/>
        </w:rPr>
        <w:lastRenderedPageBreak/>
        <w:t>6</w:t>
      </w:r>
      <w:r w:rsidR="00F84C0D" w:rsidRPr="0068094B">
        <w:rPr>
          <w:rFonts w:asciiTheme="minorHAnsi" w:hAnsiTheme="minorHAnsi" w:cstheme="minorHAnsi"/>
          <w:b/>
          <w:bCs/>
          <w:sz w:val="22"/>
          <w:szCs w:val="22"/>
        </w:rPr>
        <w:t>a.</w:t>
      </w:r>
      <w:r w:rsidR="00F84C0D" w:rsidRPr="0068094B">
        <w:rPr>
          <w:rFonts w:asciiTheme="minorHAnsi" w:hAnsiTheme="minorHAnsi" w:cstheme="minorHAnsi"/>
          <w:b/>
          <w:bCs/>
          <w:sz w:val="22"/>
          <w:szCs w:val="22"/>
        </w:rPr>
        <w:tab/>
        <w:t>Note to the Expenditure and Funding Analysis</w:t>
      </w:r>
    </w:p>
    <w:p w:rsidR="00F84C0D" w:rsidRPr="0068094B" w:rsidRDefault="00F84C0D" w:rsidP="00F84C0D">
      <w:pPr>
        <w:tabs>
          <w:tab w:val="left" w:pos="0"/>
        </w:tabs>
        <w:rPr>
          <w:rFonts w:asciiTheme="minorHAnsi" w:hAnsiTheme="minorHAnsi" w:cstheme="minorHAnsi"/>
          <w:b/>
          <w:bCs/>
          <w:sz w:val="22"/>
          <w:szCs w:val="22"/>
        </w:rPr>
      </w:pPr>
    </w:p>
    <w:p w:rsidR="00044691" w:rsidRPr="0068094B" w:rsidRDefault="00F84C0D" w:rsidP="00FF7DC3">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 following table provides further information in relation to the </w:t>
      </w:r>
      <w:r w:rsidR="00ED3B24" w:rsidRPr="0068094B">
        <w:rPr>
          <w:rFonts w:asciiTheme="minorHAnsi" w:hAnsiTheme="minorHAnsi" w:cstheme="minorHAnsi"/>
          <w:bCs/>
          <w:sz w:val="22"/>
          <w:szCs w:val="22"/>
        </w:rPr>
        <w:t xml:space="preserve">statutory </w:t>
      </w:r>
      <w:r w:rsidRPr="0068094B">
        <w:rPr>
          <w:rFonts w:asciiTheme="minorHAnsi" w:hAnsiTheme="minorHAnsi" w:cstheme="minorHAnsi"/>
          <w:bCs/>
          <w:sz w:val="22"/>
          <w:szCs w:val="22"/>
        </w:rPr>
        <w:t>adjustments from the General Fund to arrive at the Comprehensive Income and Expenditure Statement amounts</w:t>
      </w:r>
      <w:r w:rsidR="00AD71B7" w:rsidRPr="0068094B">
        <w:rPr>
          <w:rFonts w:asciiTheme="minorHAnsi" w:hAnsiTheme="minorHAnsi" w:cstheme="minorHAnsi"/>
          <w:bCs/>
          <w:sz w:val="22"/>
          <w:szCs w:val="22"/>
        </w:rPr>
        <w:t xml:space="preserve">. More information about that effect of these entries on the Council’s reserves in respect of these items is shown in note </w:t>
      </w:r>
      <w:r w:rsidR="00184E4F">
        <w:rPr>
          <w:rFonts w:asciiTheme="minorHAnsi" w:hAnsiTheme="minorHAnsi" w:cstheme="minorHAnsi"/>
          <w:bCs/>
          <w:sz w:val="22"/>
          <w:szCs w:val="22"/>
        </w:rPr>
        <w:t>20</w:t>
      </w:r>
      <w:r w:rsidR="00AD71B7" w:rsidRPr="0068094B">
        <w:rPr>
          <w:rFonts w:asciiTheme="minorHAnsi" w:hAnsiTheme="minorHAnsi" w:cstheme="minorHAnsi"/>
          <w:bCs/>
          <w:sz w:val="22"/>
          <w:szCs w:val="22"/>
        </w:rPr>
        <w:t>.</w:t>
      </w:r>
      <w:r w:rsidRPr="0068094B">
        <w:rPr>
          <w:rFonts w:asciiTheme="minorHAnsi" w:hAnsiTheme="minorHAnsi" w:cstheme="minorHAnsi"/>
          <w:b/>
          <w:bCs/>
          <w:sz w:val="22"/>
          <w:szCs w:val="22"/>
        </w:rPr>
        <w:br/>
      </w:r>
    </w:p>
    <w:tbl>
      <w:tblPr>
        <w:tblW w:w="13892" w:type="dxa"/>
        <w:tblInd w:w="-34" w:type="dxa"/>
        <w:tblLayout w:type="fixed"/>
        <w:tblLook w:val="0000" w:firstRow="0" w:lastRow="0" w:firstColumn="0" w:lastColumn="0" w:noHBand="0" w:noVBand="0"/>
      </w:tblPr>
      <w:tblGrid>
        <w:gridCol w:w="1027"/>
        <w:gridCol w:w="1100"/>
        <w:gridCol w:w="1134"/>
        <w:gridCol w:w="1134"/>
        <w:gridCol w:w="5245"/>
        <w:gridCol w:w="1078"/>
        <w:gridCol w:w="1078"/>
        <w:gridCol w:w="1078"/>
        <w:gridCol w:w="1018"/>
      </w:tblGrid>
      <w:tr w:rsidR="00AF6D21" w:rsidRPr="0068094B" w:rsidTr="0015697B">
        <w:trPr>
          <w:trHeight w:val="340"/>
          <w:tblHeader/>
        </w:trPr>
        <w:tc>
          <w:tcPr>
            <w:tcW w:w="4395" w:type="dxa"/>
            <w:gridSpan w:val="4"/>
            <w:vAlign w:val="bottom"/>
          </w:tcPr>
          <w:p w:rsidR="00AF6D21" w:rsidRPr="00EC5272" w:rsidRDefault="00AF6D21"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r w:rsidRPr="0068094B">
              <w:rPr>
                <w:rFonts w:asciiTheme="minorHAnsi" w:hAnsiTheme="minorHAnsi" w:cstheme="minorHAnsi"/>
                <w:sz w:val="22"/>
                <w:szCs w:val="22"/>
              </w:rPr>
              <w:t>201</w:t>
            </w:r>
            <w:r w:rsidR="00EC5272">
              <w:rPr>
                <w:rFonts w:asciiTheme="minorHAnsi" w:hAnsiTheme="minorHAnsi" w:cstheme="minorHAnsi"/>
                <w:sz w:val="22"/>
                <w:szCs w:val="22"/>
              </w:rPr>
              <w:t>8</w:t>
            </w:r>
            <w:r w:rsidRPr="0068094B">
              <w:rPr>
                <w:rFonts w:asciiTheme="minorHAnsi" w:hAnsiTheme="minorHAnsi" w:cstheme="minorHAnsi"/>
                <w:sz w:val="22"/>
                <w:szCs w:val="22"/>
              </w:rPr>
              <w:t>-1</w:t>
            </w:r>
            <w:r w:rsidR="00EC5272">
              <w:rPr>
                <w:rFonts w:asciiTheme="minorHAnsi" w:hAnsiTheme="minorHAnsi" w:cstheme="minorHAnsi"/>
                <w:sz w:val="22"/>
                <w:szCs w:val="22"/>
              </w:rPr>
              <w:t>9</w:t>
            </w:r>
            <w:r w:rsidR="000754F0">
              <w:rPr>
                <w:rFonts w:asciiTheme="minorHAnsi" w:hAnsiTheme="minorHAnsi" w:cstheme="minorHAnsi"/>
                <w:sz w:val="22"/>
                <w:szCs w:val="22"/>
              </w:rPr>
              <w:t xml:space="preserve"> (Restated)</w:t>
            </w:r>
            <w:r w:rsidRPr="0068094B">
              <w:rPr>
                <w:rFonts w:asciiTheme="minorHAnsi" w:hAnsiTheme="minorHAnsi" w:cstheme="minorHAnsi"/>
                <w:sz w:val="22"/>
                <w:szCs w:val="22"/>
              </w:rPr>
              <w:br/>
            </w:r>
            <w:r w:rsidR="003806C6" w:rsidRPr="0068094B">
              <w:rPr>
                <w:rFonts w:asciiTheme="minorHAnsi" w:hAnsiTheme="minorHAnsi" w:cstheme="minorHAnsi"/>
                <w:b w:val="0"/>
                <w:sz w:val="22"/>
                <w:szCs w:val="22"/>
              </w:rPr>
              <w:t>Statutory a</w:t>
            </w:r>
            <w:r w:rsidRPr="0068094B">
              <w:rPr>
                <w:rFonts w:asciiTheme="minorHAnsi" w:hAnsiTheme="minorHAnsi" w:cstheme="minorHAnsi"/>
                <w:b w:val="0"/>
                <w:sz w:val="22"/>
                <w:szCs w:val="22"/>
              </w:rPr>
              <w:t>djustments for</w:t>
            </w:r>
            <w:r w:rsidR="00307C82" w:rsidRPr="0068094B">
              <w:rPr>
                <w:rFonts w:asciiTheme="minorHAnsi" w:hAnsiTheme="minorHAnsi" w:cstheme="minorHAnsi"/>
                <w:b w:val="0"/>
                <w:sz w:val="22"/>
                <w:szCs w:val="22"/>
              </w:rPr>
              <w:t>:</w:t>
            </w:r>
          </w:p>
          <w:p w:rsidR="00AF6D21" w:rsidRPr="0068094B" w:rsidRDefault="00AF6D21" w:rsidP="00AF6D21">
            <w:pPr>
              <w:rPr>
                <w:rFonts w:asciiTheme="minorHAnsi" w:hAnsiTheme="minorHAnsi" w:cstheme="minorHAnsi"/>
                <w:sz w:val="22"/>
                <w:szCs w:val="22"/>
              </w:rPr>
            </w:pPr>
          </w:p>
        </w:tc>
        <w:tc>
          <w:tcPr>
            <w:tcW w:w="5245" w:type="dxa"/>
          </w:tcPr>
          <w:p w:rsidR="00AF6D21" w:rsidRPr="0068094B" w:rsidRDefault="00AF6D21"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4252" w:type="dxa"/>
            <w:gridSpan w:val="4"/>
            <w:shd w:val="clear" w:color="auto" w:fill="D9D9D9" w:themeFill="background1" w:themeFillShade="D9"/>
            <w:vAlign w:val="bottom"/>
          </w:tcPr>
          <w:p w:rsidR="00AF6D21" w:rsidRPr="0068094B" w:rsidRDefault="00AF6D21" w:rsidP="00AF6D21">
            <w:pPr>
              <w:pStyle w:val="Heading1"/>
              <w:keepNext w:val="0"/>
              <w:snapToGrid w:val="0"/>
              <w:jc w:val="left"/>
              <w:rPr>
                <w:rFonts w:asciiTheme="minorHAnsi" w:hAnsiTheme="minorHAnsi" w:cstheme="minorHAnsi"/>
                <w:sz w:val="22"/>
                <w:szCs w:val="22"/>
              </w:rPr>
            </w:pPr>
            <w:r w:rsidRPr="0068094B">
              <w:rPr>
                <w:rFonts w:asciiTheme="minorHAnsi" w:hAnsiTheme="minorHAnsi" w:cstheme="minorHAnsi"/>
                <w:sz w:val="22"/>
                <w:szCs w:val="22"/>
              </w:rPr>
              <w:t>201</w:t>
            </w:r>
            <w:r w:rsidR="00EC5272">
              <w:rPr>
                <w:rFonts w:asciiTheme="minorHAnsi" w:hAnsiTheme="minorHAnsi" w:cstheme="minorHAnsi"/>
                <w:sz w:val="22"/>
                <w:szCs w:val="22"/>
              </w:rPr>
              <w:t>9</w:t>
            </w:r>
            <w:r w:rsidRPr="0068094B">
              <w:rPr>
                <w:rFonts w:asciiTheme="minorHAnsi" w:hAnsiTheme="minorHAnsi" w:cstheme="minorHAnsi"/>
                <w:sz w:val="22"/>
                <w:szCs w:val="22"/>
              </w:rPr>
              <w:t>-</w:t>
            </w:r>
            <w:r w:rsidR="00EC5272">
              <w:rPr>
                <w:rFonts w:asciiTheme="minorHAnsi" w:hAnsiTheme="minorHAnsi" w:cstheme="minorHAnsi"/>
                <w:sz w:val="22"/>
                <w:szCs w:val="22"/>
              </w:rPr>
              <w:t>20</w:t>
            </w:r>
          </w:p>
          <w:p w:rsidR="00AF6D21" w:rsidRPr="0068094B" w:rsidRDefault="003806C6" w:rsidP="00AF6D21">
            <w:pPr>
              <w:rPr>
                <w:rFonts w:asciiTheme="minorHAnsi" w:hAnsiTheme="minorHAnsi" w:cstheme="minorHAnsi"/>
                <w:sz w:val="22"/>
                <w:szCs w:val="22"/>
              </w:rPr>
            </w:pPr>
            <w:r w:rsidRPr="0068094B">
              <w:rPr>
                <w:rFonts w:asciiTheme="minorHAnsi" w:hAnsiTheme="minorHAnsi" w:cstheme="minorHAnsi"/>
                <w:sz w:val="22"/>
                <w:szCs w:val="22"/>
              </w:rPr>
              <w:t>Statutory a</w:t>
            </w:r>
            <w:r w:rsidR="00AF6D21" w:rsidRPr="0068094B">
              <w:rPr>
                <w:rFonts w:asciiTheme="minorHAnsi" w:hAnsiTheme="minorHAnsi" w:cstheme="minorHAnsi"/>
                <w:sz w:val="22"/>
                <w:szCs w:val="22"/>
              </w:rPr>
              <w:t>djustments for</w:t>
            </w:r>
            <w:r w:rsidR="00307C82" w:rsidRPr="0068094B">
              <w:rPr>
                <w:rFonts w:asciiTheme="minorHAnsi" w:hAnsiTheme="minorHAnsi" w:cstheme="minorHAnsi"/>
                <w:sz w:val="22"/>
                <w:szCs w:val="22"/>
              </w:rPr>
              <w:t>:</w:t>
            </w:r>
          </w:p>
          <w:p w:rsidR="00AF6D21" w:rsidRPr="0068094B" w:rsidRDefault="00AF6D21" w:rsidP="00AF6D21">
            <w:pPr>
              <w:rPr>
                <w:rFonts w:asciiTheme="minorHAnsi" w:hAnsiTheme="minorHAnsi" w:cstheme="minorHAnsi"/>
                <w:sz w:val="22"/>
                <w:szCs w:val="22"/>
              </w:rPr>
            </w:pPr>
          </w:p>
        </w:tc>
      </w:tr>
      <w:tr w:rsidR="006932A6" w:rsidRPr="0068094B" w:rsidTr="0015697B">
        <w:trPr>
          <w:trHeight w:val="340"/>
          <w:tblHeader/>
        </w:trPr>
        <w:tc>
          <w:tcPr>
            <w:tcW w:w="1027" w:type="dxa"/>
            <w:vAlign w:val="bottom"/>
          </w:tcPr>
          <w:p w:rsidR="006932A6" w:rsidRPr="0068094B" w:rsidRDefault="006932A6" w:rsidP="006932A6">
            <w:pPr>
              <w:jc w:val="right"/>
              <w:rPr>
                <w:rFonts w:asciiTheme="minorHAnsi" w:hAnsiTheme="minorHAnsi" w:cstheme="minorHAnsi"/>
                <w:sz w:val="22"/>
                <w:szCs w:val="22"/>
              </w:rPr>
            </w:pPr>
            <w:r w:rsidRPr="0068094B">
              <w:rPr>
                <w:rFonts w:asciiTheme="minorHAnsi" w:hAnsiTheme="minorHAnsi" w:cstheme="minorHAnsi"/>
                <w:sz w:val="22"/>
                <w:szCs w:val="22"/>
              </w:rPr>
              <w:t>Capital</w:t>
            </w:r>
          </w:p>
        </w:tc>
        <w:tc>
          <w:tcPr>
            <w:tcW w:w="1100" w:type="dxa"/>
            <w:vAlign w:val="bottom"/>
          </w:tcPr>
          <w:p w:rsidR="006932A6" w:rsidRPr="0068094B"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Pensions</w:t>
            </w:r>
          </w:p>
        </w:tc>
        <w:tc>
          <w:tcPr>
            <w:tcW w:w="1134" w:type="dxa"/>
            <w:vAlign w:val="bottom"/>
          </w:tcPr>
          <w:p w:rsidR="006932A6" w:rsidRPr="0068094B"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Other</w:t>
            </w:r>
          </w:p>
        </w:tc>
        <w:tc>
          <w:tcPr>
            <w:tcW w:w="1134" w:type="dxa"/>
            <w:vAlign w:val="bottom"/>
          </w:tcPr>
          <w:p w:rsidR="006932A6" w:rsidRPr="006932A6"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Total</w:t>
            </w:r>
          </w:p>
        </w:tc>
        <w:tc>
          <w:tcPr>
            <w:tcW w:w="5245" w:type="dxa"/>
            <w:vAlign w:val="bottom"/>
          </w:tcPr>
          <w:p w:rsidR="006932A6" w:rsidRPr="0068094B" w:rsidRDefault="006932A6"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b w:val="0"/>
                <w:sz w:val="22"/>
                <w:szCs w:val="22"/>
              </w:rPr>
            </w:pPr>
          </w:p>
        </w:tc>
        <w:tc>
          <w:tcPr>
            <w:tcW w:w="1078" w:type="dxa"/>
            <w:shd w:val="clear" w:color="auto" w:fill="D9D9D9" w:themeFill="background1" w:themeFillShade="D9"/>
            <w:vAlign w:val="bottom"/>
          </w:tcPr>
          <w:p w:rsidR="006932A6" w:rsidRPr="0068094B" w:rsidRDefault="006932A6" w:rsidP="006932A6">
            <w:pPr>
              <w:jc w:val="right"/>
              <w:rPr>
                <w:rFonts w:asciiTheme="minorHAnsi" w:hAnsiTheme="minorHAnsi" w:cstheme="minorHAnsi"/>
                <w:sz w:val="22"/>
                <w:szCs w:val="22"/>
              </w:rPr>
            </w:pPr>
            <w:r>
              <w:rPr>
                <w:rFonts w:asciiTheme="minorHAnsi" w:hAnsiTheme="minorHAnsi" w:cstheme="minorHAnsi"/>
                <w:sz w:val="22"/>
                <w:szCs w:val="22"/>
              </w:rPr>
              <w:t>Capital</w:t>
            </w:r>
          </w:p>
        </w:tc>
        <w:tc>
          <w:tcPr>
            <w:tcW w:w="1078" w:type="dxa"/>
            <w:shd w:val="clear" w:color="auto" w:fill="D9D9D9" w:themeFill="background1" w:themeFillShade="D9"/>
            <w:vAlign w:val="bottom"/>
          </w:tcPr>
          <w:p w:rsidR="006932A6" w:rsidRPr="0068094B"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Pensions</w:t>
            </w:r>
          </w:p>
        </w:tc>
        <w:tc>
          <w:tcPr>
            <w:tcW w:w="1078" w:type="dxa"/>
            <w:shd w:val="clear" w:color="auto" w:fill="D9D9D9" w:themeFill="background1" w:themeFillShade="D9"/>
            <w:vAlign w:val="bottom"/>
          </w:tcPr>
          <w:p w:rsidR="006932A6" w:rsidRPr="0068094B"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Other</w:t>
            </w:r>
          </w:p>
        </w:tc>
        <w:tc>
          <w:tcPr>
            <w:tcW w:w="1018" w:type="dxa"/>
            <w:shd w:val="clear" w:color="auto" w:fill="D9D9D9" w:themeFill="background1" w:themeFillShade="D9"/>
            <w:vAlign w:val="bottom"/>
          </w:tcPr>
          <w:p w:rsidR="006932A6" w:rsidRPr="0068094B"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Total</w:t>
            </w:r>
          </w:p>
        </w:tc>
      </w:tr>
      <w:tr w:rsidR="00AF6D21" w:rsidRPr="0068094B" w:rsidTr="0015697B">
        <w:trPr>
          <w:trHeight w:val="340"/>
          <w:tblHeader/>
        </w:trPr>
        <w:tc>
          <w:tcPr>
            <w:tcW w:w="1027" w:type="dxa"/>
            <w:tcBorders>
              <w:bottom w:val="single" w:sz="4" w:space="0" w:color="auto"/>
            </w:tcBorders>
            <w:vAlign w:val="bottom"/>
          </w:tcPr>
          <w:p w:rsidR="00AF6D21" w:rsidRPr="0068094B" w:rsidRDefault="00AF6D21"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ind w:left="576" w:hanging="576"/>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00" w:type="dxa"/>
            <w:tcBorders>
              <w:bottom w:val="single" w:sz="4" w:space="0" w:color="auto"/>
            </w:tcBorders>
            <w:vAlign w:val="bottom"/>
          </w:tcPr>
          <w:p w:rsidR="00AF6D21" w:rsidRPr="0068094B" w:rsidRDefault="00AF6D21"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auto"/>
            </w:tcBorders>
            <w:vAlign w:val="bottom"/>
          </w:tcPr>
          <w:p w:rsidR="00AF6D21" w:rsidRPr="0068094B"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auto"/>
            </w:tcBorders>
            <w:vAlign w:val="bottom"/>
          </w:tcPr>
          <w:p w:rsidR="00AF6D21" w:rsidRPr="0068094B"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5245" w:type="dxa"/>
            <w:vAlign w:val="bottom"/>
          </w:tcPr>
          <w:p w:rsidR="00AF6D21" w:rsidRPr="0068094B" w:rsidRDefault="00AF6D21"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078" w:type="dxa"/>
            <w:tcBorders>
              <w:bottom w:val="single" w:sz="4" w:space="0" w:color="auto"/>
            </w:tcBorders>
            <w:shd w:val="clear" w:color="auto" w:fill="D9D9D9" w:themeFill="background1" w:themeFillShade="D9"/>
            <w:vAlign w:val="bottom"/>
          </w:tcPr>
          <w:p w:rsidR="00AF6D21" w:rsidRPr="0068094B"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078" w:type="dxa"/>
            <w:tcBorders>
              <w:bottom w:val="single" w:sz="4" w:space="0" w:color="auto"/>
            </w:tcBorders>
            <w:shd w:val="clear" w:color="auto" w:fill="D9D9D9" w:themeFill="background1" w:themeFillShade="D9"/>
            <w:vAlign w:val="bottom"/>
          </w:tcPr>
          <w:p w:rsidR="00AF6D21" w:rsidRPr="0068094B"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078" w:type="dxa"/>
            <w:tcBorders>
              <w:bottom w:val="single" w:sz="4" w:space="0" w:color="auto"/>
            </w:tcBorders>
            <w:shd w:val="clear" w:color="auto" w:fill="D9D9D9" w:themeFill="background1" w:themeFillShade="D9"/>
            <w:vAlign w:val="bottom"/>
          </w:tcPr>
          <w:p w:rsidR="00AF6D21" w:rsidRPr="0068094B"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018" w:type="dxa"/>
            <w:tcBorders>
              <w:bottom w:val="single" w:sz="4" w:space="0" w:color="auto"/>
            </w:tcBorders>
            <w:shd w:val="clear" w:color="auto" w:fill="D9D9D9" w:themeFill="background1" w:themeFillShade="D9"/>
            <w:vAlign w:val="bottom"/>
          </w:tcPr>
          <w:p w:rsidR="00AF6D21" w:rsidRPr="0068094B"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EC5272" w:rsidRPr="0068094B" w:rsidTr="0015697B">
        <w:trPr>
          <w:trHeight w:val="294"/>
        </w:trPr>
        <w:tc>
          <w:tcPr>
            <w:tcW w:w="1027" w:type="dxa"/>
            <w:shd w:val="clear" w:color="auto" w:fill="auto"/>
            <w:vAlign w:val="bottom"/>
          </w:tcPr>
          <w:p w:rsidR="00EC5272" w:rsidRPr="00164030" w:rsidRDefault="004611E0"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7</w:t>
            </w:r>
          </w:p>
        </w:tc>
        <w:tc>
          <w:tcPr>
            <w:tcW w:w="1100" w:type="dxa"/>
            <w:shd w:val="clear" w:color="auto" w:fill="auto"/>
            <w:vAlign w:val="bottom"/>
          </w:tcPr>
          <w:p w:rsidR="00EC5272" w:rsidRPr="00164030" w:rsidRDefault="004611E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801</w:t>
            </w:r>
          </w:p>
        </w:tc>
        <w:tc>
          <w:tcPr>
            <w:tcW w:w="1134" w:type="dxa"/>
            <w:shd w:val="clear" w:color="auto" w:fill="auto"/>
            <w:vAlign w:val="bottom"/>
          </w:tcPr>
          <w:p w:rsidR="00EC5272" w:rsidRPr="00164030" w:rsidRDefault="00EC5272"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64030">
              <w:rPr>
                <w:rFonts w:asciiTheme="minorHAnsi" w:hAnsiTheme="minorHAnsi" w:cstheme="minorHAnsi"/>
                <w:b w:val="0"/>
                <w:bCs/>
                <w:sz w:val="22"/>
                <w:szCs w:val="22"/>
              </w:rPr>
              <w:t>0</w:t>
            </w:r>
          </w:p>
        </w:tc>
        <w:tc>
          <w:tcPr>
            <w:tcW w:w="1134" w:type="dxa"/>
            <w:shd w:val="clear" w:color="auto" w:fill="auto"/>
            <w:vAlign w:val="bottom"/>
          </w:tcPr>
          <w:p w:rsidR="00EC5272" w:rsidRPr="00164030" w:rsidRDefault="00264F54"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808</w:t>
            </w:r>
          </w:p>
        </w:tc>
        <w:tc>
          <w:tcPr>
            <w:tcW w:w="5245" w:type="dxa"/>
            <w:vAlign w:val="center"/>
          </w:tcPr>
          <w:p w:rsidR="00EC5272" w:rsidRPr="00164030" w:rsidRDefault="00EC5272"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164030">
              <w:rPr>
                <w:rFonts w:asciiTheme="minorHAnsi" w:hAnsiTheme="minorHAnsi" w:cstheme="minorHAnsi"/>
                <w:b w:val="0"/>
                <w:bCs/>
                <w:sz w:val="22"/>
                <w:szCs w:val="22"/>
              </w:rPr>
              <w:t>Leader</w:t>
            </w:r>
          </w:p>
        </w:tc>
        <w:tc>
          <w:tcPr>
            <w:tcW w:w="1078" w:type="dxa"/>
            <w:shd w:val="clear" w:color="auto" w:fill="D9D9D9" w:themeFill="background1" w:themeFillShade="D9"/>
            <w:vAlign w:val="bottom"/>
          </w:tcPr>
          <w:p w:rsidR="00EC5272" w:rsidRPr="00D16CC2" w:rsidRDefault="00DD3276" w:rsidP="008D00C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w:t>
            </w:r>
          </w:p>
        </w:tc>
        <w:tc>
          <w:tcPr>
            <w:tcW w:w="1078" w:type="dxa"/>
            <w:shd w:val="clear" w:color="auto" w:fill="D9D9D9" w:themeFill="background1" w:themeFillShade="D9"/>
            <w:vAlign w:val="bottom"/>
          </w:tcPr>
          <w:p w:rsidR="00EC5272" w:rsidRPr="00C90778" w:rsidRDefault="004F6247" w:rsidP="004F624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231</w:t>
            </w:r>
          </w:p>
        </w:tc>
        <w:tc>
          <w:tcPr>
            <w:tcW w:w="1078" w:type="dxa"/>
            <w:shd w:val="clear" w:color="auto" w:fill="D9D9D9" w:themeFill="background1" w:themeFillShade="D9"/>
            <w:vAlign w:val="bottom"/>
          </w:tcPr>
          <w:p w:rsidR="00EC5272" w:rsidRPr="00C90778" w:rsidRDefault="00953DEB"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0</w:t>
            </w:r>
          </w:p>
        </w:tc>
        <w:tc>
          <w:tcPr>
            <w:tcW w:w="1018" w:type="dxa"/>
            <w:shd w:val="clear" w:color="auto" w:fill="D9D9D9" w:themeFill="background1" w:themeFillShade="D9"/>
            <w:vAlign w:val="bottom"/>
          </w:tcPr>
          <w:p w:rsidR="00EC5272" w:rsidRPr="00C90778" w:rsidRDefault="004F6247" w:rsidP="00DD327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241</w:t>
            </w:r>
          </w:p>
        </w:tc>
      </w:tr>
      <w:tr w:rsidR="00164030" w:rsidRPr="0068094B" w:rsidTr="0015697B">
        <w:trPr>
          <w:trHeight w:val="283"/>
        </w:trPr>
        <w:tc>
          <w:tcPr>
            <w:tcW w:w="1027" w:type="dxa"/>
            <w:shd w:val="clear" w:color="auto" w:fill="auto"/>
            <w:vAlign w:val="bottom"/>
          </w:tcPr>
          <w:p w:rsidR="00164030" w:rsidRPr="00164030" w:rsidRDefault="004611E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816</w:t>
            </w:r>
          </w:p>
        </w:tc>
        <w:tc>
          <w:tcPr>
            <w:tcW w:w="1100" w:type="dxa"/>
            <w:shd w:val="clear" w:color="auto" w:fill="auto"/>
            <w:vAlign w:val="bottom"/>
          </w:tcPr>
          <w:p w:rsidR="00164030" w:rsidRPr="00164030" w:rsidRDefault="004611E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352</w:t>
            </w:r>
          </w:p>
        </w:tc>
        <w:tc>
          <w:tcPr>
            <w:tcW w:w="1134" w:type="dxa"/>
            <w:shd w:val="clear" w:color="auto" w:fill="auto"/>
            <w:vAlign w:val="bottom"/>
          </w:tcPr>
          <w:p w:rsidR="00164030" w:rsidRPr="00164030" w:rsidRDefault="0016403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64030">
              <w:rPr>
                <w:rFonts w:asciiTheme="minorHAnsi" w:hAnsiTheme="minorHAnsi" w:cstheme="minorHAnsi"/>
                <w:b w:val="0"/>
                <w:bCs/>
                <w:sz w:val="22"/>
                <w:szCs w:val="22"/>
              </w:rPr>
              <w:t>0</w:t>
            </w:r>
          </w:p>
        </w:tc>
        <w:tc>
          <w:tcPr>
            <w:tcW w:w="1134" w:type="dxa"/>
            <w:shd w:val="clear" w:color="auto" w:fill="auto"/>
            <w:vAlign w:val="bottom"/>
          </w:tcPr>
          <w:p w:rsidR="00164030" w:rsidRPr="00164030" w:rsidRDefault="00264F54">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1,168</w:t>
            </w:r>
          </w:p>
        </w:tc>
        <w:tc>
          <w:tcPr>
            <w:tcW w:w="5245" w:type="dxa"/>
            <w:vAlign w:val="center"/>
          </w:tcPr>
          <w:p w:rsidR="00164030" w:rsidRPr="00164030" w:rsidRDefault="00164030"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230733">
              <w:rPr>
                <w:rFonts w:asciiTheme="minorHAnsi" w:hAnsiTheme="minorHAnsi" w:cstheme="minorHAnsi"/>
                <w:b w:val="0"/>
                <w:sz w:val="22"/>
                <w:szCs w:val="22"/>
                <w:lang w:val="en-US"/>
              </w:rPr>
              <w:t>Planning Services</w:t>
            </w:r>
          </w:p>
        </w:tc>
        <w:tc>
          <w:tcPr>
            <w:tcW w:w="1078" w:type="dxa"/>
            <w:shd w:val="clear" w:color="auto" w:fill="D9D9D9" w:themeFill="background1" w:themeFillShade="D9"/>
            <w:vAlign w:val="bottom"/>
          </w:tcPr>
          <w:p w:rsidR="00164030" w:rsidRPr="00D16CC2" w:rsidRDefault="007046C2"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426</w:t>
            </w:r>
          </w:p>
        </w:tc>
        <w:tc>
          <w:tcPr>
            <w:tcW w:w="1078" w:type="dxa"/>
            <w:shd w:val="clear" w:color="auto" w:fill="D9D9D9" w:themeFill="background1" w:themeFillShade="D9"/>
            <w:vAlign w:val="bottom"/>
          </w:tcPr>
          <w:p w:rsidR="00164030" w:rsidRPr="00C90778" w:rsidRDefault="00942CBA"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432</w:t>
            </w:r>
          </w:p>
        </w:tc>
        <w:tc>
          <w:tcPr>
            <w:tcW w:w="1078" w:type="dxa"/>
            <w:shd w:val="clear" w:color="auto" w:fill="D9D9D9" w:themeFill="background1" w:themeFillShade="D9"/>
            <w:vAlign w:val="bottom"/>
          </w:tcPr>
          <w:p w:rsidR="00164030" w:rsidRPr="00C90778" w:rsidRDefault="00953DEB"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0</w:t>
            </w:r>
          </w:p>
        </w:tc>
        <w:tc>
          <w:tcPr>
            <w:tcW w:w="1018" w:type="dxa"/>
            <w:shd w:val="clear" w:color="auto" w:fill="D9D9D9" w:themeFill="background1" w:themeFillShade="D9"/>
            <w:vAlign w:val="bottom"/>
          </w:tcPr>
          <w:p w:rsidR="00164030" w:rsidRPr="00C90778" w:rsidRDefault="007046C2"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858</w:t>
            </w:r>
          </w:p>
        </w:tc>
      </w:tr>
      <w:tr w:rsidR="00164030" w:rsidRPr="0068094B" w:rsidTr="0015697B">
        <w:trPr>
          <w:trHeight w:val="283"/>
        </w:trPr>
        <w:tc>
          <w:tcPr>
            <w:tcW w:w="1027" w:type="dxa"/>
            <w:shd w:val="clear" w:color="auto" w:fill="auto"/>
            <w:vAlign w:val="bottom"/>
          </w:tcPr>
          <w:p w:rsidR="00164030" w:rsidRPr="00164030" w:rsidRDefault="004611E0"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1,160</w:t>
            </w:r>
          </w:p>
        </w:tc>
        <w:tc>
          <w:tcPr>
            <w:tcW w:w="1100" w:type="dxa"/>
            <w:shd w:val="clear" w:color="auto" w:fill="auto"/>
            <w:vAlign w:val="bottom"/>
          </w:tcPr>
          <w:p w:rsidR="00164030" w:rsidRPr="00164030" w:rsidRDefault="004611E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225</w:t>
            </w:r>
          </w:p>
        </w:tc>
        <w:tc>
          <w:tcPr>
            <w:tcW w:w="1134" w:type="dxa"/>
            <w:shd w:val="clear" w:color="auto" w:fill="auto"/>
            <w:vAlign w:val="bottom"/>
          </w:tcPr>
          <w:p w:rsidR="00164030" w:rsidRPr="00164030" w:rsidRDefault="0016403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64030">
              <w:rPr>
                <w:rFonts w:asciiTheme="minorHAnsi" w:hAnsiTheme="minorHAnsi" w:cstheme="minorHAnsi"/>
                <w:b w:val="0"/>
                <w:bCs/>
                <w:sz w:val="22"/>
                <w:szCs w:val="22"/>
              </w:rPr>
              <w:t>0</w:t>
            </w:r>
          </w:p>
        </w:tc>
        <w:tc>
          <w:tcPr>
            <w:tcW w:w="1134" w:type="dxa"/>
            <w:shd w:val="clear" w:color="auto" w:fill="auto"/>
            <w:vAlign w:val="bottom"/>
          </w:tcPr>
          <w:p w:rsidR="00164030" w:rsidRPr="00164030" w:rsidRDefault="00264F54"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1,385</w:t>
            </w:r>
          </w:p>
        </w:tc>
        <w:tc>
          <w:tcPr>
            <w:tcW w:w="5245" w:type="dxa"/>
            <w:vAlign w:val="center"/>
          </w:tcPr>
          <w:p w:rsidR="00164030" w:rsidRPr="00164030" w:rsidRDefault="00164030"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Community Services</w:t>
            </w:r>
            <w:r>
              <w:rPr>
                <w:rFonts w:asciiTheme="minorHAnsi" w:hAnsiTheme="minorHAnsi" w:cstheme="minorHAnsi"/>
                <w:b w:val="0"/>
                <w:sz w:val="22"/>
                <w:szCs w:val="22"/>
                <w:lang w:val="en-US"/>
              </w:rPr>
              <w:t xml:space="preserve"> and Culture</w:t>
            </w:r>
            <w:r w:rsidRPr="00230733">
              <w:rPr>
                <w:rFonts w:asciiTheme="minorHAnsi" w:hAnsiTheme="minorHAnsi" w:cstheme="minorHAnsi"/>
                <w:b w:val="0"/>
                <w:sz w:val="22"/>
                <w:szCs w:val="22"/>
                <w:lang w:val="en-US"/>
              </w:rPr>
              <w:t xml:space="preserve"> </w:t>
            </w:r>
          </w:p>
        </w:tc>
        <w:tc>
          <w:tcPr>
            <w:tcW w:w="1078" w:type="dxa"/>
            <w:shd w:val="clear" w:color="auto" w:fill="D9D9D9" w:themeFill="background1" w:themeFillShade="D9"/>
            <w:vAlign w:val="bottom"/>
          </w:tcPr>
          <w:p w:rsidR="00164030" w:rsidRPr="00D16CC2" w:rsidRDefault="007046C2"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w:t>
            </w:r>
          </w:p>
        </w:tc>
        <w:tc>
          <w:tcPr>
            <w:tcW w:w="1078" w:type="dxa"/>
            <w:shd w:val="clear" w:color="auto" w:fill="D9D9D9" w:themeFill="background1" w:themeFillShade="D9"/>
            <w:vAlign w:val="bottom"/>
          </w:tcPr>
          <w:p w:rsidR="00164030" w:rsidRPr="00C90778" w:rsidRDefault="00942CBA" w:rsidP="00D9140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281</w:t>
            </w:r>
          </w:p>
        </w:tc>
        <w:tc>
          <w:tcPr>
            <w:tcW w:w="1078" w:type="dxa"/>
            <w:shd w:val="clear" w:color="auto" w:fill="D9D9D9" w:themeFill="background1" w:themeFillShade="D9"/>
            <w:vAlign w:val="bottom"/>
          </w:tcPr>
          <w:p w:rsidR="00164030" w:rsidRPr="00C90778" w:rsidRDefault="00953DEB"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0</w:t>
            </w:r>
          </w:p>
        </w:tc>
        <w:tc>
          <w:tcPr>
            <w:tcW w:w="1018" w:type="dxa"/>
            <w:shd w:val="clear" w:color="auto" w:fill="D9D9D9" w:themeFill="background1" w:themeFillShade="D9"/>
            <w:vAlign w:val="bottom"/>
          </w:tcPr>
          <w:p w:rsidR="00164030" w:rsidRPr="00C90778" w:rsidRDefault="007046C2"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277</w:t>
            </w:r>
          </w:p>
        </w:tc>
      </w:tr>
      <w:tr w:rsidR="00164030" w:rsidRPr="0068094B" w:rsidTr="0015697B">
        <w:trPr>
          <w:trHeight w:val="283"/>
        </w:trPr>
        <w:tc>
          <w:tcPr>
            <w:tcW w:w="1027" w:type="dxa"/>
            <w:shd w:val="clear" w:color="auto" w:fill="auto"/>
            <w:vAlign w:val="bottom"/>
          </w:tcPr>
          <w:p w:rsidR="00164030" w:rsidRPr="00164030" w:rsidRDefault="00C30334"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2,451</w:t>
            </w:r>
          </w:p>
        </w:tc>
        <w:tc>
          <w:tcPr>
            <w:tcW w:w="1100" w:type="dxa"/>
            <w:shd w:val="clear" w:color="auto" w:fill="auto"/>
            <w:vAlign w:val="bottom"/>
          </w:tcPr>
          <w:p w:rsidR="00164030" w:rsidRPr="00164030" w:rsidRDefault="004611E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207</w:t>
            </w:r>
          </w:p>
        </w:tc>
        <w:tc>
          <w:tcPr>
            <w:tcW w:w="1134" w:type="dxa"/>
            <w:shd w:val="clear" w:color="auto" w:fill="auto"/>
            <w:vAlign w:val="bottom"/>
          </w:tcPr>
          <w:p w:rsidR="00164030" w:rsidRPr="00164030" w:rsidRDefault="0016403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64030">
              <w:rPr>
                <w:rFonts w:asciiTheme="minorHAnsi" w:hAnsiTheme="minorHAnsi" w:cstheme="minorHAnsi"/>
                <w:b w:val="0"/>
                <w:bCs/>
                <w:sz w:val="22"/>
                <w:szCs w:val="22"/>
              </w:rPr>
              <w:t>0</w:t>
            </w:r>
          </w:p>
        </w:tc>
        <w:tc>
          <w:tcPr>
            <w:tcW w:w="1134" w:type="dxa"/>
            <w:shd w:val="clear" w:color="auto" w:fill="auto"/>
            <w:vAlign w:val="bottom"/>
          </w:tcPr>
          <w:p w:rsidR="00164030" w:rsidRPr="00164030" w:rsidRDefault="00264F54" w:rsidP="000904C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2,658</w:t>
            </w:r>
          </w:p>
        </w:tc>
        <w:tc>
          <w:tcPr>
            <w:tcW w:w="5245" w:type="dxa"/>
            <w:vAlign w:val="center"/>
          </w:tcPr>
          <w:p w:rsidR="00164030" w:rsidRPr="00164030" w:rsidRDefault="00164030"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lang w:val="en-US"/>
              </w:rPr>
              <w:t>Growth, Place and Regeneration</w:t>
            </w:r>
          </w:p>
        </w:tc>
        <w:tc>
          <w:tcPr>
            <w:tcW w:w="1078" w:type="dxa"/>
            <w:shd w:val="clear" w:color="auto" w:fill="D9D9D9" w:themeFill="background1" w:themeFillShade="D9"/>
            <w:vAlign w:val="bottom"/>
          </w:tcPr>
          <w:p w:rsidR="00164030" w:rsidRPr="00D16CC2" w:rsidRDefault="00DD3276" w:rsidP="00846A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596</w:t>
            </w:r>
          </w:p>
        </w:tc>
        <w:tc>
          <w:tcPr>
            <w:tcW w:w="1078" w:type="dxa"/>
            <w:shd w:val="clear" w:color="auto" w:fill="D9D9D9" w:themeFill="background1" w:themeFillShade="D9"/>
            <w:vAlign w:val="bottom"/>
          </w:tcPr>
          <w:p w:rsidR="00164030" w:rsidRPr="00C90778" w:rsidRDefault="00942CBA" w:rsidP="00942CB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245</w:t>
            </w:r>
          </w:p>
        </w:tc>
        <w:tc>
          <w:tcPr>
            <w:tcW w:w="1078" w:type="dxa"/>
            <w:shd w:val="clear" w:color="auto" w:fill="D9D9D9" w:themeFill="background1" w:themeFillShade="D9"/>
            <w:vAlign w:val="bottom"/>
          </w:tcPr>
          <w:p w:rsidR="00164030" w:rsidRPr="00C90778" w:rsidRDefault="00953DEB"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0</w:t>
            </w:r>
          </w:p>
        </w:tc>
        <w:tc>
          <w:tcPr>
            <w:tcW w:w="1018" w:type="dxa"/>
            <w:shd w:val="clear" w:color="auto" w:fill="D9D9D9" w:themeFill="background1" w:themeFillShade="D9"/>
            <w:vAlign w:val="bottom"/>
          </w:tcPr>
          <w:p w:rsidR="00164030" w:rsidRPr="00C90778" w:rsidRDefault="00DD3276"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841</w:t>
            </w:r>
          </w:p>
        </w:tc>
      </w:tr>
      <w:tr w:rsidR="00164030" w:rsidRPr="0068094B" w:rsidTr="0015697B">
        <w:trPr>
          <w:trHeight w:val="283"/>
        </w:trPr>
        <w:tc>
          <w:tcPr>
            <w:tcW w:w="1027" w:type="dxa"/>
            <w:shd w:val="clear" w:color="auto" w:fill="auto"/>
            <w:vAlign w:val="bottom"/>
          </w:tcPr>
          <w:p w:rsidR="00164030" w:rsidRPr="00164030" w:rsidRDefault="00C30334"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287</w:t>
            </w:r>
          </w:p>
        </w:tc>
        <w:tc>
          <w:tcPr>
            <w:tcW w:w="1100" w:type="dxa"/>
            <w:shd w:val="clear" w:color="auto" w:fill="auto"/>
            <w:vAlign w:val="bottom"/>
          </w:tcPr>
          <w:p w:rsidR="00164030" w:rsidRPr="00164030" w:rsidRDefault="004611E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221</w:t>
            </w:r>
          </w:p>
        </w:tc>
        <w:tc>
          <w:tcPr>
            <w:tcW w:w="1134" w:type="dxa"/>
            <w:shd w:val="clear" w:color="auto" w:fill="auto"/>
            <w:vAlign w:val="bottom"/>
          </w:tcPr>
          <w:p w:rsidR="00164030" w:rsidRPr="00164030" w:rsidRDefault="0016403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64030">
              <w:rPr>
                <w:rFonts w:asciiTheme="minorHAnsi" w:hAnsiTheme="minorHAnsi" w:cstheme="minorHAnsi"/>
                <w:b w:val="0"/>
                <w:bCs/>
                <w:sz w:val="22"/>
                <w:szCs w:val="22"/>
              </w:rPr>
              <w:t>0</w:t>
            </w:r>
          </w:p>
        </w:tc>
        <w:tc>
          <w:tcPr>
            <w:tcW w:w="1134" w:type="dxa"/>
            <w:shd w:val="clear" w:color="auto" w:fill="auto"/>
            <w:vAlign w:val="bottom"/>
          </w:tcPr>
          <w:p w:rsidR="00164030" w:rsidRPr="00164030" w:rsidRDefault="00264F54" w:rsidP="000904C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508</w:t>
            </w:r>
          </w:p>
        </w:tc>
        <w:tc>
          <w:tcPr>
            <w:tcW w:w="5245" w:type="dxa"/>
            <w:vAlign w:val="center"/>
          </w:tcPr>
          <w:p w:rsidR="00164030" w:rsidRPr="00164030" w:rsidRDefault="00164030"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Housing, Communications, Licensing</w:t>
            </w:r>
            <w:r>
              <w:rPr>
                <w:rFonts w:asciiTheme="minorHAnsi" w:hAnsiTheme="minorHAnsi" w:cstheme="minorHAnsi"/>
                <w:b w:val="0"/>
                <w:sz w:val="22"/>
                <w:szCs w:val="22"/>
                <w:lang w:val="en-US"/>
              </w:rPr>
              <w:t xml:space="preserve"> and Events</w:t>
            </w:r>
          </w:p>
        </w:tc>
        <w:tc>
          <w:tcPr>
            <w:tcW w:w="1078" w:type="dxa"/>
            <w:shd w:val="clear" w:color="auto" w:fill="D9D9D9" w:themeFill="background1" w:themeFillShade="D9"/>
            <w:vAlign w:val="bottom"/>
          </w:tcPr>
          <w:p w:rsidR="00164030" w:rsidRPr="00D16CC2" w:rsidRDefault="00846A6B"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410</w:t>
            </w:r>
          </w:p>
        </w:tc>
        <w:tc>
          <w:tcPr>
            <w:tcW w:w="1078" w:type="dxa"/>
            <w:shd w:val="clear" w:color="auto" w:fill="D9D9D9" w:themeFill="background1" w:themeFillShade="D9"/>
            <w:vAlign w:val="bottom"/>
          </w:tcPr>
          <w:p w:rsidR="00164030" w:rsidRPr="00C90778" w:rsidRDefault="00942CBA"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304</w:t>
            </w:r>
          </w:p>
        </w:tc>
        <w:tc>
          <w:tcPr>
            <w:tcW w:w="1078" w:type="dxa"/>
            <w:shd w:val="clear" w:color="auto" w:fill="D9D9D9" w:themeFill="background1" w:themeFillShade="D9"/>
            <w:vAlign w:val="bottom"/>
          </w:tcPr>
          <w:p w:rsidR="00164030" w:rsidRPr="00C90778" w:rsidRDefault="00953DEB"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0</w:t>
            </w:r>
          </w:p>
        </w:tc>
        <w:tc>
          <w:tcPr>
            <w:tcW w:w="1018" w:type="dxa"/>
            <w:shd w:val="clear" w:color="auto" w:fill="D9D9D9" w:themeFill="background1" w:themeFillShade="D9"/>
            <w:vAlign w:val="bottom"/>
          </w:tcPr>
          <w:p w:rsidR="00164030" w:rsidRPr="00C90778" w:rsidRDefault="00846A6B"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714</w:t>
            </w:r>
          </w:p>
        </w:tc>
      </w:tr>
      <w:tr w:rsidR="00164030" w:rsidRPr="0068094B" w:rsidTr="0015697B">
        <w:trPr>
          <w:trHeight w:val="283"/>
        </w:trPr>
        <w:tc>
          <w:tcPr>
            <w:tcW w:w="1027" w:type="dxa"/>
            <w:shd w:val="clear" w:color="auto" w:fill="auto"/>
            <w:vAlign w:val="bottom"/>
          </w:tcPr>
          <w:p w:rsidR="00164030" w:rsidRPr="00164030" w:rsidRDefault="00C30334"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991</w:t>
            </w:r>
          </w:p>
        </w:tc>
        <w:tc>
          <w:tcPr>
            <w:tcW w:w="1100" w:type="dxa"/>
            <w:shd w:val="clear" w:color="auto" w:fill="auto"/>
            <w:vAlign w:val="bottom"/>
          </w:tcPr>
          <w:p w:rsidR="00164030" w:rsidRPr="00164030" w:rsidRDefault="004611E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816</w:t>
            </w:r>
          </w:p>
        </w:tc>
        <w:tc>
          <w:tcPr>
            <w:tcW w:w="1134" w:type="dxa"/>
            <w:shd w:val="clear" w:color="auto" w:fill="auto"/>
            <w:vAlign w:val="bottom"/>
          </w:tcPr>
          <w:p w:rsidR="00164030" w:rsidRPr="00164030" w:rsidRDefault="0016403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64030">
              <w:rPr>
                <w:rFonts w:asciiTheme="minorHAnsi" w:hAnsiTheme="minorHAnsi" w:cstheme="minorHAnsi"/>
                <w:b w:val="0"/>
                <w:bCs/>
                <w:sz w:val="22"/>
                <w:szCs w:val="22"/>
              </w:rPr>
              <w:t>0</w:t>
            </w:r>
          </w:p>
        </w:tc>
        <w:tc>
          <w:tcPr>
            <w:tcW w:w="1134" w:type="dxa"/>
            <w:shd w:val="clear" w:color="auto" w:fill="auto"/>
            <w:vAlign w:val="bottom"/>
          </w:tcPr>
          <w:p w:rsidR="00164030" w:rsidRPr="00164030" w:rsidRDefault="00264F54"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1,807</w:t>
            </w:r>
          </w:p>
        </w:tc>
        <w:tc>
          <w:tcPr>
            <w:tcW w:w="5245" w:type="dxa"/>
            <w:vAlign w:val="center"/>
          </w:tcPr>
          <w:p w:rsidR="00164030" w:rsidRPr="00164030" w:rsidRDefault="00164030" w:rsidP="00942CBA">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Environment Services</w:t>
            </w:r>
            <w:r>
              <w:rPr>
                <w:rFonts w:asciiTheme="minorHAnsi" w:hAnsiTheme="minorHAnsi" w:cstheme="minorHAnsi"/>
                <w:b w:val="0"/>
                <w:sz w:val="22"/>
                <w:szCs w:val="22"/>
                <w:lang w:val="en-US"/>
              </w:rPr>
              <w:t xml:space="preserve"> and</w:t>
            </w:r>
            <w:r w:rsidR="00942CBA">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US"/>
              </w:rPr>
              <w:t>Chichester Contract Services</w:t>
            </w:r>
          </w:p>
        </w:tc>
        <w:tc>
          <w:tcPr>
            <w:tcW w:w="1078" w:type="dxa"/>
            <w:shd w:val="clear" w:color="auto" w:fill="D9D9D9" w:themeFill="background1" w:themeFillShade="D9"/>
            <w:vAlign w:val="bottom"/>
          </w:tcPr>
          <w:p w:rsidR="00164030" w:rsidRPr="00D16CC2" w:rsidRDefault="007046C2" w:rsidP="00E14A9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867</w:t>
            </w:r>
          </w:p>
        </w:tc>
        <w:tc>
          <w:tcPr>
            <w:tcW w:w="1078" w:type="dxa"/>
            <w:shd w:val="clear" w:color="auto" w:fill="D9D9D9" w:themeFill="background1" w:themeFillShade="D9"/>
            <w:vAlign w:val="bottom"/>
          </w:tcPr>
          <w:p w:rsidR="00164030" w:rsidRPr="00C90778" w:rsidRDefault="00942CBA"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1,002</w:t>
            </w:r>
          </w:p>
        </w:tc>
        <w:tc>
          <w:tcPr>
            <w:tcW w:w="1078" w:type="dxa"/>
            <w:shd w:val="clear" w:color="auto" w:fill="D9D9D9" w:themeFill="background1" w:themeFillShade="D9"/>
            <w:vAlign w:val="bottom"/>
          </w:tcPr>
          <w:p w:rsidR="00164030" w:rsidRPr="00C90778" w:rsidRDefault="00953DEB"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0</w:t>
            </w:r>
          </w:p>
        </w:tc>
        <w:tc>
          <w:tcPr>
            <w:tcW w:w="1018" w:type="dxa"/>
            <w:shd w:val="clear" w:color="auto" w:fill="D9D9D9" w:themeFill="background1" w:themeFillShade="D9"/>
            <w:vAlign w:val="bottom"/>
          </w:tcPr>
          <w:p w:rsidR="00164030" w:rsidRPr="00C90778" w:rsidRDefault="007046C2"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1,869</w:t>
            </w:r>
          </w:p>
        </w:tc>
      </w:tr>
      <w:tr w:rsidR="00164030" w:rsidRPr="0068094B" w:rsidTr="0015697B">
        <w:trPr>
          <w:trHeight w:val="283"/>
        </w:trPr>
        <w:tc>
          <w:tcPr>
            <w:tcW w:w="1027" w:type="dxa"/>
            <w:shd w:val="clear" w:color="auto" w:fill="auto"/>
            <w:vAlign w:val="bottom"/>
          </w:tcPr>
          <w:p w:rsidR="00164030" w:rsidRPr="00164030" w:rsidRDefault="00C30334" w:rsidP="002F7C6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185</w:t>
            </w:r>
          </w:p>
        </w:tc>
        <w:tc>
          <w:tcPr>
            <w:tcW w:w="1100" w:type="dxa"/>
            <w:shd w:val="clear" w:color="auto" w:fill="auto"/>
            <w:vAlign w:val="bottom"/>
          </w:tcPr>
          <w:p w:rsidR="00164030" w:rsidRPr="00164030" w:rsidRDefault="004611E0" w:rsidP="002F7C6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712</w:t>
            </w:r>
          </w:p>
        </w:tc>
        <w:tc>
          <w:tcPr>
            <w:tcW w:w="1134" w:type="dxa"/>
            <w:shd w:val="clear" w:color="auto" w:fill="auto"/>
            <w:vAlign w:val="bottom"/>
          </w:tcPr>
          <w:p w:rsidR="00164030" w:rsidRPr="00164030" w:rsidRDefault="00164030" w:rsidP="002F7C6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64030">
              <w:rPr>
                <w:rFonts w:asciiTheme="minorHAnsi" w:hAnsiTheme="minorHAnsi" w:cstheme="minorHAnsi"/>
                <w:b w:val="0"/>
                <w:bCs/>
                <w:sz w:val="22"/>
                <w:szCs w:val="22"/>
              </w:rPr>
              <w:t>0</w:t>
            </w:r>
          </w:p>
        </w:tc>
        <w:tc>
          <w:tcPr>
            <w:tcW w:w="1134" w:type="dxa"/>
            <w:shd w:val="clear" w:color="auto" w:fill="auto"/>
            <w:vAlign w:val="bottom"/>
          </w:tcPr>
          <w:p w:rsidR="00164030" w:rsidRPr="00164030" w:rsidRDefault="00264F54" w:rsidP="002F7C6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897</w:t>
            </w:r>
          </w:p>
        </w:tc>
        <w:tc>
          <w:tcPr>
            <w:tcW w:w="5245" w:type="dxa"/>
            <w:vAlign w:val="center"/>
          </w:tcPr>
          <w:p w:rsidR="00164030" w:rsidRPr="00164030" w:rsidRDefault="00164030"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lang w:val="en-US"/>
              </w:rPr>
              <w:t>Finance, Corporate</w:t>
            </w:r>
            <w:r w:rsidRPr="00230733">
              <w:rPr>
                <w:rFonts w:asciiTheme="minorHAnsi" w:hAnsiTheme="minorHAnsi" w:cstheme="minorHAnsi"/>
                <w:b w:val="0"/>
                <w:sz w:val="22"/>
                <w:szCs w:val="22"/>
                <w:lang w:val="en-US"/>
              </w:rPr>
              <w:t xml:space="preserve"> Services</w:t>
            </w:r>
            <w:r>
              <w:rPr>
                <w:rFonts w:asciiTheme="minorHAnsi" w:hAnsiTheme="minorHAnsi" w:cstheme="minorHAnsi"/>
                <w:b w:val="0"/>
                <w:sz w:val="22"/>
                <w:szCs w:val="22"/>
                <w:lang w:val="en-US"/>
              </w:rPr>
              <w:t xml:space="preserve"> and Revenue and Benefits</w:t>
            </w:r>
          </w:p>
        </w:tc>
        <w:tc>
          <w:tcPr>
            <w:tcW w:w="1078" w:type="dxa"/>
            <w:shd w:val="clear" w:color="auto" w:fill="D9D9D9" w:themeFill="background1" w:themeFillShade="D9"/>
            <w:vAlign w:val="bottom"/>
          </w:tcPr>
          <w:p w:rsidR="00164030" w:rsidRPr="00D16CC2" w:rsidRDefault="007046C2"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741</w:t>
            </w:r>
          </w:p>
        </w:tc>
        <w:tc>
          <w:tcPr>
            <w:tcW w:w="1078" w:type="dxa"/>
            <w:shd w:val="clear" w:color="auto" w:fill="D9D9D9" w:themeFill="background1" w:themeFillShade="D9"/>
            <w:vAlign w:val="bottom"/>
          </w:tcPr>
          <w:p w:rsidR="00164030" w:rsidRPr="00C90778" w:rsidRDefault="00942CBA"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856</w:t>
            </w:r>
          </w:p>
        </w:tc>
        <w:tc>
          <w:tcPr>
            <w:tcW w:w="1078" w:type="dxa"/>
            <w:shd w:val="clear" w:color="auto" w:fill="D9D9D9" w:themeFill="background1" w:themeFillShade="D9"/>
            <w:vAlign w:val="bottom"/>
          </w:tcPr>
          <w:p w:rsidR="00164030" w:rsidRPr="00C90778" w:rsidRDefault="00953DEB"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0</w:t>
            </w:r>
          </w:p>
        </w:tc>
        <w:tc>
          <w:tcPr>
            <w:tcW w:w="1018" w:type="dxa"/>
            <w:shd w:val="clear" w:color="auto" w:fill="D9D9D9" w:themeFill="background1" w:themeFillShade="D9"/>
            <w:vAlign w:val="bottom"/>
          </w:tcPr>
          <w:p w:rsidR="00164030" w:rsidRPr="00C90778" w:rsidRDefault="007046C2" w:rsidP="007046C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778">
              <w:rPr>
                <w:rFonts w:asciiTheme="minorHAnsi" w:hAnsiTheme="minorHAnsi" w:cstheme="minorHAnsi"/>
                <w:b w:val="0"/>
                <w:bCs/>
                <w:sz w:val="22"/>
                <w:szCs w:val="22"/>
              </w:rPr>
              <w:t>1,597</w:t>
            </w:r>
          </w:p>
        </w:tc>
      </w:tr>
      <w:tr w:rsidR="00164030" w:rsidRPr="0068094B" w:rsidTr="0015697B">
        <w:trPr>
          <w:trHeight w:val="283"/>
        </w:trPr>
        <w:tc>
          <w:tcPr>
            <w:tcW w:w="1027" w:type="dxa"/>
            <w:tcBorders>
              <w:top w:val="single" w:sz="4" w:space="0" w:color="000000"/>
            </w:tcBorders>
            <w:vAlign w:val="center"/>
          </w:tcPr>
          <w:p w:rsidR="00164030" w:rsidRPr="0068094B" w:rsidRDefault="0016403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5,897</w:t>
            </w:r>
          </w:p>
        </w:tc>
        <w:tc>
          <w:tcPr>
            <w:tcW w:w="1100" w:type="dxa"/>
            <w:tcBorders>
              <w:top w:val="single" w:sz="4" w:space="0" w:color="000000"/>
            </w:tcBorders>
            <w:vAlign w:val="center"/>
          </w:tcPr>
          <w:p w:rsidR="00164030" w:rsidRPr="0068094B" w:rsidRDefault="0016403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3,334</w:t>
            </w:r>
          </w:p>
        </w:tc>
        <w:tc>
          <w:tcPr>
            <w:tcW w:w="1134" w:type="dxa"/>
            <w:tcBorders>
              <w:top w:val="single" w:sz="4" w:space="0" w:color="000000"/>
            </w:tcBorders>
            <w:vAlign w:val="center"/>
          </w:tcPr>
          <w:p w:rsidR="00164030" w:rsidRPr="0068094B" w:rsidRDefault="00164030" w:rsidP="00F3650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134" w:type="dxa"/>
            <w:tcBorders>
              <w:top w:val="single" w:sz="4" w:space="0" w:color="000000"/>
            </w:tcBorders>
            <w:vAlign w:val="center"/>
          </w:tcPr>
          <w:p w:rsidR="00164030" w:rsidRPr="0068094B" w:rsidRDefault="0016403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16CC2">
              <w:rPr>
                <w:rFonts w:asciiTheme="minorHAnsi" w:hAnsiTheme="minorHAnsi" w:cstheme="minorHAnsi"/>
                <w:sz w:val="22"/>
                <w:szCs w:val="22"/>
              </w:rPr>
              <w:t>9,231</w:t>
            </w:r>
          </w:p>
        </w:tc>
        <w:tc>
          <w:tcPr>
            <w:tcW w:w="5245" w:type="dxa"/>
            <w:vAlign w:val="center"/>
          </w:tcPr>
          <w:p w:rsidR="00164030" w:rsidRPr="0068094B" w:rsidRDefault="00164030" w:rsidP="002B168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078" w:type="dxa"/>
            <w:tcBorders>
              <w:top w:val="single" w:sz="4" w:space="0" w:color="000000"/>
            </w:tcBorders>
            <w:shd w:val="clear" w:color="auto" w:fill="D9D9D9" w:themeFill="background1" w:themeFillShade="D9"/>
            <w:vAlign w:val="center"/>
          </w:tcPr>
          <w:p w:rsidR="00164030" w:rsidRPr="00D16CC2" w:rsidRDefault="00F30932" w:rsidP="008D00C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3,046</w:t>
            </w:r>
          </w:p>
        </w:tc>
        <w:tc>
          <w:tcPr>
            <w:tcW w:w="1078" w:type="dxa"/>
            <w:tcBorders>
              <w:top w:val="single" w:sz="4" w:space="0" w:color="000000"/>
            </w:tcBorders>
            <w:shd w:val="clear" w:color="auto" w:fill="D9D9D9" w:themeFill="background1" w:themeFillShade="D9"/>
            <w:vAlign w:val="center"/>
          </w:tcPr>
          <w:p w:rsidR="00164030" w:rsidRPr="00C90778" w:rsidRDefault="00942CBA" w:rsidP="004F624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3,</w:t>
            </w:r>
            <w:r w:rsidR="004F6247" w:rsidRPr="00C90778">
              <w:rPr>
                <w:rFonts w:asciiTheme="minorHAnsi" w:hAnsiTheme="minorHAnsi" w:cstheme="minorHAnsi"/>
                <w:sz w:val="22"/>
                <w:szCs w:val="22"/>
              </w:rPr>
              <w:t>351</w:t>
            </w:r>
          </w:p>
        </w:tc>
        <w:tc>
          <w:tcPr>
            <w:tcW w:w="1078" w:type="dxa"/>
            <w:tcBorders>
              <w:top w:val="single" w:sz="4" w:space="0" w:color="000000"/>
            </w:tcBorders>
            <w:shd w:val="clear" w:color="auto" w:fill="D9D9D9" w:themeFill="background1" w:themeFillShade="D9"/>
            <w:vAlign w:val="center"/>
          </w:tcPr>
          <w:p w:rsidR="00164030" w:rsidRPr="00C90778" w:rsidRDefault="00953DEB" w:rsidP="00F3650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0</w:t>
            </w:r>
          </w:p>
        </w:tc>
        <w:tc>
          <w:tcPr>
            <w:tcW w:w="1018" w:type="dxa"/>
            <w:tcBorders>
              <w:top w:val="single" w:sz="4" w:space="0" w:color="000000"/>
            </w:tcBorders>
            <w:shd w:val="clear" w:color="auto" w:fill="D9D9D9" w:themeFill="background1" w:themeFillShade="D9"/>
            <w:vAlign w:val="center"/>
          </w:tcPr>
          <w:p w:rsidR="00164030" w:rsidRPr="00C90778" w:rsidRDefault="00953DEB" w:rsidP="004F624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6,</w:t>
            </w:r>
            <w:r w:rsidR="004F6247" w:rsidRPr="00C90778">
              <w:rPr>
                <w:rFonts w:asciiTheme="minorHAnsi" w:hAnsiTheme="minorHAnsi" w:cstheme="minorHAnsi"/>
                <w:sz w:val="22"/>
                <w:szCs w:val="22"/>
              </w:rPr>
              <w:t>397</w:t>
            </w:r>
          </w:p>
        </w:tc>
      </w:tr>
      <w:tr w:rsidR="00164030" w:rsidRPr="0068094B" w:rsidTr="0015697B">
        <w:trPr>
          <w:trHeight w:val="283"/>
        </w:trPr>
        <w:tc>
          <w:tcPr>
            <w:tcW w:w="1027" w:type="dxa"/>
            <w:tcBorders>
              <w:bottom w:val="single" w:sz="4" w:space="0" w:color="auto"/>
            </w:tcBorders>
            <w:vAlign w:val="center"/>
          </w:tcPr>
          <w:p w:rsidR="00164030" w:rsidRPr="0068094B" w:rsidRDefault="0016403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D16CC2">
              <w:rPr>
                <w:rFonts w:asciiTheme="minorHAnsi" w:hAnsiTheme="minorHAnsi" w:cstheme="minorHAnsi"/>
                <w:b w:val="0"/>
                <w:sz w:val="22"/>
                <w:szCs w:val="22"/>
              </w:rPr>
              <w:t>(13,299)</w:t>
            </w:r>
          </w:p>
        </w:tc>
        <w:tc>
          <w:tcPr>
            <w:tcW w:w="1100" w:type="dxa"/>
            <w:tcBorders>
              <w:bottom w:val="single" w:sz="4" w:space="0" w:color="auto"/>
            </w:tcBorders>
            <w:vAlign w:val="center"/>
          </w:tcPr>
          <w:p w:rsidR="00164030" w:rsidRPr="0068094B" w:rsidRDefault="0016403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D16CC2">
              <w:rPr>
                <w:rFonts w:asciiTheme="minorHAnsi" w:hAnsiTheme="minorHAnsi" w:cstheme="minorHAnsi"/>
                <w:b w:val="0"/>
                <w:sz w:val="22"/>
                <w:szCs w:val="22"/>
              </w:rPr>
              <w:t>74</w:t>
            </w:r>
          </w:p>
        </w:tc>
        <w:tc>
          <w:tcPr>
            <w:tcW w:w="1134" w:type="dxa"/>
            <w:tcBorders>
              <w:bottom w:val="single" w:sz="4" w:space="0" w:color="auto"/>
            </w:tcBorders>
            <w:vAlign w:val="center"/>
          </w:tcPr>
          <w:p w:rsidR="00164030" w:rsidRPr="0068094B" w:rsidRDefault="00164030" w:rsidP="00F3650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D16CC2">
              <w:rPr>
                <w:rFonts w:asciiTheme="minorHAnsi" w:hAnsiTheme="minorHAnsi" w:cstheme="minorHAnsi"/>
                <w:b w:val="0"/>
                <w:sz w:val="22"/>
                <w:szCs w:val="22"/>
              </w:rPr>
              <w:t>(787)</w:t>
            </w:r>
          </w:p>
        </w:tc>
        <w:tc>
          <w:tcPr>
            <w:tcW w:w="1134" w:type="dxa"/>
            <w:tcBorders>
              <w:bottom w:val="single" w:sz="4" w:space="0" w:color="auto"/>
            </w:tcBorders>
            <w:vAlign w:val="center"/>
          </w:tcPr>
          <w:p w:rsidR="00164030" w:rsidRPr="0068094B" w:rsidRDefault="0016403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D16CC2">
              <w:rPr>
                <w:rFonts w:asciiTheme="minorHAnsi" w:hAnsiTheme="minorHAnsi" w:cstheme="minorHAnsi"/>
                <w:b w:val="0"/>
                <w:sz w:val="22"/>
                <w:szCs w:val="22"/>
              </w:rPr>
              <w:t>(14,012)</w:t>
            </w:r>
          </w:p>
        </w:tc>
        <w:tc>
          <w:tcPr>
            <w:tcW w:w="5245" w:type="dxa"/>
            <w:vAlign w:val="center"/>
          </w:tcPr>
          <w:p w:rsidR="00164030" w:rsidRPr="0068094B" w:rsidRDefault="00164030" w:rsidP="002B168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078" w:type="dxa"/>
            <w:tcBorders>
              <w:bottom w:val="single" w:sz="4" w:space="0" w:color="auto"/>
            </w:tcBorders>
            <w:shd w:val="clear" w:color="auto" w:fill="D9D9D9" w:themeFill="background1" w:themeFillShade="D9"/>
            <w:vAlign w:val="center"/>
          </w:tcPr>
          <w:p w:rsidR="00164030" w:rsidRPr="00D16CC2" w:rsidRDefault="007046C2" w:rsidP="0041631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(4,698)</w:t>
            </w:r>
          </w:p>
        </w:tc>
        <w:tc>
          <w:tcPr>
            <w:tcW w:w="1078" w:type="dxa"/>
            <w:tcBorders>
              <w:bottom w:val="single" w:sz="4" w:space="0" w:color="auto"/>
            </w:tcBorders>
            <w:shd w:val="clear" w:color="auto" w:fill="D9D9D9" w:themeFill="background1" w:themeFillShade="D9"/>
            <w:vAlign w:val="center"/>
          </w:tcPr>
          <w:p w:rsidR="00164030" w:rsidRPr="00C90778" w:rsidRDefault="00942CB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198</w:t>
            </w:r>
          </w:p>
        </w:tc>
        <w:tc>
          <w:tcPr>
            <w:tcW w:w="1078" w:type="dxa"/>
            <w:tcBorders>
              <w:bottom w:val="single" w:sz="4" w:space="0" w:color="auto"/>
            </w:tcBorders>
            <w:shd w:val="clear" w:color="auto" w:fill="D9D9D9" w:themeFill="background1" w:themeFillShade="D9"/>
            <w:vAlign w:val="center"/>
          </w:tcPr>
          <w:p w:rsidR="00164030" w:rsidRPr="00C90778" w:rsidRDefault="007046C2" w:rsidP="006C678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4,262</w:t>
            </w:r>
          </w:p>
        </w:tc>
        <w:tc>
          <w:tcPr>
            <w:tcW w:w="1018" w:type="dxa"/>
            <w:tcBorders>
              <w:bottom w:val="single" w:sz="4" w:space="0" w:color="auto"/>
            </w:tcBorders>
            <w:shd w:val="clear" w:color="auto" w:fill="D9D9D9" w:themeFill="background1" w:themeFillShade="D9"/>
            <w:vAlign w:val="center"/>
          </w:tcPr>
          <w:p w:rsidR="00164030" w:rsidRPr="00C90778" w:rsidRDefault="00953DEB" w:rsidP="00D7159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(238)</w:t>
            </w:r>
          </w:p>
        </w:tc>
      </w:tr>
      <w:tr w:rsidR="00164030" w:rsidRPr="0068094B" w:rsidTr="0015697B">
        <w:trPr>
          <w:trHeight w:val="283"/>
        </w:trPr>
        <w:tc>
          <w:tcPr>
            <w:tcW w:w="1027" w:type="dxa"/>
            <w:tcBorders>
              <w:top w:val="single" w:sz="4" w:space="0" w:color="auto"/>
              <w:bottom w:val="single" w:sz="4" w:space="0" w:color="auto"/>
            </w:tcBorders>
            <w:vAlign w:val="center"/>
          </w:tcPr>
          <w:p w:rsidR="00164030" w:rsidRPr="0068094B" w:rsidRDefault="00164030" w:rsidP="00F3650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D16CC2">
              <w:rPr>
                <w:rFonts w:asciiTheme="minorHAnsi" w:hAnsiTheme="minorHAnsi" w:cstheme="minorHAnsi"/>
                <w:bCs/>
                <w:sz w:val="22"/>
                <w:szCs w:val="22"/>
              </w:rPr>
              <w:t>(7,402)</w:t>
            </w:r>
          </w:p>
        </w:tc>
        <w:tc>
          <w:tcPr>
            <w:tcW w:w="1100" w:type="dxa"/>
            <w:tcBorders>
              <w:top w:val="single" w:sz="4" w:space="0" w:color="auto"/>
              <w:bottom w:val="single" w:sz="4" w:space="0" w:color="auto"/>
            </w:tcBorders>
            <w:vAlign w:val="center"/>
          </w:tcPr>
          <w:p w:rsidR="00164030" w:rsidRPr="0068094B" w:rsidRDefault="00164030" w:rsidP="00F3650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D16CC2">
              <w:rPr>
                <w:rFonts w:asciiTheme="minorHAnsi" w:hAnsiTheme="minorHAnsi" w:cstheme="minorHAnsi"/>
                <w:bCs/>
                <w:sz w:val="22"/>
                <w:szCs w:val="22"/>
              </w:rPr>
              <w:t>3,408</w:t>
            </w:r>
          </w:p>
        </w:tc>
        <w:tc>
          <w:tcPr>
            <w:tcW w:w="1134" w:type="dxa"/>
            <w:tcBorders>
              <w:top w:val="single" w:sz="4" w:space="0" w:color="auto"/>
              <w:bottom w:val="single" w:sz="4" w:space="0" w:color="auto"/>
            </w:tcBorders>
            <w:vAlign w:val="center"/>
          </w:tcPr>
          <w:p w:rsidR="00164030" w:rsidRPr="0068094B" w:rsidRDefault="00164030" w:rsidP="00F3650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D16CC2">
              <w:rPr>
                <w:rFonts w:asciiTheme="minorHAnsi" w:hAnsiTheme="minorHAnsi" w:cstheme="minorHAnsi"/>
                <w:bCs/>
                <w:sz w:val="22"/>
                <w:szCs w:val="22"/>
              </w:rPr>
              <w:t>(787)</w:t>
            </w:r>
          </w:p>
        </w:tc>
        <w:tc>
          <w:tcPr>
            <w:tcW w:w="1134" w:type="dxa"/>
            <w:tcBorders>
              <w:top w:val="single" w:sz="4" w:space="0" w:color="auto"/>
              <w:bottom w:val="single" w:sz="4" w:space="0" w:color="auto"/>
            </w:tcBorders>
            <w:vAlign w:val="center"/>
          </w:tcPr>
          <w:p w:rsidR="00164030" w:rsidRPr="0068094B" w:rsidRDefault="00164030" w:rsidP="00F3650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D16CC2">
              <w:rPr>
                <w:rFonts w:asciiTheme="minorHAnsi" w:hAnsiTheme="minorHAnsi" w:cstheme="minorHAnsi"/>
                <w:bCs/>
                <w:sz w:val="22"/>
                <w:szCs w:val="22"/>
              </w:rPr>
              <w:t>(4,781)</w:t>
            </w:r>
          </w:p>
        </w:tc>
        <w:tc>
          <w:tcPr>
            <w:tcW w:w="5245" w:type="dxa"/>
            <w:vAlign w:val="bottom"/>
          </w:tcPr>
          <w:p w:rsidR="00164030" w:rsidRPr="0068094B" w:rsidRDefault="00164030" w:rsidP="00ED6D2A">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Difference between the General Fund Surplus/ Deficit and surplus or deficit on the Provision of </w:t>
            </w:r>
            <w:r w:rsidR="00ED6D2A">
              <w:rPr>
                <w:rFonts w:asciiTheme="minorHAnsi" w:hAnsiTheme="minorHAnsi" w:cstheme="minorHAnsi"/>
                <w:sz w:val="22"/>
                <w:szCs w:val="22"/>
                <w:lang w:val="en-US"/>
              </w:rPr>
              <w:t>S</w:t>
            </w:r>
            <w:r w:rsidRPr="0068094B">
              <w:rPr>
                <w:rFonts w:asciiTheme="minorHAnsi" w:hAnsiTheme="minorHAnsi" w:cstheme="minorHAnsi"/>
                <w:sz w:val="22"/>
                <w:szCs w:val="22"/>
                <w:lang w:val="en-US"/>
              </w:rPr>
              <w:t>ervices</w:t>
            </w:r>
          </w:p>
        </w:tc>
        <w:tc>
          <w:tcPr>
            <w:tcW w:w="1078" w:type="dxa"/>
            <w:tcBorders>
              <w:top w:val="single" w:sz="4" w:space="0" w:color="auto"/>
              <w:bottom w:val="single" w:sz="4" w:space="0" w:color="auto"/>
            </w:tcBorders>
            <w:shd w:val="clear" w:color="auto" w:fill="D9D9D9" w:themeFill="background1" w:themeFillShade="D9"/>
            <w:vAlign w:val="center"/>
          </w:tcPr>
          <w:p w:rsidR="00164030" w:rsidRPr="00D16CC2" w:rsidRDefault="00F30932" w:rsidP="0041631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(1,652)</w:t>
            </w:r>
          </w:p>
        </w:tc>
        <w:tc>
          <w:tcPr>
            <w:tcW w:w="1078" w:type="dxa"/>
            <w:tcBorders>
              <w:top w:val="single" w:sz="4" w:space="0" w:color="auto"/>
              <w:bottom w:val="single" w:sz="4" w:space="0" w:color="auto"/>
            </w:tcBorders>
            <w:shd w:val="clear" w:color="auto" w:fill="D9D9D9" w:themeFill="background1" w:themeFillShade="D9"/>
            <w:vAlign w:val="center"/>
          </w:tcPr>
          <w:p w:rsidR="00164030" w:rsidRPr="00C90778" w:rsidRDefault="00942CBA" w:rsidP="004F624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3,</w:t>
            </w:r>
            <w:r w:rsidR="004F6247" w:rsidRPr="00C90778">
              <w:rPr>
                <w:rFonts w:asciiTheme="minorHAnsi" w:hAnsiTheme="minorHAnsi" w:cstheme="minorHAnsi"/>
                <w:bCs/>
                <w:sz w:val="22"/>
                <w:szCs w:val="22"/>
              </w:rPr>
              <w:t>549</w:t>
            </w:r>
          </w:p>
        </w:tc>
        <w:tc>
          <w:tcPr>
            <w:tcW w:w="1078" w:type="dxa"/>
            <w:tcBorders>
              <w:top w:val="single" w:sz="4" w:space="0" w:color="auto"/>
              <w:bottom w:val="single" w:sz="4" w:space="0" w:color="auto"/>
            </w:tcBorders>
            <w:shd w:val="clear" w:color="auto" w:fill="D9D9D9" w:themeFill="background1" w:themeFillShade="D9"/>
            <w:vAlign w:val="center"/>
          </w:tcPr>
          <w:p w:rsidR="00164030" w:rsidRPr="00C90778" w:rsidRDefault="007046C2" w:rsidP="006C678B">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4,262</w:t>
            </w:r>
          </w:p>
        </w:tc>
        <w:tc>
          <w:tcPr>
            <w:tcW w:w="1018" w:type="dxa"/>
            <w:tcBorders>
              <w:top w:val="single" w:sz="4" w:space="0" w:color="auto"/>
              <w:bottom w:val="single" w:sz="4" w:space="0" w:color="auto"/>
            </w:tcBorders>
            <w:shd w:val="clear" w:color="auto" w:fill="D9D9D9" w:themeFill="background1" w:themeFillShade="D9"/>
            <w:vAlign w:val="center"/>
          </w:tcPr>
          <w:p w:rsidR="00164030" w:rsidRPr="00C90778" w:rsidRDefault="004F6247" w:rsidP="004F624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6</w:t>
            </w:r>
            <w:r w:rsidR="00F30932" w:rsidRPr="00C90778">
              <w:rPr>
                <w:rFonts w:asciiTheme="minorHAnsi" w:hAnsiTheme="minorHAnsi" w:cstheme="minorHAnsi"/>
                <w:bCs/>
                <w:sz w:val="22"/>
                <w:szCs w:val="22"/>
              </w:rPr>
              <w:t>,</w:t>
            </w:r>
            <w:r w:rsidRPr="00C90778">
              <w:rPr>
                <w:rFonts w:asciiTheme="minorHAnsi" w:hAnsiTheme="minorHAnsi" w:cstheme="minorHAnsi"/>
                <w:bCs/>
                <w:sz w:val="22"/>
                <w:szCs w:val="22"/>
              </w:rPr>
              <w:t>159</w:t>
            </w:r>
          </w:p>
        </w:tc>
      </w:tr>
    </w:tbl>
    <w:p w:rsidR="00AF6D21" w:rsidRPr="0068094B" w:rsidRDefault="00AF6D21" w:rsidP="00044691">
      <w:pPr>
        <w:tabs>
          <w:tab w:val="left" w:pos="0"/>
        </w:tabs>
        <w:jc w:val="both"/>
        <w:rPr>
          <w:rFonts w:asciiTheme="minorHAnsi" w:hAnsiTheme="minorHAnsi" w:cstheme="minorHAnsi"/>
          <w:bCs/>
          <w:sz w:val="22"/>
          <w:szCs w:val="22"/>
        </w:rPr>
      </w:pPr>
    </w:p>
    <w:p w:rsidR="003806C6" w:rsidRPr="0068094B" w:rsidRDefault="003806C6" w:rsidP="00044691">
      <w:pPr>
        <w:tabs>
          <w:tab w:val="left" w:pos="0"/>
        </w:tabs>
        <w:jc w:val="both"/>
        <w:rPr>
          <w:rFonts w:asciiTheme="minorHAnsi" w:hAnsiTheme="minorHAnsi" w:cstheme="minorHAnsi"/>
          <w:bCs/>
          <w:sz w:val="22"/>
          <w:szCs w:val="22"/>
        </w:rPr>
      </w:pPr>
    </w:p>
    <w:p w:rsidR="003806C6" w:rsidRPr="0068094B" w:rsidRDefault="003806C6" w:rsidP="00044691">
      <w:pPr>
        <w:tabs>
          <w:tab w:val="left" w:pos="0"/>
        </w:tabs>
        <w:jc w:val="both"/>
        <w:rPr>
          <w:rFonts w:asciiTheme="minorHAnsi" w:hAnsiTheme="minorHAnsi" w:cstheme="minorHAnsi"/>
          <w:bCs/>
          <w:sz w:val="22"/>
          <w:szCs w:val="22"/>
        </w:rPr>
      </w:pPr>
    </w:p>
    <w:p w:rsidR="003806C6" w:rsidRPr="0068094B" w:rsidRDefault="003806C6" w:rsidP="00044691">
      <w:pPr>
        <w:tabs>
          <w:tab w:val="left" w:pos="0"/>
        </w:tabs>
        <w:jc w:val="both"/>
        <w:rPr>
          <w:rFonts w:asciiTheme="minorHAnsi" w:hAnsiTheme="minorHAnsi" w:cstheme="minorHAnsi"/>
          <w:bCs/>
          <w:sz w:val="22"/>
          <w:szCs w:val="22"/>
        </w:rPr>
        <w:sectPr w:rsidR="003806C6" w:rsidRPr="0068094B" w:rsidSect="00420C36">
          <w:footnotePr>
            <w:pos w:val="beneathText"/>
          </w:footnotePr>
          <w:pgSz w:w="16838" w:h="11906" w:orient="landscape"/>
          <w:pgMar w:top="709" w:right="851" w:bottom="1736" w:left="1418" w:header="284" w:footer="576" w:gutter="0"/>
          <w:cols w:space="720"/>
          <w:docGrid w:linePitch="360"/>
        </w:sectPr>
      </w:pPr>
    </w:p>
    <w:p w:rsidR="003806C6" w:rsidRPr="0068094B" w:rsidRDefault="003806C6" w:rsidP="003806C6">
      <w:pPr>
        <w:tabs>
          <w:tab w:val="left" w:pos="0"/>
        </w:tabs>
        <w:rPr>
          <w:rFonts w:asciiTheme="minorHAnsi" w:hAnsiTheme="minorHAnsi" w:cstheme="minorHAnsi"/>
          <w:bCs/>
          <w:sz w:val="22"/>
          <w:szCs w:val="22"/>
        </w:rPr>
      </w:pPr>
      <w:r w:rsidRPr="0068094B">
        <w:rPr>
          <w:rFonts w:asciiTheme="minorHAnsi" w:hAnsiTheme="minorHAnsi" w:cstheme="minorHAnsi"/>
          <w:b/>
          <w:bCs/>
          <w:sz w:val="22"/>
          <w:szCs w:val="22"/>
        </w:rPr>
        <w:lastRenderedPageBreak/>
        <w:t>Adjustments for capital purposes</w:t>
      </w:r>
      <w:r w:rsidRPr="0068094B">
        <w:rPr>
          <w:rFonts w:asciiTheme="minorHAnsi" w:hAnsiTheme="minorHAnsi" w:cstheme="minorHAnsi"/>
          <w:bCs/>
          <w:sz w:val="22"/>
          <w:szCs w:val="22"/>
        </w:rPr>
        <w:t xml:space="preserve"> – this column adds in depreciation and impairment and revaluations gains and losses in the services lines; and for,</w:t>
      </w:r>
    </w:p>
    <w:p w:rsidR="003806C6" w:rsidRPr="0068094B" w:rsidRDefault="003806C6" w:rsidP="003806C6">
      <w:pPr>
        <w:tabs>
          <w:tab w:val="left" w:pos="0"/>
        </w:tabs>
        <w:rPr>
          <w:rFonts w:asciiTheme="minorHAnsi" w:hAnsiTheme="minorHAnsi" w:cstheme="minorHAnsi"/>
          <w:bCs/>
          <w:sz w:val="22"/>
          <w:szCs w:val="22"/>
        </w:rPr>
      </w:pPr>
    </w:p>
    <w:p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Other operating expenditure</w:t>
      </w:r>
      <w:r w:rsidRPr="0068094B">
        <w:rPr>
          <w:rFonts w:asciiTheme="minorHAnsi" w:hAnsiTheme="minorHAnsi" w:cstheme="minorHAnsi"/>
          <w:bCs/>
          <w:sz w:val="22"/>
          <w:szCs w:val="22"/>
        </w:rPr>
        <w:t xml:space="preserve"> this adjusts for capital disposals with a transfer of income on disposal of assets and the amounts written off for those assets</w:t>
      </w:r>
      <w:r w:rsidR="001F138E">
        <w:rPr>
          <w:rFonts w:asciiTheme="minorHAnsi" w:hAnsiTheme="minorHAnsi" w:cstheme="minorHAnsi"/>
          <w:bCs/>
          <w:sz w:val="22"/>
          <w:szCs w:val="22"/>
        </w:rPr>
        <w:t xml:space="preserve">, </w:t>
      </w:r>
    </w:p>
    <w:p w:rsidR="003806C6" w:rsidRPr="0068094B" w:rsidRDefault="003806C6" w:rsidP="003806C6">
      <w:pPr>
        <w:tabs>
          <w:tab w:val="left" w:pos="0"/>
        </w:tabs>
        <w:ind w:left="720"/>
        <w:rPr>
          <w:rFonts w:asciiTheme="minorHAnsi" w:hAnsiTheme="minorHAnsi" w:cstheme="minorHAnsi"/>
          <w:bCs/>
          <w:sz w:val="22"/>
          <w:szCs w:val="22"/>
        </w:rPr>
      </w:pPr>
    </w:p>
    <w:p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Financing and investment income and expenditure</w:t>
      </w:r>
      <w:r w:rsidRPr="0068094B">
        <w:rPr>
          <w:rFonts w:asciiTheme="minorHAnsi" w:hAnsiTheme="minorHAnsi" w:cstheme="minorHAnsi"/>
          <w:bCs/>
          <w:sz w:val="22"/>
          <w:szCs w:val="22"/>
        </w:rPr>
        <w:t>, the statutory charges for capital financing (i.e. Minimum Revenue Provision and other revenue contributions) are deducted from other income and expenditure as these are not chargeable under generally accepted accounting practices</w:t>
      </w:r>
      <w:r w:rsidR="001F138E">
        <w:rPr>
          <w:rFonts w:asciiTheme="minorHAnsi" w:hAnsiTheme="minorHAnsi" w:cstheme="minorHAnsi"/>
          <w:bCs/>
          <w:sz w:val="22"/>
          <w:szCs w:val="22"/>
        </w:rPr>
        <w:t>, and,</w:t>
      </w:r>
    </w:p>
    <w:p w:rsidR="003806C6" w:rsidRPr="0068094B" w:rsidRDefault="003806C6" w:rsidP="003806C6">
      <w:pPr>
        <w:tabs>
          <w:tab w:val="left" w:pos="0"/>
        </w:tabs>
        <w:ind w:left="720"/>
        <w:rPr>
          <w:rFonts w:asciiTheme="minorHAnsi" w:hAnsiTheme="minorHAnsi" w:cstheme="minorHAnsi"/>
          <w:bCs/>
          <w:sz w:val="22"/>
          <w:szCs w:val="22"/>
        </w:rPr>
      </w:pPr>
    </w:p>
    <w:p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Taxation and non-specific grant income and expenditure</w:t>
      </w:r>
      <w:r w:rsidRPr="0068094B">
        <w:rPr>
          <w:rFonts w:asciiTheme="minorHAnsi" w:hAnsiTheme="minorHAnsi" w:cstheme="minorHAnsi"/>
          <w:bCs/>
          <w:sz w:val="22"/>
          <w:szCs w:val="22"/>
        </w:rPr>
        <w:t>, capital grants are adjusted for income and not chargeable under generally accepted accounting practices. Revenue grants are adjusted from those receivable in the year without conditions or for which conditions were satisfied throughout the year. The Taxation and non-specific grant income and expenditure line is credited with capital grants receivable in the year without conditions or which conditions were satisfied in the year.</w:t>
      </w:r>
    </w:p>
    <w:p w:rsidR="003806C6" w:rsidRPr="0068094B" w:rsidRDefault="003806C6" w:rsidP="003806C6">
      <w:pPr>
        <w:pStyle w:val="Heading2"/>
        <w:numPr>
          <w:ilvl w:val="0"/>
          <w:numId w:val="0"/>
        </w:numPr>
        <w:rPr>
          <w:rFonts w:asciiTheme="minorHAnsi" w:hAnsiTheme="minorHAnsi" w:cstheme="minorHAnsi"/>
          <w:b w:val="0"/>
          <w:bCs/>
          <w:sz w:val="22"/>
          <w:szCs w:val="22"/>
        </w:rPr>
      </w:pPr>
      <w:r w:rsidRPr="0068094B">
        <w:rPr>
          <w:rFonts w:asciiTheme="minorHAnsi" w:hAnsiTheme="minorHAnsi" w:cstheme="minorHAnsi"/>
          <w:sz w:val="22"/>
          <w:szCs w:val="22"/>
        </w:rPr>
        <w:br/>
        <w:t>Adjustments for Pensions</w:t>
      </w:r>
      <w:r w:rsidRPr="0068094B">
        <w:rPr>
          <w:rFonts w:asciiTheme="minorHAnsi" w:hAnsiTheme="minorHAnsi" w:cstheme="minorHAnsi"/>
          <w:b w:val="0"/>
          <w:sz w:val="22"/>
          <w:szCs w:val="22"/>
        </w:rPr>
        <w:t xml:space="preserve"> - this column removes pension contributions and adds IAS19</w:t>
      </w:r>
      <w:r w:rsidRPr="0068094B">
        <w:rPr>
          <w:rFonts w:asciiTheme="minorHAnsi" w:hAnsiTheme="minorHAnsi" w:cstheme="minorHAnsi"/>
          <w:b w:val="0"/>
          <w:bCs/>
          <w:sz w:val="22"/>
          <w:szCs w:val="22"/>
        </w:rPr>
        <w:t xml:space="preserve"> </w:t>
      </w:r>
      <w:r w:rsidRPr="0068094B">
        <w:rPr>
          <w:rFonts w:asciiTheme="minorHAnsi" w:hAnsiTheme="minorHAnsi" w:cstheme="minorHAnsi"/>
          <w:b w:val="0"/>
          <w:bCs/>
          <w:i/>
          <w:sz w:val="22"/>
          <w:szCs w:val="22"/>
        </w:rPr>
        <w:t>Employee Benefits</w:t>
      </w:r>
      <w:r w:rsidRPr="0068094B">
        <w:rPr>
          <w:rFonts w:asciiTheme="minorHAnsi" w:hAnsiTheme="minorHAnsi" w:cstheme="minorHAnsi"/>
          <w:b w:val="0"/>
          <w:bCs/>
          <w:sz w:val="22"/>
          <w:szCs w:val="22"/>
        </w:rPr>
        <w:t xml:space="preserve"> pension related income and expenditure, for</w:t>
      </w:r>
    </w:p>
    <w:p w:rsidR="003806C6" w:rsidRPr="0068094B" w:rsidRDefault="003806C6" w:rsidP="003806C6">
      <w:pPr>
        <w:pStyle w:val="Heading2"/>
        <w:numPr>
          <w:ilvl w:val="0"/>
          <w:numId w:val="0"/>
        </w:numPr>
        <w:rPr>
          <w:rFonts w:asciiTheme="minorHAnsi" w:hAnsiTheme="minorHAnsi" w:cstheme="minorHAnsi"/>
          <w:b w:val="0"/>
          <w:bCs/>
          <w:sz w:val="22"/>
          <w:szCs w:val="22"/>
        </w:rPr>
      </w:pPr>
    </w:p>
    <w:p w:rsidR="003806C6" w:rsidRPr="0068094B" w:rsidRDefault="003806C6" w:rsidP="003806C6">
      <w:pPr>
        <w:pStyle w:val="Heading2"/>
        <w:numPr>
          <w:ilvl w:val="0"/>
          <w:numId w:val="0"/>
        </w:numPr>
        <w:ind w:left="720"/>
        <w:rPr>
          <w:rFonts w:asciiTheme="minorHAnsi" w:hAnsiTheme="minorHAnsi" w:cstheme="minorHAnsi"/>
          <w:b w:val="0"/>
          <w:bCs/>
          <w:sz w:val="22"/>
          <w:szCs w:val="22"/>
        </w:rPr>
      </w:pPr>
      <w:r w:rsidRPr="0068094B">
        <w:rPr>
          <w:rFonts w:asciiTheme="minorHAnsi" w:hAnsiTheme="minorHAnsi" w:cstheme="minorHAnsi"/>
          <w:bCs/>
          <w:sz w:val="22"/>
          <w:szCs w:val="22"/>
        </w:rPr>
        <w:t>Services</w:t>
      </w:r>
      <w:r w:rsidRPr="0068094B">
        <w:rPr>
          <w:rFonts w:asciiTheme="minorHAnsi" w:hAnsiTheme="minorHAnsi" w:cstheme="minorHAnsi"/>
          <w:b w:val="0"/>
          <w:bCs/>
          <w:sz w:val="22"/>
          <w:szCs w:val="22"/>
        </w:rPr>
        <w:t xml:space="preserve"> this represents the removal of the employer pension contributions made by the authority as allowed by statute and the replacement with current service costs and past service costs</w:t>
      </w:r>
      <w:r w:rsidR="001F138E">
        <w:rPr>
          <w:rFonts w:asciiTheme="minorHAnsi" w:hAnsiTheme="minorHAnsi" w:cstheme="minorHAnsi"/>
          <w:b w:val="0"/>
          <w:bCs/>
          <w:sz w:val="22"/>
          <w:szCs w:val="22"/>
        </w:rPr>
        <w:t>,</w:t>
      </w:r>
      <w:r w:rsidRPr="0068094B">
        <w:rPr>
          <w:rFonts w:asciiTheme="minorHAnsi" w:hAnsiTheme="minorHAnsi" w:cstheme="minorHAnsi"/>
          <w:b w:val="0"/>
          <w:bCs/>
          <w:sz w:val="22"/>
          <w:szCs w:val="22"/>
        </w:rPr>
        <w:br/>
      </w:r>
    </w:p>
    <w:p w:rsidR="003806C6" w:rsidRPr="0068094B" w:rsidRDefault="003806C6" w:rsidP="003806C6">
      <w:pPr>
        <w:pStyle w:val="Heading2"/>
        <w:numPr>
          <w:ilvl w:val="0"/>
          <w:numId w:val="0"/>
        </w:numPr>
        <w:ind w:left="720"/>
        <w:rPr>
          <w:rFonts w:asciiTheme="minorHAnsi" w:hAnsiTheme="minorHAnsi" w:cstheme="minorHAnsi"/>
          <w:b w:val="0"/>
          <w:bCs/>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bCs/>
          <w:sz w:val="22"/>
          <w:szCs w:val="22"/>
        </w:rPr>
        <w:t xml:space="preserve"> the net interest on the defined benefit liability is charged to the Comprehensive income and expenditure statement.</w:t>
      </w:r>
      <w:r w:rsidRPr="0068094B">
        <w:rPr>
          <w:rFonts w:asciiTheme="minorHAnsi" w:hAnsiTheme="minorHAnsi" w:cstheme="minorHAnsi"/>
          <w:b w:val="0"/>
          <w:bCs/>
          <w:sz w:val="22"/>
          <w:szCs w:val="22"/>
        </w:rPr>
        <w:br/>
      </w:r>
    </w:p>
    <w:p w:rsidR="003806C6" w:rsidRPr="0068094B" w:rsidRDefault="003806C6" w:rsidP="003806C6">
      <w:pPr>
        <w:rPr>
          <w:rFonts w:asciiTheme="minorHAnsi" w:hAnsiTheme="minorHAnsi" w:cstheme="minorHAnsi"/>
          <w:sz w:val="22"/>
          <w:szCs w:val="22"/>
        </w:rPr>
      </w:pPr>
      <w:r w:rsidRPr="0068094B">
        <w:rPr>
          <w:rFonts w:asciiTheme="minorHAnsi" w:hAnsiTheme="minorHAnsi" w:cstheme="minorHAnsi"/>
          <w:b/>
          <w:sz w:val="22"/>
          <w:szCs w:val="22"/>
        </w:rPr>
        <w:t>Other adjustments</w:t>
      </w:r>
      <w:r w:rsidRPr="0068094B">
        <w:rPr>
          <w:rFonts w:asciiTheme="minorHAnsi" w:hAnsiTheme="minorHAnsi" w:cstheme="minorHAnsi"/>
          <w:sz w:val="22"/>
          <w:szCs w:val="22"/>
        </w:rPr>
        <w:t xml:space="preserve"> – represents other differences between amounts debited/ credited to the Comprehensive Income and Expenditure Statement and amounts payable/ receivable to be recognised under statute, for</w:t>
      </w:r>
    </w:p>
    <w:p w:rsidR="003806C6" w:rsidRPr="0068094B" w:rsidRDefault="003806C6" w:rsidP="003806C6">
      <w:pPr>
        <w:rPr>
          <w:rFonts w:asciiTheme="minorHAnsi" w:hAnsiTheme="minorHAnsi" w:cstheme="minorHAnsi"/>
          <w:sz w:val="22"/>
          <w:szCs w:val="22"/>
        </w:rPr>
      </w:pPr>
    </w:p>
    <w:p w:rsidR="003806C6" w:rsidRPr="0068094B" w:rsidRDefault="003806C6" w:rsidP="003806C6">
      <w:pPr>
        <w:ind w:left="720"/>
        <w:rPr>
          <w:rFonts w:asciiTheme="minorHAnsi" w:hAnsiTheme="minorHAnsi" w:cstheme="minorHAnsi"/>
          <w:b/>
          <w:sz w:val="22"/>
          <w:szCs w:val="22"/>
        </w:rPr>
      </w:pPr>
      <w:r w:rsidRPr="0068094B">
        <w:rPr>
          <w:rFonts w:asciiTheme="minorHAnsi" w:hAnsiTheme="minorHAnsi" w:cstheme="minorHAnsi"/>
          <w:b/>
          <w:sz w:val="22"/>
          <w:szCs w:val="22"/>
        </w:rPr>
        <w:t>Services</w:t>
      </w:r>
      <w:r w:rsidRPr="0068094B">
        <w:rPr>
          <w:rFonts w:asciiTheme="minorHAnsi" w:hAnsiTheme="minorHAnsi" w:cstheme="minorHAnsi"/>
          <w:sz w:val="22"/>
          <w:szCs w:val="22"/>
        </w:rPr>
        <w:t xml:space="preserve"> this represents the movement in the year of the amount accrued for short term accumulating employee absences</w:t>
      </w:r>
      <w:r w:rsidR="00871025">
        <w:rPr>
          <w:rFonts w:asciiTheme="minorHAnsi" w:hAnsiTheme="minorHAnsi" w:cstheme="minorHAnsi"/>
          <w:sz w:val="22"/>
          <w:szCs w:val="22"/>
        </w:rPr>
        <w:t>,</w:t>
      </w:r>
    </w:p>
    <w:p w:rsidR="003806C6" w:rsidRPr="0068094B" w:rsidRDefault="003806C6" w:rsidP="003806C6">
      <w:pPr>
        <w:ind w:left="720"/>
        <w:rPr>
          <w:rFonts w:asciiTheme="minorHAnsi" w:hAnsiTheme="minorHAnsi" w:cstheme="minorHAnsi"/>
          <w:b/>
          <w:sz w:val="22"/>
          <w:szCs w:val="22"/>
        </w:rPr>
      </w:pPr>
    </w:p>
    <w:p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Financing and Investment income and expenditure</w:t>
      </w:r>
      <w:r w:rsidRPr="0068094B">
        <w:rPr>
          <w:rFonts w:asciiTheme="minorHAnsi" w:hAnsiTheme="minorHAnsi" w:cstheme="minorHAnsi"/>
          <w:sz w:val="22"/>
          <w:szCs w:val="22"/>
        </w:rPr>
        <w:t xml:space="preserve"> the column recognises adjustments to the General Fund for the timing differences for premiums and discounts</w:t>
      </w:r>
      <w:r w:rsidR="001F138E">
        <w:rPr>
          <w:rFonts w:asciiTheme="minorHAnsi" w:hAnsiTheme="minorHAnsi" w:cstheme="minorHAnsi"/>
          <w:sz w:val="22"/>
          <w:szCs w:val="22"/>
        </w:rPr>
        <w:t>,</w:t>
      </w:r>
    </w:p>
    <w:p w:rsidR="003806C6" w:rsidRPr="0068094B" w:rsidRDefault="003806C6" w:rsidP="003806C6">
      <w:pPr>
        <w:ind w:left="720"/>
        <w:rPr>
          <w:rFonts w:asciiTheme="minorHAnsi" w:hAnsiTheme="minorHAnsi" w:cstheme="minorHAnsi"/>
          <w:sz w:val="22"/>
          <w:szCs w:val="22"/>
        </w:rPr>
      </w:pPr>
    </w:p>
    <w:p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Taxation and non-specific grant income and expenditure</w:t>
      </w:r>
      <w:r w:rsidRPr="0068094B">
        <w:rPr>
          <w:rFonts w:asciiTheme="minorHAnsi" w:hAnsiTheme="minorHAnsi" w:cstheme="minorHAnsi"/>
          <w:sz w:val="22"/>
          <w:szCs w:val="22"/>
        </w:rPr>
        <w:t xml:space="preserve"> this represents the difference between what is chargeable under statutory regulations for council tax and NDR that was projected to the received at the start of the year and the income recognised under generally accepted accounting principles in the Code.  This is a timing difference as any difference will be brought forward in future surpluses or deficits on the Collection Fund.</w:t>
      </w:r>
    </w:p>
    <w:p w:rsidR="003D31CE" w:rsidRPr="0068094B" w:rsidRDefault="00871025" w:rsidP="00871025">
      <w:pPr>
        <w:widowControl/>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AF6D21" w:rsidRDefault="000533C8" w:rsidP="00E36759">
      <w:pPr>
        <w:tabs>
          <w:tab w:val="left" w:pos="0"/>
        </w:tabs>
        <w:ind w:hanging="567"/>
        <w:jc w:val="both"/>
        <w:rPr>
          <w:rFonts w:asciiTheme="minorHAnsi" w:hAnsiTheme="minorHAnsi" w:cstheme="minorHAnsi"/>
          <w:b/>
          <w:bCs/>
          <w:sz w:val="22"/>
          <w:szCs w:val="22"/>
        </w:rPr>
      </w:pPr>
      <w:r>
        <w:rPr>
          <w:rFonts w:asciiTheme="minorHAnsi" w:hAnsiTheme="minorHAnsi" w:cstheme="minorHAnsi"/>
          <w:b/>
          <w:bCs/>
          <w:sz w:val="22"/>
          <w:szCs w:val="22"/>
        </w:rPr>
        <w:lastRenderedPageBreak/>
        <w:t>6</w:t>
      </w:r>
      <w:r w:rsidR="00E36759" w:rsidRPr="0068094B">
        <w:rPr>
          <w:rFonts w:asciiTheme="minorHAnsi" w:hAnsiTheme="minorHAnsi" w:cstheme="minorHAnsi"/>
          <w:b/>
          <w:bCs/>
          <w:sz w:val="22"/>
          <w:szCs w:val="22"/>
        </w:rPr>
        <w:t>b</w:t>
      </w:r>
      <w:r w:rsidR="00E36759" w:rsidRPr="0068094B">
        <w:rPr>
          <w:rFonts w:asciiTheme="minorHAnsi" w:hAnsiTheme="minorHAnsi" w:cstheme="minorHAnsi"/>
          <w:b/>
          <w:bCs/>
          <w:sz w:val="22"/>
          <w:szCs w:val="22"/>
        </w:rPr>
        <w:tab/>
      </w:r>
      <w:r w:rsidR="00F00DD4" w:rsidRPr="0068094B">
        <w:rPr>
          <w:rFonts w:asciiTheme="minorHAnsi" w:hAnsiTheme="minorHAnsi" w:cstheme="minorHAnsi"/>
          <w:b/>
          <w:bCs/>
          <w:sz w:val="22"/>
          <w:szCs w:val="22"/>
        </w:rPr>
        <w:t>Segmental Income</w:t>
      </w:r>
      <w:r w:rsidR="00AF6D21" w:rsidRPr="0068094B">
        <w:rPr>
          <w:rFonts w:asciiTheme="minorHAnsi" w:hAnsiTheme="minorHAnsi" w:cstheme="minorHAnsi"/>
          <w:b/>
          <w:bCs/>
          <w:sz w:val="22"/>
          <w:szCs w:val="22"/>
        </w:rPr>
        <w:t xml:space="preserve"> </w:t>
      </w:r>
      <w:r w:rsidR="0077649F" w:rsidRPr="0068094B">
        <w:rPr>
          <w:rFonts w:asciiTheme="minorHAnsi" w:hAnsiTheme="minorHAnsi" w:cstheme="minorHAnsi"/>
          <w:b/>
          <w:bCs/>
          <w:sz w:val="22"/>
          <w:szCs w:val="22"/>
        </w:rPr>
        <w:t>Cost of Services</w:t>
      </w:r>
    </w:p>
    <w:p w:rsidR="004177CF" w:rsidRPr="0068094B" w:rsidRDefault="004177CF" w:rsidP="00E36759">
      <w:pPr>
        <w:tabs>
          <w:tab w:val="left" w:pos="0"/>
        </w:tabs>
        <w:ind w:hanging="567"/>
        <w:jc w:val="both"/>
        <w:rPr>
          <w:rFonts w:asciiTheme="minorHAnsi" w:hAnsiTheme="minorHAnsi" w:cstheme="minorHAnsi"/>
          <w:b/>
          <w:bCs/>
          <w:sz w:val="22"/>
          <w:szCs w:val="22"/>
        </w:rPr>
      </w:pPr>
    </w:p>
    <w:p w:rsidR="00F00DD4" w:rsidRPr="0068094B" w:rsidRDefault="005D3A25" w:rsidP="00F00DD4">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This note analyses the revenue income received from external customers on a segmental basis:</w:t>
      </w:r>
    </w:p>
    <w:p w:rsidR="00F00DD4" w:rsidRPr="0068094B" w:rsidRDefault="00F00DD4" w:rsidP="00F00DD4">
      <w:pPr>
        <w:tabs>
          <w:tab w:val="left" w:pos="0"/>
        </w:tabs>
        <w:jc w:val="both"/>
        <w:rPr>
          <w:rFonts w:asciiTheme="minorHAnsi" w:hAnsiTheme="minorHAnsi" w:cs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gmental Income Cost of Services"/>
      </w:tblPr>
      <w:tblGrid>
        <w:gridCol w:w="5778"/>
        <w:gridCol w:w="1701"/>
        <w:gridCol w:w="1467"/>
      </w:tblGrid>
      <w:tr w:rsidR="00BB5B7C" w:rsidRPr="0068094B" w:rsidTr="003B5F7F">
        <w:trPr>
          <w:tblHeader/>
        </w:trPr>
        <w:tc>
          <w:tcPr>
            <w:tcW w:w="5778" w:type="dxa"/>
          </w:tcPr>
          <w:p w:rsidR="00BB5B7C" w:rsidRPr="0068094B" w:rsidRDefault="00BB5B7C" w:rsidP="00F00DD4">
            <w:pPr>
              <w:tabs>
                <w:tab w:val="left" w:pos="0"/>
              </w:tabs>
              <w:jc w:val="both"/>
              <w:rPr>
                <w:rFonts w:asciiTheme="minorHAnsi" w:hAnsiTheme="minorHAnsi" w:cstheme="minorHAnsi"/>
                <w:bCs/>
                <w:sz w:val="22"/>
                <w:szCs w:val="22"/>
              </w:rPr>
            </w:pPr>
          </w:p>
        </w:tc>
        <w:tc>
          <w:tcPr>
            <w:tcW w:w="1701" w:type="dxa"/>
            <w:vAlign w:val="bottom"/>
          </w:tcPr>
          <w:p w:rsidR="007D7B32" w:rsidRDefault="00BB5B7C" w:rsidP="00514E20">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201</w:t>
            </w:r>
            <w:r w:rsidR="00514E20">
              <w:rPr>
                <w:rFonts w:asciiTheme="minorHAnsi" w:hAnsiTheme="minorHAnsi" w:cstheme="minorHAnsi"/>
                <w:bCs/>
                <w:sz w:val="22"/>
                <w:szCs w:val="22"/>
              </w:rPr>
              <w:t>8</w:t>
            </w:r>
            <w:r w:rsidR="00156877" w:rsidRPr="0068094B">
              <w:rPr>
                <w:rFonts w:asciiTheme="minorHAnsi" w:hAnsiTheme="minorHAnsi" w:cstheme="minorHAnsi"/>
                <w:bCs/>
                <w:sz w:val="22"/>
                <w:szCs w:val="22"/>
              </w:rPr>
              <w:t>-</w:t>
            </w:r>
            <w:r w:rsidRPr="0068094B">
              <w:rPr>
                <w:rFonts w:asciiTheme="minorHAnsi" w:hAnsiTheme="minorHAnsi" w:cstheme="minorHAnsi"/>
                <w:bCs/>
                <w:sz w:val="22"/>
                <w:szCs w:val="22"/>
              </w:rPr>
              <w:t>1</w:t>
            </w:r>
            <w:r w:rsidR="00514E20">
              <w:rPr>
                <w:rFonts w:asciiTheme="minorHAnsi" w:hAnsiTheme="minorHAnsi" w:cstheme="minorHAnsi"/>
                <w:bCs/>
                <w:sz w:val="22"/>
                <w:szCs w:val="22"/>
              </w:rPr>
              <w:t>9</w:t>
            </w:r>
          </w:p>
          <w:p w:rsidR="006F17C8" w:rsidRPr="0068094B" w:rsidRDefault="006F17C8" w:rsidP="00514E20">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(Restated)</w:t>
            </w:r>
          </w:p>
        </w:tc>
        <w:tc>
          <w:tcPr>
            <w:tcW w:w="1467" w:type="dxa"/>
            <w:shd w:val="clear" w:color="auto" w:fill="D9D9D9" w:themeFill="background1" w:themeFillShade="D9"/>
            <w:vAlign w:val="bottom"/>
          </w:tcPr>
          <w:p w:rsidR="00DD1120" w:rsidRDefault="00BB5B7C" w:rsidP="00514E20">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201</w:t>
            </w:r>
            <w:r w:rsidR="00514E20">
              <w:rPr>
                <w:rFonts w:asciiTheme="minorHAnsi" w:hAnsiTheme="minorHAnsi" w:cstheme="minorHAnsi"/>
                <w:bCs/>
                <w:sz w:val="22"/>
                <w:szCs w:val="22"/>
              </w:rPr>
              <w:t>9</w:t>
            </w:r>
            <w:r w:rsidR="00156877" w:rsidRPr="0068094B">
              <w:rPr>
                <w:rFonts w:asciiTheme="minorHAnsi" w:hAnsiTheme="minorHAnsi" w:cstheme="minorHAnsi"/>
                <w:bCs/>
                <w:sz w:val="22"/>
                <w:szCs w:val="22"/>
              </w:rPr>
              <w:t>-</w:t>
            </w:r>
            <w:r w:rsidR="00514E20">
              <w:rPr>
                <w:rFonts w:asciiTheme="minorHAnsi" w:hAnsiTheme="minorHAnsi" w:cstheme="minorHAnsi"/>
                <w:bCs/>
                <w:sz w:val="22"/>
                <w:szCs w:val="22"/>
              </w:rPr>
              <w:t>20</w:t>
            </w:r>
          </w:p>
          <w:p w:rsidR="006F17C8" w:rsidRPr="0068094B" w:rsidRDefault="006F17C8" w:rsidP="00514E20">
            <w:pPr>
              <w:tabs>
                <w:tab w:val="left" w:pos="0"/>
              </w:tabs>
              <w:jc w:val="right"/>
              <w:rPr>
                <w:rFonts w:asciiTheme="minorHAnsi" w:hAnsiTheme="minorHAnsi" w:cstheme="minorHAnsi"/>
                <w:bCs/>
                <w:sz w:val="22"/>
                <w:szCs w:val="22"/>
              </w:rPr>
            </w:pPr>
          </w:p>
        </w:tc>
      </w:tr>
      <w:tr w:rsidR="00BB5B7C" w:rsidRPr="0068094B" w:rsidTr="007E247A">
        <w:trPr>
          <w:trHeight w:val="283"/>
        </w:trPr>
        <w:tc>
          <w:tcPr>
            <w:tcW w:w="5778" w:type="dxa"/>
          </w:tcPr>
          <w:p w:rsidR="00BB5B7C" w:rsidRPr="0068094B" w:rsidRDefault="00BB5B7C" w:rsidP="00F00DD4">
            <w:pPr>
              <w:tabs>
                <w:tab w:val="left" w:pos="0"/>
              </w:tabs>
              <w:jc w:val="both"/>
              <w:rPr>
                <w:rFonts w:asciiTheme="minorHAnsi" w:hAnsiTheme="minorHAnsi" w:cstheme="minorHAnsi"/>
                <w:bCs/>
                <w:sz w:val="22"/>
                <w:szCs w:val="22"/>
              </w:rPr>
            </w:pPr>
          </w:p>
        </w:tc>
        <w:tc>
          <w:tcPr>
            <w:tcW w:w="1701" w:type="dxa"/>
            <w:vAlign w:val="bottom"/>
          </w:tcPr>
          <w:p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c>
          <w:tcPr>
            <w:tcW w:w="1467" w:type="dxa"/>
            <w:shd w:val="clear" w:color="auto" w:fill="D9D9D9" w:themeFill="background1" w:themeFillShade="D9"/>
            <w:vAlign w:val="bottom"/>
          </w:tcPr>
          <w:p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r>
      <w:tr w:rsidR="00514E20" w:rsidRPr="0068094B" w:rsidTr="007E247A">
        <w:trPr>
          <w:trHeight w:val="283"/>
        </w:trPr>
        <w:tc>
          <w:tcPr>
            <w:tcW w:w="5778" w:type="dxa"/>
            <w:shd w:val="clear" w:color="auto" w:fill="auto"/>
            <w:vAlign w:val="center"/>
          </w:tcPr>
          <w:p w:rsidR="00514E20" w:rsidRPr="006F17C8" w:rsidRDefault="00514E20"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6F17C8">
              <w:rPr>
                <w:rFonts w:asciiTheme="minorHAnsi" w:hAnsiTheme="minorHAnsi" w:cstheme="minorHAnsi"/>
                <w:b w:val="0"/>
                <w:bCs/>
                <w:sz w:val="22"/>
                <w:szCs w:val="22"/>
              </w:rPr>
              <w:t>Leader</w:t>
            </w:r>
          </w:p>
        </w:tc>
        <w:tc>
          <w:tcPr>
            <w:tcW w:w="1701" w:type="dxa"/>
            <w:shd w:val="clear" w:color="auto" w:fill="auto"/>
            <w:vAlign w:val="center"/>
          </w:tcPr>
          <w:p w:rsidR="00514E20" w:rsidRPr="006F17C8" w:rsidRDefault="007E247A" w:rsidP="007560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67" w:type="dxa"/>
            <w:shd w:val="clear" w:color="auto" w:fill="D9D9D9" w:themeFill="background1" w:themeFillShade="D9"/>
            <w:vAlign w:val="center"/>
          </w:tcPr>
          <w:p w:rsidR="00514E20" w:rsidRPr="0068094B" w:rsidRDefault="00200492">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r>
      <w:tr w:rsidR="00514E20" w:rsidRPr="0068094B" w:rsidTr="007E247A">
        <w:trPr>
          <w:trHeight w:val="283"/>
        </w:trPr>
        <w:tc>
          <w:tcPr>
            <w:tcW w:w="5778" w:type="dxa"/>
            <w:shd w:val="clear" w:color="auto" w:fill="auto"/>
            <w:vAlign w:val="center"/>
          </w:tcPr>
          <w:p w:rsidR="00514E20" w:rsidRPr="006F17C8" w:rsidRDefault="007E247A"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Pr>
                <w:rFonts w:asciiTheme="minorHAnsi" w:hAnsiTheme="minorHAnsi" w:cstheme="minorHAnsi"/>
                <w:b w:val="0"/>
                <w:bCs/>
                <w:sz w:val="22"/>
                <w:szCs w:val="22"/>
              </w:rPr>
              <w:t>Planning</w:t>
            </w:r>
            <w:r w:rsidR="00514E20" w:rsidRPr="006F17C8">
              <w:rPr>
                <w:rFonts w:asciiTheme="minorHAnsi" w:hAnsiTheme="minorHAnsi" w:cstheme="minorHAnsi"/>
                <w:b w:val="0"/>
                <w:bCs/>
                <w:sz w:val="22"/>
                <w:szCs w:val="22"/>
              </w:rPr>
              <w:t xml:space="preserve"> Services</w:t>
            </w:r>
          </w:p>
        </w:tc>
        <w:tc>
          <w:tcPr>
            <w:tcW w:w="1701" w:type="dxa"/>
            <w:shd w:val="clear" w:color="auto" w:fill="auto"/>
            <w:vAlign w:val="center"/>
          </w:tcPr>
          <w:p w:rsidR="00514E20" w:rsidRPr="006F17C8" w:rsidRDefault="001F405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Pr>
                <w:rFonts w:asciiTheme="minorHAnsi" w:hAnsiTheme="minorHAnsi" w:cstheme="minorHAnsi"/>
                <w:b w:val="0"/>
                <w:bCs/>
                <w:sz w:val="22"/>
                <w:szCs w:val="22"/>
              </w:rPr>
              <w:t>(1,899)</w:t>
            </w:r>
          </w:p>
        </w:tc>
        <w:tc>
          <w:tcPr>
            <w:tcW w:w="1467" w:type="dxa"/>
            <w:shd w:val="clear" w:color="auto" w:fill="D9D9D9" w:themeFill="background1" w:themeFillShade="D9"/>
            <w:vAlign w:val="center"/>
          </w:tcPr>
          <w:p w:rsidR="00514E20" w:rsidRPr="00D16CC2" w:rsidRDefault="00200492" w:rsidP="0056252A">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(2,174)</w:t>
            </w:r>
          </w:p>
        </w:tc>
      </w:tr>
      <w:tr w:rsidR="00514E20" w:rsidRPr="0068094B" w:rsidTr="007E247A">
        <w:trPr>
          <w:trHeight w:val="283"/>
        </w:trPr>
        <w:tc>
          <w:tcPr>
            <w:tcW w:w="5778" w:type="dxa"/>
            <w:shd w:val="clear" w:color="auto" w:fill="auto"/>
            <w:vAlign w:val="center"/>
          </w:tcPr>
          <w:p w:rsidR="00514E20" w:rsidRPr="006F17C8" w:rsidRDefault="00514E20" w:rsidP="007E247A">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6F17C8">
              <w:rPr>
                <w:rFonts w:asciiTheme="minorHAnsi" w:hAnsiTheme="minorHAnsi" w:cstheme="minorHAnsi"/>
                <w:b w:val="0"/>
                <w:bCs/>
                <w:sz w:val="22"/>
                <w:szCs w:val="22"/>
              </w:rPr>
              <w:t>Co</w:t>
            </w:r>
            <w:r w:rsidR="007E247A">
              <w:rPr>
                <w:rFonts w:asciiTheme="minorHAnsi" w:hAnsiTheme="minorHAnsi" w:cstheme="minorHAnsi"/>
                <w:b w:val="0"/>
                <w:bCs/>
                <w:sz w:val="22"/>
                <w:szCs w:val="22"/>
              </w:rPr>
              <w:t>mmunity Services and Culture</w:t>
            </w:r>
            <w:r w:rsidRPr="006F17C8">
              <w:rPr>
                <w:rFonts w:asciiTheme="minorHAnsi" w:hAnsiTheme="minorHAnsi" w:cstheme="minorHAnsi"/>
                <w:b w:val="0"/>
                <w:bCs/>
                <w:sz w:val="22"/>
                <w:szCs w:val="22"/>
              </w:rPr>
              <w:t xml:space="preserve"> </w:t>
            </w:r>
          </w:p>
        </w:tc>
        <w:tc>
          <w:tcPr>
            <w:tcW w:w="1701" w:type="dxa"/>
            <w:shd w:val="clear" w:color="auto" w:fill="auto"/>
            <w:vAlign w:val="center"/>
          </w:tcPr>
          <w:p w:rsidR="00514E20" w:rsidRPr="006F17C8" w:rsidRDefault="001F405C" w:rsidP="007560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Pr>
                <w:rFonts w:asciiTheme="minorHAnsi" w:hAnsiTheme="minorHAnsi" w:cstheme="minorHAnsi"/>
                <w:b w:val="0"/>
                <w:bCs/>
                <w:sz w:val="22"/>
                <w:szCs w:val="22"/>
              </w:rPr>
              <w:t>(849)</w:t>
            </w:r>
          </w:p>
        </w:tc>
        <w:tc>
          <w:tcPr>
            <w:tcW w:w="1467" w:type="dxa"/>
            <w:shd w:val="clear" w:color="auto" w:fill="D9D9D9" w:themeFill="background1" w:themeFillShade="D9"/>
            <w:vAlign w:val="center"/>
          </w:tcPr>
          <w:p w:rsidR="00514E20" w:rsidRPr="00D16CC2" w:rsidRDefault="00200492" w:rsidP="004C1B91">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(739)</w:t>
            </w:r>
          </w:p>
        </w:tc>
      </w:tr>
      <w:tr w:rsidR="00514E20" w:rsidRPr="0068094B" w:rsidTr="007E247A">
        <w:trPr>
          <w:trHeight w:val="283"/>
        </w:trPr>
        <w:tc>
          <w:tcPr>
            <w:tcW w:w="5778" w:type="dxa"/>
            <w:shd w:val="clear" w:color="auto" w:fill="auto"/>
            <w:vAlign w:val="center"/>
          </w:tcPr>
          <w:p w:rsidR="00514E20" w:rsidRPr="006F17C8" w:rsidRDefault="007E247A"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Growth, Place and Regeneration</w:t>
            </w:r>
          </w:p>
        </w:tc>
        <w:tc>
          <w:tcPr>
            <w:tcW w:w="1701" w:type="dxa"/>
            <w:shd w:val="clear" w:color="auto" w:fill="auto"/>
            <w:vAlign w:val="center"/>
          </w:tcPr>
          <w:p w:rsidR="00514E20" w:rsidRPr="006F17C8" w:rsidRDefault="001F405C" w:rsidP="001F405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Pr>
                <w:rFonts w:asciiTheme="minorHAnsi" w:hAnsiTheme="minorHAnsi" w:cstheme="minorHAnsi"/>
                <w:b w:val="0"/>
                <w:bCs/>
                <w:sz w:val="22"/>
                <w:szCs w:val="22"/>
              </w:rPr>
              <w:t>(7,987)</w:t>
            </w:r>
          </w:p>
        </w:tc>
        <w:tc>
          <w:tcPr>
            <w:tcW w:w="1467" w:type="dxa"/>
            <w:shd w:val="clear" w:color="auto" w:fill="D9D9D9" w:themeFill="background1" w:themeFillShade="D9"/>
            <w:vAlign w:val="center"/>
          </w:tcPr>
          <w:p w:rsidR="00514E20" w:rsidRPr="0045220A" w:rsidRDefault="00200492" w:rsidP="00A7798B">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(8,</w:t>
            </w:r>
            <w:r w:rsidR="00034EBA" w:rsidRPr="0045220A">
              <w:rPr>
                <w:rFonts w:asciiTheme="minorHAnsi" w:hAnsiTheme="minorHAnsi" w:cstheme="minorHAnsi"/>
                <w:bCs/>
                <w:sz w:val="22"/>
                <w:szCs w:val="22"/>
              </w:rPr>
              <w:t>2</w:t>
            </w:r>
            <w:r w:rsidR="00A7798B" w:rsidRPr="0045220A">
              <w:rPr>
                <w:rFonts w:asciiTheme="minorHAnsi" w:hAnsiTheme="minorHAnsi" w:cstheme="minorHAnsi"/>
                <w:bCs/>
                <w:sz w:val="22"/>
                <w:szCs w:val="22"/>
              </w:rPr>
              <w:t>16</w:t>
            </w:r>
            <w:r w:rsidRPr="0045220A">
              <w:rPr>
                <w:rFonts w:asciiTheme="minorHAnsi" w:hAnsiTheme="minorHAnsi" w:cstheme="minorHAnsi"/>
                <w:bCs/>
                <w:sz w:val="22"/>
                <w:szCs w:val="22"/>
              </w:rPr>
              <w:t>)</w:t>
            </w:r>
          </w:p>
        </w:tc>
      </w:tr>
      <w:tr w:rsidR="007E247A" w:rsidRPr="0068094B" w:rsidTr="007E247A">
        <w:trPr>
          <w:trHeight w:val="283"/>
        </w:trPr>
        <w:tc>
          <w:tcPr>
            <w:tcW w:w="5778" w:type="dxa"/>
            <w:shd w:val="clear" w:color="auto" w:fill="auto"/>
            <w:vAlign w:val="center"/>
          </w:tcPr>
          <w:p w:rsidR="007E247A" w:rsidRDefault="007E247A"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Housing, Communications, Licensing and Events</w:t>
            </w:r>
          </w:p>
        </w:tc>
        <w:tc>
          <w:tcPr>
            <w:tcW w:w="1701" w:type="dxa"/>
            <w:shd w:val="clear" w:color="auto" w:fill="auto"/>
            <w:vAlign w:val="center"/>
          </w:tcPr>
          <w:p w:rsidR="007E247A" w:rsidRPr="006F17C8" w:rsidRDefault="001F405C" w:rsidP="001F405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(1,218)</w:t>
            </w:r>
          </w:p>
        </w:tc>
        <w:tc>
          <w:tcPr>
            <w:tcW w:w="1467" w:type="dxa"/>
            <w:shd w:val="clear" w:color="auto" w:fill="D9D9D9" w:themeFill="background1" w:themeFillShade="D9"/>
            <w:vAlign w:val="center"/>
          </w:tcPr>
          <w:p w:rsidR="007E247A" w:rsidRPr="0045220A" w:rsidRDefault="00200492" w:rsidP="00200492">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(1,367)</w:t>
            </w:r>
          </w:p>
        </w:tc>
      </w:tr>
      <w:tr w:rsidR="00514E20" w:rsidRPr="0068094B" w:rsidTr="007E247A">
        <w:trPr>
          <w:trHeight w:val="283"/>
        </w:trPr>
        <w:tc>
          <w:tcPr>
            <w:tcW w:w="5778" w:type="dxa"/>
            <w:shd w:val="clear" w:color="auto" w:fill="auto"/>
            <w:vAlign w:val="center"/>
          </w:tcPr>
          <w:p w:rsidR="00514E20" w:rsidRPr="006F17C8" w:rsidRDefault="00514E20"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F17C8">
              <w:rPr>
                <w:rFonts w:asciiTheme="minorHAnsi" w:hAnsiTheme="minorHAnsi" w:cstheme="minorHAnsi"/>
                <w:b w:val="0"/>
                <w:bCs/>
                <w:sz w:val="22"/>
                <w:szCs w:val="22"/>
              </w:rPr>
              <w:t>Environment Services</w:t>
            </w:r>
            <w:r w:rsidR="007E247A">
              <w:rPr>
                <w:rFonts w:asciiTheme="minorHAnsi" w:hAnsiTheme="minorHAnsi" w:cstheme="minorHAnsi"/>
                <w:b w:val="0"/>
                <w:bCs/>
                <w:sz w:val="22"/>
                <w:szCs w:val="22"/>
              </w:rPr>
              <w:t xml:space="preserve"> and Chichester Contract Services</w:t>
            </w:r>
          </w:p>
        </w:tc>
        <w:tc>
          <w:tcPr>
            <w:tcW w:w="1701" w:type="dxa"/>
            <w:shd w:val="clear" w:color="auto" w:fill="auto"/>
            <w:vAlign w:val="center"/>
          </w:tcPr>
          <w:p w:rsidR="00514E20" w:rsidRPr="006F17C8" w:rsidRDefault="001F405C" w:rsidP="007560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Pr>
                <w:rFonts w:asciiTheme="minorHAnsi" w:hAnsiTheme="minorHAnsi" w:cstheme="minorHAnsi"/>
                <w:b w:val="0"/>
                <w:bCs/>
                <w:sz w:val="22"/>
                <w:szCs w:val="22"/>
              </w:rPr>
              <w:t>(3,548)</w:t>
            </w:r>
          </w:p>
        </w:tc>
        <w:tc>
          <w:tcPr>
            <w:tcW w:w="1467" w:type="dxa"/>
            <w:shd w:val="clear" w:color="auto" w:fill="D9D9D9" w:themeFill="background1" w:themeFillShade="D9"/>
            <w:vAlign w:val="center"/>
          </w:tcPr>
          <w:p w:rsidR="00514E20" w:rsidRPr="0045220A" w:rsidRDefault="00200492" w:rsidP="00200492">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(3,850)</w:t>
            </w:r>
          </w:p>
        </w:tc>
      </w:tr>
      <w:tr w:rsidR="00514E20" w:rsidRPr="0068094B" w:rsidTr="007E247A">
        <w:trPr>
          <w:trHeight w:val="283"/>
        </w:trPr>
        <w:tc>
          <w:tcPr>
            <w:tcW w:w="5778" w:type="dxa"/>
            <w:shd w:val="clear" w:color="auto" w:fill="auto"/>
            <w:vAlign w:val="center"/>
          </w:tcPr>
          <w:p w:rsidR="00514E20" w:rsidRPr="006F17C8" w:rsidRDefault="007E247A"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Finance, Corporate</w:t>
            </w:r>
            <w:r w:rsidR="00514E20" w:rsidRPr="006F17C8">
              <w:rPr>
                <w:rFonts w:asciiTheme="minorHAnsi" w:hAnsiTheme="minorHAnsi" w:cstheme="minorHAnsi"/>
                <w:b w:val="0"/>
                <w:bCs/>
                <w:sz w:val="22"/>
                <w:szCs w:val="22"/>
              </w:rPr>
              <w:t xml:space="preserve"> Services</w:t>
            </w:r>
            <w:r>
              <w:rPr>
                <w:rFonts w:asciiTheme="minorHAnsi" w:hAnsiTheme="minorHAnsi" w:cstheme="minorHAnsi"/>
                <w:b w:val="0"/>
                <w:bCs/>
                <w:sz w:val="22"/>
                <w:szCs w:val="22"/>
              </w:rPr>
              <w:t xml:space="preserve"> and Revenue and Benefits</w:t>
            </w:r>
          </w:p>
        </w:tc>
        <w:tc>
          <w:tcPr>
            <w:tcW w:w="1701" w:type="dxa"/>
            <w:shd w:val="clear" w:color="auto" w:fill="auto"/>
            <w:vAlign w:val="center"/>
          </w:tcPr>
          <w:p w:rsidR="00514E20" w:rsidRPr="006F17C8" w:rsidRDefault="001F405C" w:rsidP="007560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Pr>
                <w:rFonts w:asciiTheme="minorHAnsi" w:hAnsiTheme="minorHAnsi" w:cstheme="minorHAnsi"/>
                <w:b w:val="0"/>
                <w:bCs/>
                <w:sz w:val="22"/>
                <w:szCs w:val="22"/>
              </w:rPr>
              <w:t>(733)</w:t>
            </w:r>
          </w:p>
        </w:tc>
        <w:tc>
          <w:tcPr>
            <w:tcW w:w="1467" w:type="dxa"/>
            <w:shd w:val="clear" w:color="auto" w:fill="D9D9D9" w:themeFill="background1" w:themeFillShade="D9"/>
            <w:vAlign w:val="center"/>
          </w:tcPr>
          <w:p w:rsidR="00514E20" w:rsidRPr="0045220A" w:rsidRDefault="00200492" w:rsidP="00034EBA">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(1,1</w:t>
            </w:r>
            <w:r w:rsidR="00034EBA" w:rsidRPr="0045220A">
              <w:rPr>
                <w:rFonts w:asciiTheme="minorHAnsi" w:hAnsiTheme="minorHAnsi" w:cstheme="minorHAnsi"/>
                <w:bCs/>
                <w:sz w:val="22"/>
                <w:szCs w:val="22"/>
              </w:rPr>
              <w:t>97</w:t>
            </w:r>
            <w:r w:rsidRPr="0045220A">
              <w:rPr>
                <w:rFonts w:asciiTheme="minorHAnsi" w:hAnsiTheme="minorHAnsi" w:cstheme="minorHAnsi"/>
                <w:bCs/>
                <w:sz w:val="22"/>
                <w:szCs w:val="22"/>
              </w:rPr>
              <w:t>)</w:t>
            </w:r>
          </w:p>
        </w:tc>
      </w:tr>
      <w:tr w:rsidR="00514E20" w:rsidRPr="0068094B" w:rsidTr="007E247A">
        <w:trPr>
          <w:trHeight w:val="481"/>
        </w:trPr>
        <w:tc>
          <w:tcPr>
            <w:tcW w:w="5778" w:type="dxa"/>
            <w:tcBorders>
              <w:top w:val="single" w:sz="4" w:space="0" w:color="auto"/>
              <w:bottom w:val="single" w:sz="4" w:space="0" w:color="auto"/>
            </w:tcBorders>
            <w:vAlign w:val="center"/>
          </w:tcPr>
          <w:p w:rsidR="00514E20" w:rsidRPr="0068094B" w:rsidRDefault="00514E20" w:rsidP="008C059B">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 analysed on a segmental basis</w:t>
            </w:r>
          </w:p>
        </w:tc>
        <w:tc>
          <w:tcPr>
            <w:tcW w:w="1701" w:type="dxa"/>
            <w:tcBorders>
              <w:top w:val="single" w:sz="4" w:space="0" w:color="auto"/>
              <w:bottom w:val="single" w:sz="4" w:space="0" w:color="auto"/>
            </w:tcBorders>
            <w:vAlign w:val="center"/>
          </w:tcPr>
          <w:p w:rsidR="00514E20" w:rsidRPr="0068094B" w:rsidRDefault="00514E20">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(16,234)</w:t>
            </w:r>
          </w:p>
        </w:tc>
        <w:tc>
          <w:tcPr>
            <w:tcW w:w="1467" w:type="dxa"/>
            <w:tcBorders>
              <w:top w:val="single" w:sz="4" w:space="0" w:color="auto"/>
              <w:bottom w:val="single" w:sz="4" w:space="0" w:color="auto"/>
            </w:tcBorders>
            <w:shd w:val="clear" w:color="auto" w:fill="D9D9D9" w:themeFill="background1" w:themeFillShade="D9"/>
            <w:vAlign w:val="center"/>
          </w:tcPr>
          <w:p w:rsidR="00514E20" w:rsidRPr="0045220A" w:rsidRDefault="00200492" w:rsidP="00A7798B">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(17,</w:t>
            </w:r>
            <w:r w:rsidR="00034EBA" w:rsidRPr="0045220A">
              <w:rPr>
                <w:rFonts w:asciiTheme="minorHAnsi" w:hAnsiTheme="minorHAnsi" w:cstheme="minorHAnsi"/>
                <w:bCs/>
                <w:sz w:val="22"/>
                <w:szCs w:val="22"/>
              </w:rPr>
              <w:t>5</w:t>
            </w:r>
            <w:r w:rsidR="00A7798B" w:rsidRPr="0045220A">
              <w:rPr>
                <w:rFonts w:asciiTheme="minorHAnsi" w:hAnsiTheme="minorHAnsi" w:cstheme="minorHAnsi"/>
                <w:bCs/>
                <w:sz w:val="22"/>
                <w:szCs w:val="22"/>
              </w:rPr>
              <w:t>43</w:t>
            </w:r>
            <w:r w:rsidRPr="0045220A">
              <w:rPr>
                <w:rFonts w:asciiTheme="minorHAnsi" w:hAnsiTheme="minorHAnsi" w:cstheme="minorHAnsi"/>
                <w:bCs/>
                <w:sz w:val="22"/>
                <w:szCs w:val="22"/>
              </w:rPr>
              <w:t>)</w:t>
            </w:r>
          </w:p>
        </w:tc>
      </w:tr>
    </w:tbl>
    <w:p w:rsidR="00F00DD4" w:rsidRPr="0068094B" w:rsidRDefault="00F00DD4" w:rsidP="00F00DD4">
      <w:pPr>
        <w:tabs>
          <w:tab w:val="left" w:pos="0"/>
        </w:tabs>
        <w:jc w:val="both"/>
        <w:rPr>
          <w:rFonts w:asciiTheme="minorHAnsi" w:hAnsiTheme="minorHAnsi" w:cstheme="minorHAnsi"/>
          <w:bCs/>
          <w:sz w:val="22"/>
          <w:szCs w:val="22"/>
        </w:rPr>
      </w:pPr>
    </w:p>
    <w:p w:rsidR="00144DD1" w:rsidRPr="0068094B" w:rsidRDefault="00144DD1" w:rsidP="00AF6D21">
      <w:pPr>
        <w:tabs>
          <w:tab w:val="left" w:pos="0"/>
        </w:tabs>
        <w:jc w:val="both"/>
        <w:rPr>
          <w:rFonts w:asciiTheme="minorHAnsi" w:hAnsiTheme="minorHAnsi" w:cstheme="minorHAnsi"/>
          <w:b/>
          <w:bCs/>
          <w:sz w:val="22"/>
          <w:szCs w:val="22"/>
        </w:rPr>
      </w:pPr>
    </w:p>
    <w:p w:rsidR="00BB5B7C" w:rsidRDefault="00BB5B7C" w:rsidP="007D7B32">
      <w:pPr>
        <w:numPr>
          <w:ilvl w:val="0"/>
          <w:numId w:val="40"/>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Expenditure and Income Analysed by Nature</w:t>
      </w:r>
    </w:p>
    <w:p w:rsidR="004177CF" w:rsidRPr="0068094B" w:rsidRDefault="004177CF" w:rsidP="004177CF">
      <w:pPr>
        <w:tabs>
          <w:tab w:val="left" w:pos="0"/>
        </w:tabs>
        <w:jc w:val="both"/>
        <w:rPr>
          <w:rFonts w:asciiTheme="minorHAnsi" w:hAnsiTheme="minorHAnsi" w:cstheme="minorHAnsi"/>
          <w:b/>
          <w:bCs/>
          <w:sz w:val="22"/>
          <w:szCs w:val="22"/>
        </w:rPr>
      </w:pPr>
    </w:p>
    <w:p w:rsidR="00BB5B7C" w:rsidRPr="0068094B" w:rsidRDefault="00BB5B7C" w:rsidP="00BB5B7C">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The authority’s expenditure and income is analysed as follows:</w:t>
      </w:r>
    </w:p>
    <w:p w:rsidR="00BB5B7C" w:rsidRPr="0068094B" w:rsidRDefault="00BB5B7C" w:rsidP="00BB5B7C">
      <w:pPr>
        <w:tabs>
          <w:tab w:val="left" w:pos="0"/>
        </w:tabs>
        <w:jc w:val="both"/>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penditure and Income Analysed by Nature"/>
      </w:tblPr>
      <w:tblGrid>
        <w:gridCol w:w="6062"/>
        <w:gridCol w:w="1417"/>
        <w:gridCol w:w="1467"/>
      </w:tblGrid>
      <w:tr w:rsidR="00BB5B7C" w:rsidRPr="0068094B" w:rsidTr="003B5F7F">
        <w:trPr>
          <w:trHeight w:val="283"/>
          <w:tblHeader/>
        </w:trPr>
        <w:tc>
          <w:tcPr>
            <w:tcW w:w="6062" w:type="dxa"/>
            <w:vAlign w:val="bottom"/>
          </w:tcPr>
          <w:p w:rsidR="00BB5B7C" w:rsidRPr="0068094B" w:rsidRDefault="00BB5B7C" w:rsidP="00BB5B7C">
            <w:pPr>
              <w:tabs>
                <w:tab w:val="left" w:pos="0"/>
              </w:tabs>
              <w:rPr>
                <w:rFonts w:asciiTheme="minorHAnsi" w:hAnsiTheme="minorHAnsi" w:cstheme="minorHAnsi"/>
                <w:bCs/>
                <w:sz w:val="22"/>
                <w:szCs w:val="22"/>
              </w:rPr>
            </w:pPr>
          </w:p>
        </w:tc>
        <w:tc>
          <w:tcPr>
            <w:tcW w:w="1417" w:type="dxa"/>
            <w:vAlign w:val="bottom"/>
          </w:tcPr>
          <w:p w:rsidR="00BB5B7C" w:rsidRPr="0068094B" w:rsidRDefault="00BB5B7C" w:rsidP="006F17C8">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201</w:t>
            </w:r>
            <w:r w:rsidR="006F17C8">
              <w:rPr>
                <w:rFonts w:asciiTheme="minorHAnsi" w:hAnsiTheme="minorHAnsi" w:cstheme="minorHAnsi"/>
                <w:bCs/>
                <w:sz w:val="22"/>
                <w:szCs w:val="22"/>
              </w:rPr>
              <w:t>8</w:t>
            </w:r>
            <w:r w:rsidR="00156877" w:rsidRPr="0068094B">
              <w:rPr>
                <w:rFonts w:asciiTheme="minorHAnsi" w:hAnsiTheme="minorHAnsi" w:cstheme="minorHAnsi"/>
                <w:bCs/>
                <w:sz w:val="22"/>
                <w:szCs w:val="22"/>
              </w:rPr>
              <w:t>-</w:t>
            </w:r>
            <w:r w:rsidRPr="0068094B">
              <w:rPr>
                <w:rFonts w:asciiTheme="minorHAnsi" w:hAnsiTheme="minorHAnsi" w:cstheme="minorHAnsi"/>
                <w:bCs/>
                <w:sz w:val="22"/>
                <w:szCs w:val="22"/>
              </w:rPr>
              <w:t>1</w:t>
            </w:r>
            <w:r w:rsidR="006F17C8">
              <w:rPr>
                <w:rFonts w:asciiTheme="minorHAnsi" w:hAnsiTheme="minorHAnsi" w:cstheme="minorHAnsi"/>
                <w:bCs/>
                <w:sz w:val="22"/>
                <w:szCs w:val="22"/>
              </w:rPr>
              <w:t>9</w:t>
            </w:r>
          </w:p>
        </w:tc>
        <w:tc>
          <w:tcPr>
            <w:tcW w:w="1467" w:type="dxa"/>
            <w:shd w:val="clear" w:color="auto" w:fill="D9D9D9" w:themeFill="background1" w:themeFillShade="D9"/>
            <w:vAlign w:val="bottom"/>
          </w:tcPr>
          <w:p w:rsidR="00BB5B7C" w:rsidRPr="0068094B" w:rsidRDefault="00BB5B7C" w:rsidP="006F17C8">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201</w:t>
            </w:r>
            <w:r w:rsidR="006F17C8">
              <w:rPr>
                <w:rFonts w:asciiTheme="minorHAnsi" w:hAnsiTheme="minorHAnsi" w:cstheme="minorHAnsi"/>
                <w:bCs/>
                <w:sz w:val="22"/>
                <w:szCs w:val="22"/>
              </w:rPr>
              <w:t>9</w:t>
            </w:r>
            <w:r w:rsidR="00156877" w:rsidRPr="0068094B">
              <w:rPr>
                <w:rFonts w:asciiTheme="minorHAnsi" w:hAnsiTheme="minorHAnsi" w:cstheme="minorHAnsi"/>
                <w:bCs/>
                <w:sz w:val="22"/>
                <w:szCs w:val="22"/>
              </w:rPr>
              <w:t>-</w:t>
            </w:r>
            <w:r w:rsidR="006F17C8">
              <w:rPr>
                <w:rFonts w:asciiTheme="minorHAnsi" w:hAnsiTheme="minorHAnsi" w:cstheme="minorHAnsi"/>
                <w:bCs/>
                <w:sz w:val="22"/>
                <w:szCs w:val="22"/>
              </w:rPr>
              <w:t>20</w:t>
            </w:r>
          </w:p>
        </w:tc>
      </w:tr>
      <w:tr w:rsidR="00BB5B7C" w:rsidRPr="0068094B" w:rsidTr="00156877">
        <w:trPr>
          <w:trHeight w:val="283"/>
        </w:trPr>
        <w:tc>
          <w:tcPr>
            <w:tcW w:w="6062" w:type="dxa"/>
            <w:vAlign w:val="bottom"/>
          </w:tcPr>
          <w:p w:rsidR="00BB5B7C" w:rsidRPr="0068094B" w:rsidRDefault="00BB5B7C" w:rsidP="00BB5B7C">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Expenditure</w:t>
            </w:r>
          </w:p>
        </w:tc>
        <w:tc>
          <w:tcPr>
            <w:tcW w:w="1417" w:type="dxa"/>
            <w:vAlign w:val="bottom"/>
          </w:tcPr>
          <w:p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c>
          <w:tcPr>
            <w:tcW w:w="1467" w:type="dxa"/>
            <w:shd w:val="clear" w:color="auto" w:fill="D9D9D9" w:themeFill="background1" w:themeFillShade="D9"/>
            <w:vAlign w:val="bottom"/>
          </w:tcPr>
          <w:p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r>
      <w:tr w:rsidR="00514E20" w:rsidRPr="0068094B" w:rsidTr="00156877">
        <w:trPr>
          <w:trHeight w:val="283"/>
        </w:trPr>
        <w:tc>
          <w:tcPr>
            <w:tcW w:w="6062" w:type="dxa"/>
            <w:vAlign w:val="bottom"/>
          </w:tcPr>
          <w:p w:rsidR="00514E20" w:rsidRPr="0068094B" w:rsidRDefault="00514E20"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Employee benefits expenses</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22,572</w:t>
            </w:r>
          </w:p>
        </w:tc>
        <w:tc>
          <w:tcPr>
            <w:tcW w:w="1467" w:type="dxa"/>
            <w:shd w:val="clear" w:color="auto" w:fill="D9D9D9" w:themeFill="background1" w:themeFillShade="D9"/>
            <w:vAlign w:val="bottom"/>
          </w:tcPr>
          <w:p w:rsidR="00514E20" w:rsidRPr="00C90778" w:rsidRDefault="000658D2" w:rsidP="0045220A">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2</w:t>
            </w:r>
            <w:r w:rsidR="0045220A" w:rsidRPr="00C90778">
              <w:rPr>
                <w:rFonts w:asciiTheme="minorHAnsi" w:hAnsiTheme="minorHAnsi" w:cstheme="minorHAnsi"/>
                <w:bCs/>
                <w:sz w:val="22"/>
                <w:szCs w:val="22"/>
              </w:rPr>
              <w:t>3</w:t>
            </w:r>
            <w:r w:rsidRPr="00C90778">
              <w:rPr>
                <w:rFonts w:asciiTheme="minorHAnsi" w:hAnsiTheme="minorHAnsi" w:cstheme="minorHAnsi"/>
                <w:bCs/>
                <w:sz w:val="22"/>
                <w:szCs w:val="22"/>
              </w:rPr>
              <w:t>,</w:t>
            </w:r>
            <w:r w:rsidR="0045220A" w:rsidRPr="00C90778">
              <w:rPr>
                <w:rFonts w:asciiTheme="minorHAnsi" w:hAnsiTheme="minorHAnsi" w:cstheme="minorHAnsi"/>
                <w:bCs/>
                <w:sz w:val="22"/>
                <w:szCs w:val="22"/>
              </w:rPr>
              <w:t>000</w:t>
            </w:r>
          </w:p>
        </w:tc>
      </w:tr>
      <w:tr w:rsidR="00514E20" w:rsidRPr="0068094B" w:rsidTr="00156877">
        <w:trPr>
          <w:trHeight w:val="283"/>
        </w:trPr>
        <w:tc>
          <w:tcPr>
            <w:tcW w:w="6062" w:type="dxa"/>
            <w:vAlign w:val="bottom"/>
          </w:tcPr>
          <w:p w:rsidR="00514E20" w:rsidRPr="0068094B" w:rsidRDefault="00514E20"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Other service expenses</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47,359</w:t>
            </w:r>
          </w:p>
        </w:tc>
        <w:tc>
          <w:tcPr>
            <w:tcW w:w="1467" w:type="dxa"/>
            <w:shd w:val="clear" w:color="auto" w:fill="D9D9D9" w:themeFill="background1" w:themeFillShade="D9"/>
            <w:vAlign w:val="bottom"/>
          </w:tcPr>
          <w:p w:rsidR="00514E20" w:rsidRPr="00C90778" w:rsidRDefault="000658D2" w:rsidP="00B23E4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44,6</w:t>
            </w:r>
            <w:r w:rsidR="00B23E4C" w:rsidRPr="00C90778">
              <w:rPr>
                <w:rFonts w:asciiTheme="minorHAnsi" w:hAnsiTheme="minorHAnsi" w:cstheme="minorHAnsi"/>
                <w:bCs/>
                <w:sz w:val="22"/>
                <w:szCs w:val="22"/>
              </w:rPr>
              <w:t>73</w:t>
            </w:r>
          </w:p>
        </w:tc>
      </w:tr>
      <w:tr w:rsidR="00514E20" w:rsidRPr="0068094B" w:rsidTr="00156877">
        <w:trPr>
          <w:trHeight w:val="283"/>
        </w:trPr>
        <w:tc>
          <w:tcPr>
            <w:tcW w:w="6062" w:type="dxa"/>
            <w:vAlign w:val="bottom"/>
          </w:tcPr>
          <w:p w:rsidR="00514E20" w:rsidRPr="0068094B" w:rsidRDefault="00514E20"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Depreciation, amortisation and impairment</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4,302</w:t>
            </w:r>
          </w:p>
        </w:tc>
        <w:tc>
          <w:tcPr>
            <w:tcW w:w="1467" w:type="dxa"/>
            <w:shd w:val="clear" w:color="auto" w:fill="D9D9D9" w:themeFill="background1" w:themeFillShade="D9"/>
            <w:vAlign w:val="bottom"/>
          </w:tcPr>
          <w:p w:rsidR="00514E20" w:rsidRPr="00C90778" w:rsidRDefault="000658D2" w:rsidP="00A5115F">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1,881</w:t>
            </w:r>
          </w:p>
        </w:tc>
      </w:tr>
      <w:tr w:rsidR="00514E20" w:rsidRPr="0068094B" w:rsidTr="00156877">
        <w:trPr>
          <w:trHeight w:val="283"/>
        </w:trPr>
        <w:tc>
          <w:tcPr>
            <w:tcW w:w="6062" w:type="dxa"/>
            <w:vAlign w:val="bottom"/>
          </w:tcPr>
          <w:p w:rsidR="00514E20" w:rsidRPr="0068094B" w:rsidRDefault="00514E20"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Interest payments</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58</w:t>
            </w:r>
          </w:p>
        </w:tc>
        <w:tc>
          <w:tcPr>
            <w:tcW w:w="1467" w:type="dxa"/>
            <w:shd w:val="clear" w:color="auto" w:fill="D9D9D9" w:themeFill="background1" w:themeFillShade="D9"/>
            <w:vAlign w:val="bottom"/>
          </w:tcPr>
          <w:p w:rsidR="00514E20" w:rsidRPr="00C90778" w:rsidRDefault="000658D2" w:rsidP="00BB5B7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258</w:t>
            </w:r>
          </w:p>
        </w:tc>
      </w:tr>
      <w:tr w:rsidR="00514E20" w:rsidRPr="0068094B" w:rsidTr="00156877">
        <w:trPr>
          <w:trHeight w:val="283"/>
        </w:trPr>
        <w:tc>
          <w:tcPr>
            <w:tcW w:w="6062" w:type="dxa"/>
            <w:vAlign w:val="bottom"/>
          </w:tcPr>
          <w:p w:rsidR="00514E20" w:rsidRPr="0068094B" w:rsidRDefault="00514E20"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Precepts and Levies</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3,071</w:t>
            </w:r>
          </w:p>
        </w:tc>
        <w:tc>
          <w:tcPr>
            <w:tcW w:w="1467" w:type="dxa"/>
            <w:shd w:val="clear" w:color="auto" w:fill="D9D9D9" w:themeFill="background1" w:themeFillShade="D9"/>
            <w:vAlign w:val="bottom"/>
          </w:tcPr>
          <w:p w:rsidR="00514E20" w:rsidRPr="00C90778" w:rsidRDefault="000658D2" w:rsidP="003B0B3A">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3,174</w:t>
            </w:r>
          </w:p>
        </w:tc>
      </w:tr>
      <w:tr w:rsidR="000658D2" w:rsidRPr="0068094B" w:rsidTr="00156877">
        <w:trPr>
          <w:trHeight w:val="283"/>
        </w:trPr>
        <w:tc>
          <w:tcPr>
            <w:tcW w:w="6062" w:type="dxa"/>
            <w:vAlign w:val="bottom"/>
          </w:tcPr>
          <w:p w:rsidR="000658D2" w:rsidRPr="0068094B" w:rsidRDefault="000658D2" w:rsidP="000658D2">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Changes in the fair value of investments (losses)</w:t>
            </w:r>
          </w:p>
        </w:tc>
        <w:tc>
          <w:tcPr>
            <w:tcW w:w="1417" w:type="dxa"/>
            <w:vAlign w:val="bottom"/>
          </w:tcPr>
          <w:p w:rsidR="000658D2" w:rsidRPr="00D16CC2" w:rsidRDefault="000658D2" w:rsidP="00BB5B7C">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467" w:type="dxa"/>
            <w:shd w:val="clear" w:color="auto" w:fill="D9D9D9" w:themeFill="background1" w:themeFillShade="D9"/>
            <w:vAlign w:val="bottom"/>
          </w:tcPr>
          <w:p w:rsidR="000658D2" w:rsidRPr="00C90778" w:rsidRDefault="000658D2" w:rsidP="003B0B3A">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3,906</w:t>
            </w:r>
          </w:p>
        </w:tc>
      </w:tr>
      <w:tr w:rsidR="00514E20" w:rsidRPr="0068094B" w:rsidTr="00156877">
        <w:trPr>
          <w:trHeight w:val="283"/>
        </w:trPr>
        <w:tc>
          <w:tcPr>
            <w:tcW w:w="6062" w:type="dxa"/>
            <w:tcBorders>
              <w:top w:val="single" w:sz="4" w:space="0" w:color="auto"/>
              <w:bottom w:val="single" w:sz="4" w:space="0" w:color="auto"/>
            </w:tcBorders>
            <w:vAlign w:val="bottom"/>
          </w:tcPr>
          <w:p w:rsidR="00514E20" w:rsidRPr="0068094B" w:rsidRDefault="00514E20" w:rsidP="00BB5B7C">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Expenditure</w:t>
            </w:r>
          </w:p>
        </w:tc>
        <w:tc>
          <w:tcPr>
            <w:tcW w:w="1417" w:type="dxa"/>
            <w:tcBorders>
              <w:top w:val="single" w:sz="4" w:space="0" w:color="auto"/>
              <w:bottom w:val="single" w:sz="4" w:space="0" w:color="auto"/>
            </w:tcBorders>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77,362</w:t>
            </w:r>
          </w:p>
        </w:tc>
        <w:tc>
          <w:tcPr>
            <w:tcW w:w="1467" w:type="dxa"/>
            <w:tcBorders>
              <w:top w:val="single" w:sz="4" w:space="0" w:color="auto"/>
              <w:bottom w:val="single" w:sz="4" w:space="0" w:color="auto"/>
            </w:tcBorders>
            <w:shd w:val="clear" w:color="auto" w:fill="D9D9D9" w:themeFill="background1" w:themeFillShade="D9"/>
            <w:vAlign w:val="bottom"/>
          </w:tcPr>
          <w:p w:rsidR="00514E20" w:rsidRPr="00C90778" w:rsidRDefault="00A12622" w:rsidP="0045220A">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76,</w:t>
            </w:r>
            <w:r w:rsidR="0045220A" w:rsidRPr="00C90778">
              <w:rPr>
                <w:rFonts w:asciiTheme="minorHAnsi" w:hAnsiTheme="minorHAnsi" w:cstheme="minorHAnsi"/>
                <w:bCs/>
                <w:sz w:val="22"/>
                <w:szCs w:val="22"/>
              </w:rPr>
              <w:t>892</w:t>
            </w:r>
          </w:p>
        </w:tc>
      </w:tr>
      <w:tr w:rsidR="00514E20" w:rsidRPr="0068094B" w:rsidTr="00156877">
        <w:trPr>
          <w:trHeight w:val="283"/>
        </w:trPr>
        <w:tc>
          <w:tcPr>
            <w:tcW w:w="6062" w:type="dxa"/>
            <w:tcBorders>
              <w:top w:val="single" w:sz="4" w:space="0" w:color="auto"/>
            </w:tcBorders>
            <w:vAlign w:val="bottom"/>
          </w:tcPr>
          <w:p w:rsidR="00514E20" w:rsidRPr="0068094B" w:rsidRDefault="00514E20" w:rsidP="00BB5B7C">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Income</w:t>
            </w:r>
          </w:p>
        </w:tc>
        <w:tc>
          <w:tcPr>
            <w:tcW w:w="1417" w:type="dxa"/>
            <w:tcBorders>
              <w:top w:val="single" w:sz="4" w:space="0" w:color="auto"/>
            </w:tcBorders>
            <w:vAlign w:val="bottom"/>
          </w:tcPr>
          <w:p w:rsidR="00514E20" w:rsidRPr="0068094B" w:rsidRDefault="00514E20" w:rsidP="00BB5B7C">
            <w:pPr>
              <w:tabs>
                <w:tab w:val="left" w:pos="0"/>
              </w:tabs>
              <w:jc w:val="right"/>
              <w:rPr>
                <w:rFonts w:asciiTheme="minorHAnsi" w:hAnsiTheme="minorHAnsi" w:cstheme="minorHAnsi"/>
                <w:bCs/>
                <w:sz w:val="22"/>
                <w:szCs w:val="22"/>
              </w:rPr>
            </w:pPr>
          </w:p>
        </w:tc>
        <w:tc>
          <w:tcPr>
            <w:tcW w:w="1467" w:type="dxa"/>
            <w:tcBorders>
              <w:top w:val="single" w:sz="4" w:space="0" w:color="auto"/>
            </w:tcBorders>
            <w:shd w:val="clear" w:color="auto" w:fill="D9D9D9" w:themeFill="background1" w:themeFillShade="D9"/>
            <w:vAlign w:val="bottom"/>
          </w:tcPr>
          <w:p w:rsidR="00514E20" w:rsidRPr="0045220A" w:rsidRDefault="00514E20" w:rsidP="00BB5B7C">
            <w:pPr>
              <w:tabs>
                <w:tab w:val="left" w:pos="0"/>
              </w:tabs>
              <w:jc w:val="right"/>
              <w:rPr>
                <w:rFonts w:asciiTheme="minorHAnsi" w:hAnsiTheme="minorHAnsi" w:cstheme="minorHAnsi"/>
                <w:bCs/>
                <w:sz w:val="22"/>
                <w:szCs w:val="22"/>
              </w:rPr>
            </w:pPr>
          </w:p>
        </w:tc>
      </w:tr>
      <w:tr w:rsidR="00514E20" w:rsidRPr="00FD79A3" w:rsidTr="00156877">
        <w:trPr>
          <w:trHeight w:val="283"/>
        </w:trPr>
        <w:tc>
          <w:tcPr>
            <w:tcW w:w="6062" w:type="dxa"/>
            <w:vAlign w:val="bottom"/>
          </w:tcPr>
          <w:p w:rsidR="00514E20" w:rsidRPr="0068094B" w:rsidRDefault="00514E20"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Fees, charges and other service income</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(18,278)</w:t>
            </w:r>
          </w:p>
        </w:tc>
        <w:tc>
          <w:tcPr>
            <w:tcW w:w="1467" w:type="dxa"/>
            <w:shd w:val="clear" w:color="auto" w:fill="D9D9D9" w:themeFill="background1" w:themeFillShade="D9"/>
            <w:vAlign w:val="bottom"/>
          </w:tcPr>
          <w:p w:rsidR="00514E20" w:rsidRPr="0045220A" w:rsidRDefault="003F4BAE" w:rsidP="00A7798B">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(18,</w:t>
            </w:r>
            <w:r w:rsidR="00B23E4C" w:rsidRPr="0045220A">
              <w:rPr>
                <w:rFonts w:asciiTheme="minorHAnsi" w:hAnsiTheme="minorHAnsi" w:cstheme="minorHAnsi"/>
                <w:bCs/>
                <w:sz w:val="22"/>
                <w:szCs w:val="22"/>
              </w:rPr>
              <w:t>6</w:t>
            </w:r>
            <w:r w:rsidR="00A7798B" w:rsidRPr="0045220A">
              <w:rPr>
                <w:rFonts w:asciiTheme="minorHAnsi" w:hAnsiTheme="minorHAnsi" w:cstheme="minorHAnsi"/>
                <w:bCs/>
                <w:sz w:val="22"/>
                <w:szCs w:val="22"/>
              </w:rPr>
              <w:t>04</w:t>
            </w:r>
            <w:r w:rsidRPr="0045220A">
              <w:rPr>
                <w:rFonts w:asciiTheme="minorHAnsi" w:hAnsiTheme="minorHAnsi" w:cstheme="minorHAnsi"/>
                <w:bCs/>
                <w:sz w:val="22"/>
                <w:szCs w:val="22"/>
              </w:rPr>
              <w:t>)</w:t>
            </w:r>
          </w:p>
        </w:tc>
      </w:tr>
      <w:tr w:rsidR="00514E20" w:rsidRPr="00FD79A3" w:rsidTr="00156877">
        <w:trPr>
          <w:trHeight w:val="283"/>
        </w:trPr>
        <w:tc>
          <w:tcPr>
            <w:tcW w:w="6062" w:type="dxa"/>
            <w:vAlign w:val="bottom"/>
          </w:tcPr>
          <w:p w:rsidR="00514E20" w:rsidRPr="0068094B" w:rsidRDefault="00514E20"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Gain on the disposal of assets</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(1,249)</w:t>
            </w:r>
          </w:p>
        </w:tc>
        <w:tc>
          <w:tcPr>
            <w:tcW w:w="1467" w:type="dxa"/>
            <w:shd w:val="clear" w:color="auto" w:fill="D9D9D9" w:themeFill="background1" w:themeFillShade="D9"/>
            <w:vAlign w:val="bottom"/>
          </w:tcPr>
          <w:p w:rsidR="00514E20" w:rsidRPr="0045220A" w:rsidRDefault="003F4BAE" w:rsidP="00FD79A3">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(239)</w:t>
            </w:r>
          </w:p>
        </w:tc>
      </w:tr>
      <w:tr w:rsidR="00514E20" w:rsidRPr="0068094B" w:rsidTr="00156877">
        <w:trPr>
          <w:trHeight w:val="283"/>
        </w:trPr>
        <w:tc>
          <w:tcPr>
            <w:tcW w:w="6062" w:type="dxa"/>
            <w:vAlign w:val="bottom"/>
          </w:tcPr>
          <w:p w:rsidR="00514E20" w:rsidRPr="0068094B" w:rsidRDefault="00514E20" w:rsidP="00AD7FD9">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Changes in the fair value of investments</w:t>
            </w:r>
            <w:r w:rsidR="000658D2">
              <w:rPr>
                <w:rFonts w:asciiTheme="minorHAnsi" w:hAnsiTheme="minorHAnsi" w:cstheme="minorHAnsi"/>
                <w:bCs/>
                <w:sz w:val="22"/>
                <w:szCs w:val="22"/>
              </w:rPr>
              <w:t xml:space="preserve"> (gains)</w:t>
            </w:r>
          </w:p>
        </w:tc>
        <w:tc>
          <w:tcPr>
            <w:tcW w:w="1417" w:type="dxa"/>
            <w:vAlign w:val="bottom"/>
          </w:tcPr>
          <w:p w:rsidR="00514E20" w:rsidRPr="009D1579"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(20)</w:t>
            </w:r>
          </w:p>
        </w:tc>
        <w:tc>
          <w:tcPr>
            <w:tcW w:w="1467" w:type="dxa"/>
            <w:shd w:val="clear" w:color="auto" w:fill="D9D9D9" w:themeFill="background1" w:themeFillShade="D9"/>
            <w:vAlign w:val="bottom"/>
          </w:tcPr>
          <w:p w:rsidR="00514E20" w:rsidRPr="0045220A" w:rsidRDefault="003F4BAE"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0</w:t>
            </w:r>
          </w:p>
        </w:tc>
      </w:tr>
      <w:tr w:rsidR="003F4BAE" w:rsidRPr="0068094B" w:rsidTr="00156877">
        <w:trPr>
          <w:trHeight w:val="283"/>
        </w:trPr>
        <w:tc>
          <w:tcPr>
            <w:tcW w:w="6062" w:type="dxa"/>
            <w:vAlign w:val="bottom"/>
          </w:tcPr>
          <w:p w:rsidR="003F4BAE" w:rsidRPr="0068094B" w:rsidRDefault="003F4BAE" w:rsidP="00AD7FD9">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Gain on the sale of investments</w:t>
            </w:r>
          </w:p>
        </w:tc>
        <w:tc>
          <w:tcPr>
            <w:tcW w:w="1417" w:type="dxa"/>
            <w:vAlign w:val="bottom"/>
          </w:tcPr>
          <w:p w:rsidR="003F4BAE" w:rsidRPr="00D16CC2" w:rsidRDefault="003F4BAE" w:rsidP="00BB5B7C">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467" w:type="dxa"/>
            <w:shd w:val="clear" w:color="auto" w:fill="D9D9D9" w:themeFill="background1" w:themeFillShade="D9"/>
            <w:vAlign w:val="bottom"/>
          </w:tcPr>
          <w:p w:rsidR="003F4BAE" w:rsidRPr="0045220A" w:rsidRDefault="003F4BAE" w:rsidP="0010221A">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(11)</w:t>
            </w:r>
          </w:p>
        </w:tc>
      </w:tr>
      <w:tr w:rsidR="00514E20" w:rsidRPr="0068094B" w:rsidTr="00156877">
        <w:trPr>
          <w:trHeight w:val="283"/>
        </w:trPr>
        <w:tc>
          <w:tcPr>
            <w:tcW w:w="6062" w:type="dxa"/>
            <w:vAlign w:val="bottom"/>
          </w:tcPr>
          <w:p w:rsidR="00514E20" w:rsidRPr="0068094B" w:rsidRDefault="00514E20"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Interest and Investment income</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(1,770)</w:t>
            </w:r>
          </w:p>
        </w:tc>
        <w:tc>
          <w:tcPr>
            <w:tcW w:w="1467" w:type="dxa"/>
            <w:shd w:val="clear" w:color="auto" w:fill="D9D9D9" w:themeFill="background1" w:themeFillShade="D9"/>
            <w:vAlign w:val="bottom"/>
          </w:tcPr>
          <w:p w:rsidR="00514E20" w:rsidRPr="0045220A" w:rsidRDefault="003F4BAE" w:rsidP="0010221A">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(1,815)</w:t>
            </w:r>
          </w:p>
        </w:tc>
      </w:tr>
      <w:tr w:rsidR="00514E20" w:rsidRPr="0068094B" w:rsidTr="00156877">
        <w:trPr>
          <w:trHeight w:val="283"/>
        </w:trPr>
        <w:tc>
          <w:tcPr>
            <w:tcW w:w="6062" w:type="dxa"/>
            <w:vAlign w:val="bottom"/>
          </w:tcPr>
          <w:p w:rsidR="00514E20" w:rsidRPr="0068094B" w:rsidRDefault="00514E20"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Income from taxation</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(13,060)</w:t>
            </w:r>
          </w:p>
        </w:tc>
        <w:tc>
          <w:tcPr>
            <w:tcW w:w="1467" w:type="dxa"/>
            <w:shd w:val="clear" w:color="auto" w:fill="D9D9D9" w:themeFill="background1" w:themeFillShade="D9"/>
            <w:vAlign w:val="bottom"/>
          </w:tcPr>
          <w:p w:rsidR="00514E20" w:rsidRPr="0045220A" w:rsidRDefault="003F4BAE" w:rsidP="00FD79A3">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(13,837)</w:t>
            </w:r>
          </w:p>
        </w:tc>
      </w:tr>
      <w:tr w:rsidR="00514E20" w:rsidRPr="0068094B" w:rsidTr="00156877">
        <w:trPr>
          <w:trHeight w:val="283"/>
        </w:trPr>
        <w:tc>
          <w:tcPr>
            <w:tcW w:w="6062" w:type="dxa"/>
            <w:vAlign w:val="bottom"/>
          </w:tcPr>
          <w:p w:rsidR="00514E20" w:rsidRPr="0068094B" w:rsidRDefault="00514E20"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Government grants and contributions</w:t>
            </w:r>
          </w:p>
        </w:tc>
        <w:tc>
          <w:tcPr>
            <w:tcW w:w="1417" w:type="dxa"/>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(39,152)</w:t>
            </w:r>
          </w:p>
        </w:tc>
        <w:tc>
          <w:tcPr>
            <w:tcW w:w="1467" w:type="dxa"/>
            <w:shd w:val="clear" w:color="auto" w:fill="D9D9D9" w:themeFill="background1" w:themeFillShade="D9"/>
            <w:vAlign w:val="bottom"/>
          </w:tcPr>
          <w:p w:rsidR="00514E20" w:rsidRPr="0045220A" w:rsidRDefault="003F4BAE" w:rsidP="004020A7">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(32,492)</w:t>
            </w:r>
          </w:p>
        </w:tc>
      </w:tr>
      <w:tr w:rsidR="00514E20" w:rsidRPr="0068094B" w:rsidTr="00156877">
        <w:trPr>
          <w:trHeight w:val="283"/>
        </w:trPr>
        <w:tc>
          <w:tcPr>
            <w:tcW w:w="6062" w:type="dxa"/>
            <w:tcBorders>
              <w:bottom w:val="single" w:sz="4" w:space="0" w:color="auto"/>
            </w:tcBorders>
            <w:vAlign w:val="bottom"/>
          </w:tcPr>
          <w:p w:rsidR="00514E20" w:rsidRPr="0068094B" w:rsidRDefault="00514E20"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Other grants and contributions</w:t>
            </w:r>
          </w:p>
        </w:tc>
        <w:tc>
          <w:tcPr>
            <w:tcW w:w="1417" w:type="dxa"/>
            <w:tcBorders>
              <w:bottom w:val="single" w:sz="4" w:space="0" w:color="auto"/>
            </w:tcBorders>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(13,876)</w:t>
            </w:r>
          </w:p>
        </w:tc>
        <w:tc>
          <w:tcPr>
            <w:tcW w:w="1467" w:type="dxa"/>
            <w:tcBorders>
              <w:bottom w:val="single" w:sz="4" w:space="0" w:color="auto"/>
            </w:tcBorders>
            <w:shd w:val="clear" w:color="auto" w:fill="D9D9D9" w:themeFill="background1" w:themeFillShade="D9"/>
            <w:vAlign w:val="bottom"/>
          </w:tcPr>
          <w:p w:rsidR="00514E20" w:rsidRPr="0045220A" w:rsidRDefault="003F4BAE" w:rsidP="00AB0CEF">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(7,507)</w:t>
            </w:r>
          </w:p>
        </w:tc>
      </w:tr>
      <w:tr w:rsidR="00514E20" w:rsidRPr="0068094B" w:rsidTr="00156877">
        <w:trPr>
          <w:trHeight w:val="283"/>
        </w:trPr>
        <w:tc>
          <w:tcPr>
            <w:tcW w:w="6062" w:type="dxa"/>
            <w:tcBorders>
              <w:top w:val="single" w:sz="4" w:space="0" w:color="auto"/>
              <w:bottom w:val="single" w:sz="4" w:space="0" w:color="auto"/>
            </w:tcBorders>
            <w:vAlign w:val="bottom"/>
          </w:tcPr>
          <w:p w:rsidR="00514E20" w:rsidRPr="0068094B" w:rsidRDefault="00514E20" w:rsidP="00AD7FD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w:t>
            </w:r>
          </w:p>
        </w:tc>
        <w:tc>
          <w:tcPr>
            <w:tcW w:w="1417" w:type="dxa"/>
            <w:tcBorders>
              <w:top w:val="single" w:sz="4" w:space="0" w:color="auto"/>
              <w:bottom w:val="single" w:sz="4" w:space="0" w:color="auto"/>
            </w:tcBorders>
            <w:vAlign w:val="bottom"/>
          </w:tcPr>
          <w:p w:rsidR="00514E20" w:rsidRPr="0068094B" w:rsidRDefault="00514E20" w:rsidP="00BB5B7C">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(87,405)</w:t>
            </w:r>
          </w:p>
        </w:tc>
        <w:tc>
          <w:tcPr>
            <w:tcW w:w="1467" w:type="dxa"/>
            <w:tcBorders>
              <w:top w:val="single" w:sz="4" w:space="0" w:color="auto"/>
              <w:bottom w:val="single" w:sz="4" w:space="0" w:color="auto"/>
            </w:tcBorders>
            <w:shd w:val="clear" w:color="auto" w:fill="D9D9D9" w:themeFill="background1" w:themeFillShade="D9"/>
            <w:vAlign w:val="bottom"/>
          </w:tcPr>
          <w:p w:rsidR="00514E20" w:rsidRPr="0045220A" w:rsidRDefault="00A12622" w:rsidP="00A7798B">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(74,</w:t>
            </w:r>
            <w:r w:rsidR="00217F59" w:rsidRPr="0045220A">
              <w:rPr>
                <w:rFonts w:asciiTheme="minorHAnsi" w:hAnsiTheme="minorHAnsi" w:cstheme="minorHAnsi"/>
                <w:bCs/>
                <w:sz w:val="22"/>
                <w:szCs w:val="22"/>
              </w:rPr>
              <w:t>5</w:t>
            </w:r>
            <w:r w:rsidR="00A7798B" w:rsidRPr="0045220A">
              <w:rPr>
                <w:rFonts w:asciiTheme="minorHAnsi" w:hAnsiTheme="minorHAnsi" w:cstheme="minorHAnsi"/>
                <w:bCs/>
                <w:sz w:val="22"/>
                <w:szCs w:val="22"/>
              </w:rPr>
              <w:t>05</w:t>
            </w:r>
            <w:r w:rsidRPr="0045220A">
              <w:rPr>
                <w:rFonts w:asciiTheme="minorHAnsi" w:hAnsiTheme="minorHAnsi" w:cstheme="minorHAnsi"/>
                <w:bCs/>
                <w:sz w:val="22"/>
                <w:szCs w:val="22"/>
              </w:rPr>
              <w:t>)</w:t>
            </w:r>
          </w:p>
        </w:tc>
      </w:tr>
      <w:tr w:rsidR="00514E20" w:rsidRPr="0068094B" w:rsidTr="00156877">
        <w:trPr>
          <w:trHeight w:val="283"/>
        </w:trPr>
        <w:tc>
          <w:tcPr>
            <w:tcW w:w="6062" w:type="dxa"/>
            <w:tcBorders>
              <w:top w:val="single" w:sz="4" w:space="0" w:color="auto"/>
            </w:tcBorders>
            <w:vAlign w:val="bottom"/>
          </w:tcPr>
          <w:p w:rsidR="00514E20" w:rsidRPr="0068094B" w:rsidRDefault="00514E20" w:rsidP="00AD7FD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Surplus or Deficit on the Provision of Services</w:t>
            </w:r>
          </w:p>
        </w:tc>
        <w:tc>
          <w:tcPr>
            <w:tcW w:w="1417" w:type="dxa"/>
            <w:tcBorders>
              <w:top w:val="single" w:sz="4" w:space="0" w:color="auto"/>
              <w:bottom w:val="double" w:sz="4" w:space="0" w:color="auto"/>
            </w:tcBorders>
            <w:vAlign w:val="center"/>
          </w:tcPr>
          <w:p w:rsidR="00514E20" w:rsidRPr="0068094B" w:rsidRDefault="00514E20" w:rsidP="002F7C69">
            <w:pPr>
              <w:tabs>
                <w:tab w:val="left" w:pos="0"/>
              </w:tabs>
              <w:jc w:val="right"/>
              <w:rPr>
                <w:rFonts w:asciiTheme="minorHAnsi" w:hAnsiTheme="minorHAnsi" w:cstheme="minorHAnsi"/>
                <w:bCs/>
                <w:sz w:val="22"/>
                <w:szCs w:val="22"/>
              </w:rPr>
            </w:pPr>
            <w:r w:rsidRPr="00D16CC2">
              <w:rPr>
                <w:rFonts w:asciiTheme="minorHAnsi" w:hAnsiTheme="minorHAnsi" w:cstheme="minorHAnsi"/>
                <w:bCs/>
                <w:sz w:val="22"/>
                <w:szCs w:val="22"/>
              </w:rPr>
              <w:t>(10,043)</w:t>
            </w:r>
          </w:p>
        </w:tc>
        <w:tc>
          <w:tcPr>
            <w:tcW w:w="1467" w:type="dxa"/>
            <w:tcBorders>
              <w:top w:val="single" w:sz="4" w:space="0" w:color="auto"/>
              <w:bottom w:val="double" w:sz="4" w:space="0" w:color="auto"/>
            </w:tcBorders>
            <w:shd w:val="clear" w:color="auto" w:fill="D9D9D9" w:themeFill="background1" w:themeFillShade="D9"/>
            <w:vAlign w:val="center"/>
          </w:tcPr>
          <w:p w:rsidR="00514E20" w:rsidRPr="0045220A" w:rsidRDefault="00A12622" w:rsidP="0045220A">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2,</w:t>
            </w:r>
            <w:r w:rsidR="0045220A" w:rsidRPr="00C90778">
              <w:rPr>
                <w:rFonts w:asciiTheme="minorHAnsi" w:hAnsiTheme="minorHAnsi" w:cstheme="minorHAnsi"/>
                <w:bCs/>
                <w:sz w:val="22"/>
                <w:szCs w:val="22"/>
              </w:rPr>
              <w:t>387</w:t>
            </w:r>
          </w:p>
        </w:tc>
      </w:tr>
    </w:tbl>
    <w:p w:rsidR="00FB4972" w:rsidRDefault="00FB4972" w:rsidP="00071A5A">
      <w:pPr>
        <w:tabs>
          <w:tab w:val="left" w:pos="0"/>
          <w:tab w:val="left" w:pos="7650"/>
        </w:tabs>
        <w:jc w:val="both"/>
        <w:rPr>
          <w:rFonts w:asciiTheme="minorHAnsi" w:hAnsiTheme="minorHAnsi" w:cstheme="minorHAnsi"/>
          <w:b/>
          <w:bCs/>
          <w:sz w:val="22"/>
          <w:szCs w:val="22"/>
        </w:rPr>
      </w:pPr>
    </w:p>
    <w:p w:rsidR="00BB5B7C" w:rsidRPr="0068094B" w:rsidRDefault="00071A5A" w:rsidP="00071A5A">
      <w:pPr>
        <w:tabs>
          <w:tab w:val="left" w:pos="0"/>
          <w:tab w:val="left" w:pos="7650"/>
        </w:tabs>
        <w:jc w:val="both"/>
        <w:rPr>
          <w:rFonts w:asciiTheme="minorHAnsi" w:hAnsiTheme="minorHAnsi" w:cstheme="minorHAnsi"/>
          <w:b/>
          <w:bCs/>
          <w:sz w:val="22"/>
          <w:szCs w:val="22"/>
        </w:rPr>
      </w:pPr>
      <w:r w:rsidRPr="0068094B">
        <w:rPr>
          <w:rFonts w:asciiTheme="minorHAnsi" w:hAnsiTheme="minorHAnsi" w:cstheme="minorHAnsi"/>
          <w:b/>
          <w:bCs/>
          <w:sz w:val="22"/>
          <w:szCs w:val="22"/>
        </w:rPr>
        <w:tab/>
      </w:r>
    </w:p>
    <w:p w:rsidR="000C71DE" w:rsidRPr="0068094B" w:rsidRDefault="000C71DE" w:rsidP="007D7B32">
      <w:pPr>
        <w:numPr>
          <w:ilvl w:val="0"/>
          <w:numId w:val="40"/>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Events after the Reporting Period</w:t>
      </w:r>
      <w:r w:rsidRPr="0068094B">
        <w:rPr>
          <w:rFonts w:asciiTheme="minorHAnsi" w:hAnsiTheme="minorHAnsi" w:cstheme="minorHAnsi"/>
          <w:b/>
          <w:bCs/>
          <w:sz w:val="22"/>
          <w:szCs w:val="22"/>
          <w:u w:val="single"/>
        </w:rPr>
        <w:t xml:space="preserve"> </w:t>
      </w:r>
    </w:p>
    <w:p w:rsidR="00183652" w:rsidRPr="0068094B" w:rsidRDefault="00183652" w:rsidP="006A4558">
      <w:pPr>
        <w:tabs>
          <w:tab w:val="left" w:pos="0"/>
        </w:tabs>
        <w:jc w:val="both"/>
        <w:rPr>
          <w:rFonts w:asciiTheme="minorHAnsi" w:hAnsiTheme="minorHAnsi" w:cstheme="minorHAnsi"/>
          <w:sz w:val="22"/>
          <w:szCs w:val="22"/>
        </w:rPr>
      </w:pPr>
    </w:p>
    <w:p w:rsidR="00183652" w:rsidRPr="0068094B"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Statement of Accounts was authorised for issue by John Ward, the </w:t>
      </w:r>
      <w:r w:rsidR="00AA210D">
        <w:rPr>
          <w:rFonts w:asciiTheme="minorHAnsi" w:hAnsiTheme="minorHAnsi" w:cstheme="minorHAnsi"/>
          <w:sz w:val="22"/>
          <w:szCs w:val="22"/>
        </w:rPr>
        <w:t>Director of Corporate</w:t>
      </w:r>
      <w:r w:rsidR="00C17E5E" w:rsidRPr="0068094B">
        <w:rPr>
          <w:rFonts w:asciiTheme="minorHAnsi" w:hAnsiTheme="minorHAnsi" w:cstheme="minorHAnsi"/>
          <w:sz w:val="22"/>
          <w:szCs w:val="22"/>
        </w:rPr>
        <w:t xml:space="preserve"> Services</w:t>
      </w:r>
      <w:r w:rsidRPr="0068094B">
        <w:rPr>
          <w:rFonts w:asciiTheme="minorHAnsi" w:hAnsiTheme="minorHAnsi" w:cstheme="minorHAnsi"/>
          <w:sz w:val="22"/>
          <w:szCs w:val="22"/>
        </w:rPr>
        <w:t xml:space="preserve">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on</w:t>
      </w:r>
      <w:r w:rsidR="004040C8" w:rsidRPr="0068094B">
        <w:rPr>
          <w:rFonts w:asciiTheme="minorHAnsi" w:hAnsiTheme="minorHAnsi" w:cstheme="minorHAnsi"/>
          <w:sz w:val="22"/>
          <w:szCs w:val="22"/>
        </w:rPr>
        <w:t xml:space="preserve"> </w:t>
      </w:r>
      <w:r w:rsidR="00C90778" w:rsidRPr="00C90778">
        <w:rPr>
          <w:rFonts w:asciiTheme="minorHAnsi" w:hAnsiTheme="minorHAnsi" w:cstheme="minorHAnsi"/>
          <w:sz w:val="22"/>
          <w:szCs w:val="22"/>
        </w:rPr>
        <w:t>9</w:t>
      </w:r>
      <w:r w:rsidR="00E65B1F" w:rsidRPr="00C90778">
        <w:rPr>
          <w:rFonts w:asciiTheme="minorHAnsi" w:hAnsiTheme="minorHAnsi" w:cstheme="minorHAnsi"/>
          <w:sz w:val="22"/>
          <w:szCs w:val="22"/>
        </w:rPr>
        <w:t xml:space="preserve"> </w:t>
      </w:r>
      <w:r w:rsidR="0045220A" w:rsidRPr="00C90778">
        <w:rPr>
          <w:rFonts w:asciiTheme="minorHAnsi" w:hAnsiTheme="minorHAnsi" w:cstheme="minorHAnsi"/>
          <w:sz w:val="22"/>
          <w:szCs w:val="22"/>
        </w:rPr>
        <w:t>November</w:t>
      </w:r>
      <w:r w:rsidR="008F496F" w:rsidRPr="00C90778">
        <w:rPr>
          <w:rFonts w:asciiTheme="minorHAnsi" w:hAnsiTheme="minorHAnsi" w:cstheme="minorHAnsi"/>
          <w:sz w:val="22"/>
          <w:szCs w:val="22"/>
        </w:rPr>
        <w:t xml:space="preserve"> 2020</w:t>
      </w:r>
      <w:r w:rsidR="00871025">
        <w:rPr>
          <w:rFonts w:asciiTheme="minorHAnsi" w:hAnsiTheme="minorHAnsi" w:cstheme="minorHAnsi"/>
          <w:sz w:val="22"/>
          <w:szCs w:val="22"/>
        </w:rPr>
        <w:t>.</w:t>
      </w:r>
    </w:p>
    <w:p w:rsidR="00183652" w:rsidRPr="0068094B" w:rsidRDefault="00183652" w:rsidP="006A4558">
      <w:pPr>
        <w:widowControl/>
        <w:tabs>
          <w:tab w:val="left" w:pos="0"/>
        </w:tabs>
        <w:autoSpaceDE w:val="0"/>
        <w:rPr>
          <w:rFonts w:asciiTheme="minorHAnsi" w:hAnsiTheme="minorHAnsi" w:cstheme="minorHAnsi"/>
          <w:sz w:val="22"/>
          <w:szCs w:val="22"/>
        </w:rPr>
      </w:pPr>
    </w:p>
    <w:p w:rsidR="00296C4F"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Events taking place after this date are not reflected in the financial statements or notes.  Where events taking place before this date provided information about conditions existing at 31 March </w:t>
      </w:r>
      <w:r w:rsidRPr="0068094B">
        <w:rPr>
          <w:rFonts w:asciiTheme="minorHAnsi" w:hAnsiTheme="minorHAnsi" w:cstheme="minorHAnsi"/>
          <w:sz w:val="22"/>
          <w:szCs w:val="22"/>
        </w:rPr>
        <w:lastRenderedPageBreak/>
        <w:t>20</w:t>
      </w:r>
      <w:r w:rsidR="000F6774">
        <w:rPr>
          <w:rFonts w:asciiTheme="minorHAnsi" w:hAnsiTheme="minorHAnsi" w:cstheme="minorHAnsi"/>
          <w:sz w:val="22"/>
          <w:szCs w:val="22"/>
        </w:rPr>
        <w:t>20</w:t>
      </w:r>
      <w:r w:rsidRPr="0068094B">
        <w:rPr>
          <w:rFonts w:asciiTheme="minorHAnsi" w:hAnsiTheme="minorHAnsi" w:cstheme="minorHAnsi"/>
          <w:sz w:val="22"/>
          <w:szCs w:val="22"/>
        </w:rPr>
        <w:t>, the figures in the financial statements and notes have been adjusted in all material respects to reflect the impact of this information</w:t>
      </w:r>
      <w:r w:rsidR="00871025">
        <w:rPr>
          <w:rFonts w:asciiTheme="minorHAnsi" w:hAnsiTheme="minorHAnsi" w:cstheme="minorHAnsi"/>
          <w:sz w:val="22"/>
          <w:szCs w:val="22"/>
        </w:rPr>
        <w:t>.</w:t>
      </w:r>
    </w:p>
    <w:p w:rsidR="00D55470" w:rsidRDefault="00D55470" w:rsidP="006A4558">
      <w:pPr>
        <w:widowControl/>
        <w:tabs>
          <w:tab w:val="left" w:pos="0"/>
        </w:tabs>
        <w:autoSpaceDE w:val="0"/>
        <w:rPr>
          <w:rFonts w:asciiTheme="minorHAnsi" w:hAnsiTheme="minorHAnsi" w:cstheme="minorHAnsi"/>
          <w:sz w:val="22"/>
          <w:szCs w:val="22"/>
        </w:rPr>
      </w:pPr>
    </w:p>
    <w:p w:rsidR="00D55470" w:rsidRDefault="00D55470" w:rsidP="00D55470">
      <w:pPr>
        <w:tabs>
          <w:tab w:val="left" w:pos="540"/>
        </w:tabs>
        <w:autoSpaceDE w:val="0"/>
        <w:rPr>
          <w:rFonts w:asciiTheme="minorHAnsi" w:hAnsiTheme="minorHAnsi" w:cstheme="minorHAnsi"/>
          <w:bCs/>
          <w:sz w:val="22"/>
          <w:szCs w:val="22"/>
        </w:rPr>
      </w:pPr>
      <w:r w:rsidRPr="00A25D72">
        <w:rPr>
          <w:rFonts w:asciiTheme="minorHAnsi" w:hAnsiTheme="minorHAnsi" w:cstheme="minorHAnsi"/>
          <w:bCs/>
          <w:sz w:val="22"/>
          <w:szCs w:val="22"/>
        </w:rPr>
        <w:t>On 15 May 2020 the Valuation Office Agency advised the Council of their intention to review the valuation for Business Rates purposes of some GP surgeries and University buildings. The Council considers this to be information providing additional evidence of conditions that existed at the balance sheet date and have therefore adjusted the provision for appeal losses in respect of Non-Domestic Business Rates as at 31 March 2020.</w:t>
      </w:r>
    </w:p>
    <w:p w:rsidR="00D55470" w:rsidRPr="0068094B" w:rsidRDefault="00D55470" w:rsidP="006A4558">
      <w:pPr>
        <w:widowControl/>
        <w:tabs>
          <w:tab w:val="left" w:pos="0"/>
        </w:tabs>
        <w:autoSpaceDE w:val="0"/>
        <w:rPr>
          <w:rFonts w:asciiTheme="minorHAnsi" w:hAnsiTheme="minorHAnsi" w:cstheme="minorHAnsi"/>
          <w:sz w:val="22"/>
          <w:szCs w:val="22"/>
        </w:rPr>
      </w:pPr>
    </w:p>
    <w:p w:rsidR="00183652" w:rsidRDefault="00154AD0" w:rsidP="006A4558">
      <w:pPr>
        <w:widowControl/>
        <w:tabs>
          <w:tab w:val="left" w:pos="0"/>
        </w:tabs>
        <w:autoSpaceDE w:val="0"/>
        <w:rPr>
          <w:rFonts w:asciiTheme="minorHAnsi" w:hAnsiTheme="minorHAnsi" w:cstheme="minorHAnsi"/>
          <w:sz w:val="22"/>
          <w:szCs w:val="22"/>
        </w:rPr>
      </w:pPr>
      <w:r w:rsidRPr="00EF7AA5">
        <w:rPr>
          <w:rFonts w:asciiTheme="minorHAnsi" w:hAnsiTheme="minorHAnsi" w:cstheme="minorHAnsi"/>
          <w:sz w:val="22"/>
          <w:szCs w:val="22"/>
        </w:rPr>
        <w:t xml:space="preserve">The Statement of Accounts </w:t>
      </w:r>
      <w:r w:rsidR="00EF7AA5" w:rsidRPr="00EF7AA5">
        <w:rPr>
          <w:rFonts w:asciiTheme="minorHAnsi" w:hAnsiTheme="minorHAnsi" w:cstheme="minorHAnsi"/>
          <w:sz w:val="22"/>
          <w:szCs w:val="22"/>
        </w:rPr>
        <w:t>was</w:t>
      </w:r>
      <w:r w:rsidR="000F6774" w:rsidRPr="00EF7AA5">
        <w:rPr>
          <w:rFonts w:asciiTheme="minorHAnsi" w:hAnsiTheme="minorHAnsi" w:cstheme="minorHAnsi"/>
          <w:sz w:val="22"/>
          <w:szCs w:val="22"/>
        </w:rPr>
        <w:t xml:space="preserve"> considered</w:t>
      </w:r>
      <w:r w:rsidR="00221F8A" w:rsidRPr="00EF7AA5">
        <w:rPr>
          <w:rFonts w:asciiTheme="minorHAnsi" w:hAnsiTheme="minorHAnsi" w:cstheme="minorHAnsi"/>
          <w:sz w:val="22"/>
          <w:szCs w:val="22"/>
        </w:rPr>
        <w:t xml:space="preserve"> </w:t>
      </w:r>
      <w:r w:rsidRPr="00EF7AA5">
        <w:rPr>
          <w:rFonts w:asciiTheme="minorHAnsi" w:hAnsiTheme="minorHAnsi" w:cstheme="minorHAnsi"/>
          <w:sz w:val="22"/>
          <w:szCs w:val="22"/>
        </w:rPr>
        <w:t xml:space="preserve">by the Corporate Governance and Audit Committee </w:t>
      </w:r>
      <w:r w:rsidR="00444190" w:rsidRPr="00EF7AA5">
        <w:rPr>
          <w:rFonts w:asciiTheme="minorHAnsi" w:hAnsiTheme="minorHAnsi" w:cstheme="minorHAnsi"/>
          <w:sz w:val="22"/>
          <w:szCs w:val="22"/>
        </w:rPr>
        <w:t>on</w:t>
      </w:r>
      <w:r w:rsidRPr="00EF7AA5">
        <w:rPr>
          <w:rFonts w:asciiTheme="minorHAnsi" w:hAnsiTheme="minorHAnsi" w:cstheme="minorHAnsi"/>
          <w:sz w:val="22"/>
          <w:szCs w:val="22"/>
        </w:rPr>
        <w:t xml:space="preserve"> </w:t>
      </w:r>
      <w:r w:rsidR="00EF7AA5" w:rsidRPr="00EF7AA5">
        <w:rPr>
          <w:rFonts w:asciiTheme="minorHAnsi" w:hAnsiTheme="minorHAnsi" w:cstheme="minorHAnsi"/>
          <w:sz w:val="22"/>
          <w:szCs w:val="22"/>
        </w:rPr>
        <w:t>26</w:t>
      </w:r>
      <w:r w:rsidR="00444190" w:rsidRPr="00EF7AA5">
        <w:rPr>
          <w:rFonts w:asciiTheme="minorHAnsi" w:hAnsiTheme="minorHAnsi" w:cstheme="minorHAnsi"/>
          <w:sz w:val="22"/>
          <w:szCs w:val="22"/>
        </w:rPr>
        <w:t xml:space="preserve"> </w:t>
      </w:r>
      <w:r w:rsidR="00EF7AA5" w:rsidRPr="00EF7AA5">
        <w:rPr>
          <w:rFonts w:asciiTheme="minorHAnsi" w:hAnsiTheme="minorHAnsi" w:cstheme="minorHAnsi"/>
          <w:sz w:val="22"/>
          <w:szCs w:val="22"/>
        </w:rPr>
        <w:t xml:space="preserve">November </w:t>
      </w:r>
      <w:r w:rsidRPr="00EF7AA5">
        <w:rPr>
          <w:rFonts w:asciiTheme="minorHAnsi" w:hAnsiTheme="minorHAnsi" w:cstheme="minorHAnsi"/>
          <w:sz w:val="22"/>
          <w:szCs w:val="22"/>
        </w:rPr>
        <w:t>20</w:t>
      </w:r>
      <w:r w:rsidR="000F6774" w:rsidRPr="00EF7AA5">
        <w:rPr>
          <w:rFonts w:asciiTheme="minorHAnsi" w:hAnsiTheme="minorHAnsi" w:cstheme="minorHAnsi"/>
          <w:sz w:val="22"/>
          <w:szCs w:val="22"/>
        </w:rPr>
        <w:t>20</w:t>
      </w:r>
      <w:r w:rsidRPr="00EF7AA5">
        <w:rPr>
          <w:rFonts w:asciiTheme="minorHAnsi" w:hAnsiTheme="minorHAnsi" w:cstheme="minorHAnsi"/>
          <w:sz w:val="22"/>
          <w:szCs w:val="22"/>
        </w:rPr>
        <w:t>.</w:t>
      </w:r>
      <w:r w:rsidRPr="0068094B">
        <w:rPr>
          <w:rFonts w:asciiTheme="minorHAnsi" w:hAnsiTheme="minorHAnsi" w:cstheme="minorHAnsi"/>
          <w:sz w:val="22"/>
          <w:szCs w:val="22"/>
        </w:rPr>
        <w:t xml:space="preserve"> </w:t>
      </w:r>
    </w:p>
    <w:p w:rsidR="002F5DF7" w:rsidRDefault="002F5DF7" w:rsidP="006A4558">
      <w:pPr>
        <w:widowControl/>
        <w:tabs>
          <w:tab w:val="left" w:pos="0"/>
        </w:tabs>
        <w:autoSpaceDE w:val="0"/>
        <w:rPr>
          <w:rFonts w:asciiTheme="minorHAnsi" w:hAnsiTheme="minorHAnsi" w:cstheme="minorHAnsi"/>
          <w:sz w:val="22"/>
          <w:szCs w:val="22"/>
        </w:rPr>
      </w:pPr>
    </w:p>
    <w:p w:rsidR="001B4F2C" w:rsidRPr="0068094B" w:rsidRDefault="001B4F2C" w:rsidP="007D7B32">
      <w:pPr>
        <w:pStyle w:val="ListParagraph"/>
        <w:numPr>
          <w:ilvl w:val="0"/>
          <w:numId w:val="40"/>
        </w:numPr>
        <w:tabs>
          <w:tab w:val="left" w:pos="0"/>
        </w:tabs>
        <w:ind w:left="0" w:hanging="567"/>
        <w:rPr>
          <w:rFonts w:asciiTheme="minorHAnsi" w:hAnsiTheme="minorHAnsi" w:cstheme="minorHAnsi"/>
          <w:b/>
          <w:bCs/>
          <w:szCs w:val="22"/>
        </w:rPr>
      </w:pPr>
      <w:r w:rsidRPr="0068094B">
        <w:rPr>
          <w:rFonts w:asciiTheme="minorHAnsi" w:hAnsiTheme="minorHAnsi" w:cstheme="minorHAnsi"/>
          <w:b/>
          <w:bCs/>
          <w:szCs w:val="22"/>
        </w:rPr>
        <w:t>Transfers to/from Earmarked Reserves</w:t>
      </w:r>
    </w:p>
    <w:p w:rsidR="001B4F2C" w:rsidRPr="0068094B" w:rsidRDefault="001B4F2C" w:rsidP="001B4F2C">
      <w:pPr>
        <w:tabs>
          <w:tab w:val="left" w:pos="0"/>
        </w:tabs>
        <w:jc w:val="both"/>
        <w:rPr>
          <w:rFonts w:asciiTheme="minorHAnsi" w:hAnsiTheme="minorHAnsi" w:cstheme="minorHAnsi"/>
          <w:b/>
          <w:bCs/>
          <w:sz w:val="22"/>
          <w:szCs w:val="22"/>
        </w:rPr>
      </w:pPr>
    </w:p>
    <w:p w:rsidR="001B4F2C" w:rsidRPr="0068094B" w:rsidRDefault="001B4F2C" w:rsidP="001B4F2C">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This note sets out the amounts set aside from the General Fund in earmarked reserves to provide financing for future expenditure plans and the amounts posted back from earmarked reserves to meet </w:t>
      </w:r>
      <w:r w:rsidR="00D463F1" w:rsidRPr="0068094B">
        <w:rPr>
          <w:rFonts w:asciiTheme="minorHAnsi" w:hAnsiTheme="minorHAnsi" w:cstheme="minorHAnsi"/>
          <w:sz w:val="22"/>
          <w:szCs w:val="22"/>
          <w:lang w:val="en-US"/>
        </w:rPr>
        <w:t xml:space="preserve">the </w:t>
      </w:r>
      <w:r w:rsidRPr="0068094B">
        <w:rPr>
          <w:rFonts w:asciiTheme="minorHAnsi" w:hAnsiTheme="minorHAnsi" w:cstheme="minorHAnsi"/>
          <w:sz w:val="22"/>
          <w:szCs w:val="22"/>
          <w:lang w:val="en-US"/>
        </w:rPr>
        <w:t>General Fund in 201</w:t>
      </w:r>
      <w:r w:rsidR="009E7980">
        <w:rPr>
          <w:rFonts w:asciiTheme="minorHAnsi" w:hAnsiTheme="minorHAnsi" w:cstheme="minorHAnsi"/>
          <w:sz w:val="22"/>
          <w:szCs w:val="22"/>
          <w:lang w:val="en-US"/>
        </w:rPr>
        <w:t>9</w:t>
      </w:r>
      <w:r w:rsidRPr="0068094B">
        <w:rPr>
          <w:rFonts w:asciiTheme="minorHAnsi" w:hAnsiTheme="minorHAnsi" w:cstheme="minorHAnsi"/>
          <w:sz w:val="22"/>
          <w:szCs w:val="22"/>
          <w:lang w:val="en-US"/>
        </w:rPr>
        <w:t>-</w:t>
      </w:r>
      <w:r w:rsidR="009E7980">
        <w:rPr>
          <w:rFonts w:asciiTheme="minorHAnsi" w:hAnsiTheme="minorHAnsi" w:cstheme="minorHAnsi"/>
          <w:sz w:val="22"/>
          <w:szCs w:val="22"/>
          <w:lang w:val="en-US"/>
        </w:rPr>
        <w:t>20</w:t>
      </w:r>
      <w:r w:rsidRPr="0068094B">
        <w:rPr>
          <w:rFonts w:asciiTheme="minorHAnsi" w:hAnsiTheme="minorHAnsi" w:cstheme="minorHAnsi"/>
          <w:sz w:val="22"/>
          <w:szCs w:val="22"/>
          <w:lang w:val="en-US"/>
        </w:rPr>
        <w:t>.</w:t>
      </w:r>
    </w:p>
    <w:p w:rsidR="001B4F2C" w:rsidRPr="0068094B" w:rsidRDefault="001B4F2C" w:rsidP="001B4F2C">
      <w:pPr>
        <w:tabs>
          <w:tab w:val="left" w:pos="0"/>
        </w:tabs>
        <w:rPr>
          <w:rFonts w:asciiTheme="minorHAnsi" w:hAnsiTheme="minorHAnsi" w:cstheme="minorHAnsi"/>
          <w:sz w:val="22"/>
          <w:szCs w:val="22"/>
        </w:rPr>
      </w:pPr>
    </w:p>
    <w:p w:rsidR="001B4F2C" w:rsidRPr="0068094B" w:rsidRDefault="001B4F2C" w:rsidP="001B4F2C">
      <w:pPr>
        <w:tabs>
          <w:tab w:val="left" w:pos="0"/>
        </w:tabs>
        <w:rPr>
          <w:rFonts w:asciiTheme="minorHAnsi" w:hAnsiTheme="minorHAnsi" w:cstheme="minorHAnsi"/>
          <w:sz w:val="22"/>
          <w:szCs w:val="22"/>
        </w:rPr>
      </w:pPr>
    </w:p>
    <w:tbl>
      <w:tblPr>
        <w:tblW w:w="10632" w:type="dxa"/>
        <w:tblInd w:w="-885" w:type="dxa"/>
        <w:tblLayout w:type="fixed"/>
        <w:tblLook w:val="0000" w:firstRow="0" w:lastRow="0" w:firstColumn="0" w:lastColumn="0" w:noHBand="0" w:noVBand="0"/>
      </w:tblPr>
      <w:tblGrid>
        <w:gridCol w:w="284"/>
        <w:gridCol w:w="2552"/>
        <w:gridCol w:w="1134"/>
        <w:gridCol w:w="992"/>
        <w:gridCol w:w="993"/>
        <w:gridCol w:w="1134"/>
        <w:gridCol w:w="992"/>
        <w:gridCol w:w="1134"/>
        <w:gridCol w:w="1417"/>
      </w:tblGrid>
      <w:tr w:rsidR="001B4F2C" w:rsidRPr="0068094B" w:rsidTr="0021543F">
        <w:trPr>
          <w:tblHeader/>
        </w:trPr>
        <w:tc>
          <w:tcPr>
            <w:tcW w:w="2836" w:type="dxa"/>
            <w:gridSpan w:val="2"/>
          </w:tcPr>
          <w:p w:rsidR="001B4F2C" w:rsidRPr="0068094B" w:rsidRDefault="001B4F2C" w:rsidP="001B4F2C">
            <w:pPr>
              <w:tabs>
                <w:tab w:val="left" w:pos="0"/>
              </w:tabs>
              <w:snapToGrid w:val="0"/>
              <w:rPr>
                <w:rFonts w:asciiTheme="minorHAnsi" w:hAnsiTheme="minorHAnsi" w:cstheme="minorHAnsi"/>
                <w:sz w:val="22"/>
                <w:szCs w:val="22"/>
              </w:rPr>
            </w:pPr>
          </w:p>
        </w:tc>
        <w:tc>
          <w:tcPr>
            <w:tcW w:w="1134" w:type="dxa"/>
            <w:tcBorders>
              <w:bottom w:val="single" w:sz="4" w:space="0" w:color="000000"/>
            </w:tcBorders>
            <w:vAlign w:val="center"/>
          </w:tcPr>
          <w:p w:rsidR="001B4F2C" w:rsidRPr="0068094B" w:rsidRDefault="001B4F2C" w:rsidP="001B4F2C">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Balance at</w:t>
            </w:r>
          </w:p>
          <w:p w:rsidR="001B4F2C" w:rsidRPr="0068094B" w:rsidRDefault="001B4F2C"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1 April 201</w:t>
            </w:r>
            <w:r w:rsidR="00853532">
              <w:rPr>
                <w:rFonts w:asciiTheme="minorHAnsi" w:hAnsiTheme="minorHAnsi" w:cstheme="minorHAnsi"/>
                <w:b/>
                <w:bCs/>
                <w:sz w:val="22"/>
                <w:szCs w:val="22"/>
              </w:rPr>
              <w:t>8</w:t>
            </w:r>
          </w:p>
          <w:p w:rsidR="001B4F2C" w:rsidRPr="0068094B" w:rsidRDefault="001B4F2C"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000000"/>
            </w:tcBorders>
            <w:vAlign w:val="center"/>
          </w:tcPr>
          <w:p w:rsidR="001B4F2C" w:rsidRPr="0068094B" w:rsidRDefault="002635A8"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Out</w:t>
            </w:r>
          </w:p>
          <w:p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201</w:t>
            </w:r>
            <w:r w:rsidR="00853532">
              <w:rPr>
                <w:rFonts w:asciiTheme="minorHAnsi" w:hAnsiTheme="minorHAnsi" w:cstheme="minorHAnsi"/>
                <w:sz w:val="22"/>
                <w:szCs w:val="22"/>
              </w:rPr>
              <w:t>8</w:t>
            </w:r>
            <w:r w:rsidRPr="0068094B">
              <w:rPr>
                <w:rFonts w:asciiTheme="minorHAnsi" w:hAnsiTheme="minorHAnsi" w:cstheme="minorHAnsi"/>
                <w:sz w:val="22"/>
                <w:szCs w:val="22"/>
              </w:rPr>
              <w:t>-1</w:t>
            </w:r>
            <w:r w:rsidR="00853532">
              <w:rPr>
                <w:rFonts w:asciiTheme="minorHAnsi" w:hAnsiTheme="minorHAnsi" w:cstheme="minorHAnsi"/>
                <w:sz w:val="22"/>
                <w:szCs w:val="22"/>
              </w:rPr>
              <w:t>9</w:t>
            </w:r>
          </w:p>
          <w:p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993" w:type="dxa"/>
            <w:tcBorders>
              <w:bottom w:val="single" w:sz="4" w:space="0" w:color="000000"/>
            </w:tcBorders>
            <w:vAlign w:val="center"/>
          </w:tcPr>
          <w:p w:rsidR="001B4F2C" w:rsidRPr="0068094B" w:rsidRDefault="002635A8"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In</w:t>
            </w:r>
          </w:p>
          <w:p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201</w:t>
            </w:r>
            <w:r w:rsidR="00853532">
              <w:rPr>
                <w:rFonts w:asciiTheme="minorHAnsi" w:hAnsiTheme="minorHAnsi" w:cstheme="minorHAnsi"/>
                <w:sz w:val="22"/>
                <w:szCs w:val="22"/>
              </w:rPr>
              <w:t>8</w:t>
            </w:r>
            <w:r w:rsidRPr="0068094B">
              <w:rPr>
                <w:rFonts w:asciiTheme="minorHAnsi" w:hAnsiTheme="minorHAnsi" w:cstheme="minorHAnsi"/>
                <w:sz w:val="22"/>
                <w:szCs w:val="22"/>
              </w:rPr>
              <w:t>-1</w:t>
            </w:r>
            <w:r w:rsidR="00853532">
              <w:rPr>
                <w:rFonts w:asciiTheme="minorHAnsi" w:hAnsiTheme="minorHAnsi" w:cstheme="minorHAnsi"/>
                <w:sz w:val="22"/>
                <w:szCs w:val="22"/>
              </w:rPr>
              <w:t>9</w:t>
            </w:r>
          </w:p>
          <w:p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134" w:type="dxa"/>
            <w:tcBorders>
              <w:bottom w:val="single" w:sz="4" w:space="0" w:color="000000"/>
            </w:tcBorders>
            <w:shd w:val="clear" w:color="auto" w:fill="D9D9D9" w:themeFill="background1" w:themeFillShade="D9"/>
            <w:vAlign w:val="center"/>
          </w:tcPr>
          <w:p w:rsidR="001B4F2C" w:rsidRPr="0068094B" w:rsidRDefault="001B4F2C" w:rsidP="001B4F2C">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Balance at</w:t>
            </w:r>
          </w:p>
          <w:p w:rsidR="001B4F2C" w:rsidRPr="0068094B" w:rsidRDefault="00C11251"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31 March 201</w:t>
            </w:r>
            <w:r w:rsidR="00853532">
              <w:rPr>
                <w:rFonts w:asciiTheme="minorHAnsi" w:hAnsiTheme="minorHAnsi" w:cstheme="minorHAnsi"/>
                <w:b/>
                <w:bCs/>
                <w:sz w:val="22"/>
                <w:szCs w:val="22"/>
              </w:rPr>
              <w:t>9</w:t>
            </w:r>
          </w:p>
          <w:p w:rsidR="001B4F2C" w:rsidRPr="0068094B" w:rsidRDefault="001B4F2C"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000000"/>
            </w:tcBorders>
            <w:shd w:val="clear" w:color="auto" w:fill="D9D9D9" w:themeFill="background1" w:themeFillShade="D9"/>
            <w:vAlign w:val="center"/>
          </w:tcPr>
          <w:p w:rsidR="001B4F2C" w:rsidRPr="0068094B" w:rsidRDefault="002635A8"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Out</w:t>
            </w:r>
          </w:p>
          <w:p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201</w:t>
            </w:r>
            <w:r w:rsidR="00853532">
              <w:rPr>
                <w:rFonts w:asciiTheme="minorHAnsi" w:hAnsiTheme="minorHAnsi" w:cstheme="minorHAnsi"/>
                <w:sz w:val="22"/>
                <w:szCs w:val="22"/>
              </w:rPr>
              <w:t>9</w:t>
            </w:r>
            <w:r w:rsidRPr="0068094B">
              <w:rPr>
                <w:rFonts w:asciiTheme="minorHAnsi" w:hAnsiTheme="minorHAnsi" w:cstheme="minorHAnsi"/>
                <w:sz w:val="22"/>
                <w:szCs w:val="22"/>
              </w:rPr>
              <w:t>-</w:t>
            </w:r>
            <w:r w:rsidR="00853532">
              <w:rPr>
                <w:rFonts w:asciiTheme="minorHAnsi" w:hAnsiTheme="minorHAnsi" w:cstheme="minorHAnsi"/>
                <w:sz w:val="22"/>
                <w:szCs w:val="22"/>
              </w:rPr>
              <w:t>20</w:t>
            </w:r>
          </w:p>
          <w:p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000000"/>
            </w:tcBorders>
            <w:shd w:val="clear" w:color="auto" w:fill="D9D9D9" w:themeFill="background1" w:themeFillShade="D9"/>
            <w:vAlign w:val="center"/>
          </w:tcPr>
          <w:p w:rsidR="001B4F2C" w:rsidRPr="0068094B" w:rsidRDefault="002635A8"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In</w:t>
            </w:r>
          </w:p>
          <w:p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201</w:t>
            </w:r>
            <w:r w:rsidR="00853532">
              <w:rPr>
                <w:rFonts w:asciiTheme="minorHAnsi" w:hAnsiTheme="minorHAnsi" w:cstheme="minorHAnsi"/>
                <w:sz w:val="22"/>
                <w:szCs w:val="22"/>
              </w:rPr>
              <w:t>9</w:t>
            </w:r>
            <w:r w:rsidRPr="0068094B">
              <w:rPr>
                <w:rFonts w:asciiTheme="minorHAnsi" w:hAnsiTheme="minorHAnsi" w:cstheme="minorHAnsi"/>
                <w:sz w:val="22"/>
                <w:szCs w:val="22"/>
              </w:rPr>
              <w:t>-</w:t>
            </w:r>
            <w:r w:rsidR="00853532">
              <w:rPr>
                <w:rFonts w:asciiTheme="minorHAnsi" w:hAnsiTheme="minorHAnsi" w:cstheme="minorHAnsi"/>
                <w:sz w:val="22"/>
                <w:szCs w:val="22"/>
              </w:rPr>
              <w:t>20</w:t>
            </w:r>
          </w:p>
          <w:p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417" w:type="dxa"/>
            <w:tcBorders>
              <w:bottom w:val="single" w:sz="4" w:space="0" w:color="000000"/>
            </w:tcBorders>
            <w:shd w:val="clear" w:color="auto" w:fill="D9D9D9" w:themeFill="background1" w:themeFillShade="D9"/>
            <w:vAlign w:val="center"/>
          </w:tcPr>
          <w:p w:rsidR="001B4F2C" w:rsidRPr="0068094B" w:rsidRDefault="001B4F2C" w:rsidP="001B4F2C">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Balance at</w:t>
            </w:r>
          </w:p>
          <w:p w:rsidR="001B4F2C" w:rsidRPr="0068094B" w:rsidRDefault="00C11251"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sidR="00853532">
              <w:rPr>
                <w:rFonts w:asciiTheme="minorHAnsi" w:hAnsiTheme="minorHAnsi" w:cstheme="minorHAnsi"/>
                <w:b/>
                <w:bCs/>
                <w:sz w:val="22"/>
                <w:szCs w:val="22"/>
              </w:rPr>
              <w:t>20</w:t>
            </w:r>
          </w:p>
          <w:p w:rsidR="001B4F2C" w:rsidRPr="0068094B" w:rsidRDefault="001B4F2C"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1B4F2C" w:rsidRPr="0068094B" w:rsidTr="0021543F">
        <w:trPr>
          <w:gridBefore w:val="1"/>
          <w:wBefore w:w="284" w:type="dxa"/>
        </w:trPr>
        <w:tc>
          <w:tcPr>
            <w:tcW w:w="2552" w:type="dxa"/>
            <w:vAlign w:val="center"/>
          </w:tcPr>
          <w:p w:rsidR="001B4F2C" w:rsidRPr="0068094B" w:rsidRDefault="001B4F2C" w:rsidP="001B4F2C">
            <w:pPr>
              <w:tabs>
                <w:tab w:val="left" w:pos="0"/>
              </w:tabs>
              <w:snapToGrid w:val="0"/>
              <w:rPr>
                <w:rFonts w:asciiTheme="minorHAnsi" w:hAnsiTheme="minorHAnsi" w:cstheme="minorHAnsi"/>
                <w:b/>
                <w:bCs/>
                <w:sz w:val="22"/>
                <w:szCs w:val="22"/>
              </w:rPr>
            </w:pPr>
          </w:p>
        </w:tc>
        <w:tc>
          <w:tcPr>
            <w:tcW w:w="1134" w:type="dxa"/>
            <w:tcBorders>
              <w:top w:val="single" w:sz="4" w:space="0" w:color="000000"/>
            </w:tcBorders>
            <w:vAlign w:val="center"/>
          </w:tcPr>
          <w:p w:rsidR="001B4F2C" w:rsidRPr="0068094B" w:rsidRDefault="001B4F2C" w:rsidP="001B4F2C">
            <w:pPr>
              <w:tabs>
                <w:tab w:val="left" w:pos="0"/>
              </w:tabs>
              <w:snapToGrid w:val="0"/>
              <w:jc w:val="right"/>
              <w:rPr>
                <w:rFonts w:asciiTheme="minorHAnsi" w:hAnsiTheme="minorHAnsi" w:cstheme="minorHAnsi"/>
                <w:b/>
                <w:bCs/>
                <w:sz w:val="22"/>
                <w:szCs w:val="22"/>
              </w:rPr>
            </w:pPr>
          </w:p>
        </w:tc>
        <w:tc>
          <w:tcPr>
            <w:tcW w:w="992" w:type="dxa"/>
            <w:tcBorders>
              <w:top w:val="single" w:sz="4" w:space="0" w:color="000000"/>
            </w:tcBorders>
            <w:vAlign w:val="center"/>
          </w:tcPr>
          <w:p w:rsidR="001B4F2C" w:rsidRPr="0068094B" w:rsidRDefault="001B4F2C" w:rsidP="001B4F2C">
            <w:pPr>
              <w:tabs>
                <w:tab w:val="left" w:pos="0"/>
              </w:tabs>
              <w:snapToGrid w:val="0"/>
              <w:jc w:val="right"/>
              <w:rPr>
                <w:rFonts w:asciiTheme="minorHAnsi" w:hAnsiTheme="minorHAnsi" w:cstheme="minorHAnsi"/>
                <w:sz w:val="22"/>
                <w:szCs w:val="22"/>
              </w:rPr>
            </w:pPr>
          </w:p>
        </w:tc>
        <w:tc>
          <w:tcPr>
            <w:tcW w:w="993" w:type="dxa"/>
            <w:tcBorders>
              <w:top w:val="single" w:sz="4" w:space="0" w:color="000000"/>
            </w:tcBorders>
            <w:vAlign w:val="center"/>
          </w:tcPr>
          <w:p w:rsidR="001B4F2C" w:rsidRPr="0068094B" w:rsidRDefault="001B4F2C" w:rsidP="001B4F2C">
            <w:pPr>
              <w:tabs>
                <w:tab w:val="left" w:pos="0"/>
              </w:tabs>
              <w:snapToGrid w:val="0"/>
              <w:jc w:val="right"/>
              <w:rPr>
                <w:rFonts w:asciiTheme="minorHAnsi" w:hAnsiTheme="minorHAnsi" w:cstheme="minorHAnsi"/>
                <w:sz w:val="22"/>
                <w:szCs w:val="22"/>
              </w:rPr>
            </w:pPr>
          </w:p>
        </w:tc>
        <w:tc>
          <w:tcPr>
            <w:tcW w:w="1134" w:type="dxa"/>
            <w:tcBorders>
              <w:top w:val="single" w:sz="4" w:space="0" w:color="000000"/>
            </w:tcBorders>
            <w:shd w:val="clear" w:color="auto" w:fill="D9D9D9" w:themeFill="background1" w:themeFillShade="D9"/>
            <w:vAlign w:val="center"/>
          </w:tcPr>
          <w:p w:rsidR="001B4F2C" w:rsidRPr="0068094B" w:rsidRDefault="001B4F2C" w:rsidP="001B4F2C">
            <w:pPr>
              <w:tabs>
                <w:tab w:val="left" w:pos="0"/>
              </w:tabs>
              <w:snapToGrid w:val="0"/>
              <w:jc w:val="right"/>
              <w:rPr>
                <w:rFonts w:asciiTheme="minorHAnsi" w:hAnsiTheme="minorHAnsi" w:cstheme="minorHAnsi"/>
                <w:b/>
                <w:bCs/>
                <w:sz w:val="22"/>
                <w:szCs w:val="22"/>
              </w:rPr>
            </w:pPr>
          </w:p>
        </w:tc>
        <w:tc>
          <w:tcPr>
            <w:tcW w:w="992" w:type="dxa"/>
            <w:tcBorders>
              <w:top w:val="single" w:sz="4" w:space="0" w:color="000000"/>
            </w:tcBorders>
            <w:shd w:val="clear" w:color="auto" w:fill="D9D9D9" w:themeFill="background1" w:themeFillShade="D9"/>
            <w:vAlign w:val="center"/>
          </w:tcPr>
          <w:p w:rsidR="001B4F2C" w:rsidRPr="0068094B" w:rsidRDefault="001B4F2C" w:rsidP="001B4F2C">
            <w:pPr>
              <w:tabs>
                <w:tab w:val="left" w:pos="0"/>
              </w:tabs>
              <w:snapToGrid w:val="0"/>
              <w:jc w:val="right"/>
              <w:rPr>
                <w:rFonts w:asciiTheme="minorHAnsi" w:hAnsiTheme="minorHAnsi" w:cstheme="minorHAnsi"/>
                <w:sz w:val="22"/>
                <w:szCs w:val="22"/>
              </w:rPr>
            </w:pPr>
          </w:p>
        </w:tc>
        <w:tc>
          <w:tcPr>
            <w:tcW w:w="1134" w:type="dxa"/>
            <w:tcBorders>
              <w:top w:val="single" w:sz="4" w:space="0" w:color="000000"/>
            </w:tcBorders>
            <w:shd w:val="clear" w:color="auto" w:fill="D9D9D9" w:themeFill="background1" w:themeFillShade="D9"/>
            <w:vAlign w:val="center"/>
          </w:tcPr>
          <w:p w:rsidR="001B4F2C" w:rsidRPr="0068094B" w:rsidRDefault="001B4F2C" w:rsidP="001B4F2C">
            <w:pPr>
              <w:tabs>
                <w:tab w:val="left" w:pos="0"/>
              </w:tabs>
              <w:snapToGrid w:val="0"/>
              <w:jc w:val="right"/>
              <w:rPr>
                <w:rFonts w:asciiTheme="minorHAnsi" w:hAnsiTheme="minorHAnsi" w:cstheme="minorHAnsi"/>
                <w:sz w:val="22"/>
                <w:szCs w:val="22"/>
              </w:rPr>
            </w:pPr>
          </w:p>
        </w:tc>
        <w:tc>
          <w:tcPr>
            <w:tcW w:w="1417" w:type="dxa"/>
            <w:tcBorders>
              <w:top w:val="single" w:sz="4" w:space="0" w:color="000000"/>
            </w:tcBorders>
            <w:shd w:val="clear" w:color="auto" w:fill="D9D9D9" w:themeFill="background1" w:themeFillShade="D9"/>
            <w:vAlign w:val="center"/>
          </w:tcPr>
          <w:p w:rsidR="001B4F2C" w:rsidRPr="0068094B" w:rsidRDefault="001B4F2C" w:rsidP="001B4F2C">
            <w:pPr>
              <w:tabs>
                <w:tab w:val="left" w:pos="0"/>
              </w:tabs>
              <w:snapToGrid w:val="0"/>
              <w:jc w:val="right"/>
              <w:rPr>
                <w:rFonts w:asciiTheme="minorHAnsi" w:hAnsiTheme="minorHAnsi" w:cstheme="minorHAnsi"/>
                <w:b/>
                <w:bCs/>
                <w:sz w:val="22"/>
                <w:szCs w:val="22"/>
              </w:rPr>
            </w:pPr>
          </w:p>
        </w:tc>
      </w:tr>
      <w:tr w:rsidR="00853532" w:rsidRPr="0068094B" w:rsidTr="0021543F">
        <w:trPr>
          <w:gridBefore w:val="1"/>
          <w:wBefore w:w="284" w:type="dxa"/>
          <w:trHeight w:val="289"/>
        </w:trPr>
        <w:tc>
          <w:tcPr>
            <w:tcW w:w="2552" w:type="dxa"/>
            <w:vAlign w:val="center"/>
          </w:tcPr>
          <w:p w:rsidR="00853532" w:rsidRPr="0068094B" w:rsidRDefault="00853532"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Housing Reserve</w:t>
            </w:r>
          </w:p>
        </w:tc>
        <w:tc>
          <w:tcPr>
            <w:tcW w:w="1134" w:type="dxa"/>
            <w:vAlign w:val="center"/>
          </w:tcPr>
          <w:p w:rsidR="00853532" w:rsidRPr="0068094B" w:rsidRDefault="00853532"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(783)</w:t>
            </w:r>
          </w:p>
        </w:tc>
        <w:tc>
          <w:tcPr>
            <w:tcW w:w="992" w:type="dxa"/>
            <w:vAlign w:val="center"/>
          </w:tcPr>
          <w:p w:rsidR="00853532" w:rsidRPr="0068094B" w:rsidRDefault="00853532"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w:t>
            </w:r>
          </w:p>
        </w:tc>
        <w:tc>
          <w:tcPr>
            <w:tcW w:w="993" w:type="dxa"/>
            <w:vAlign w:val="center"/>
          </w:tcPr>
          <w:p w:rsidR="00853532" w:rsidRPr="0068094B" w:rsidRDefault="00853532"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rsidR="00853532" w:rsidRPr="0068094B" w:rsidRDefault="00853532"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(780)</w:t>
            </w:r>
          </w:p>
        </w:tc>
        <w:tc>
          <w:tcPr>
            <w:tcW w:w="992" w:type="dxa"/>
            <w:shd w:val="clear" w:color="auto" w:fill="D9D9D9" w:themeFill="background1" w:themeFillShade="D9"/>
            <w:vAlign w:val="center"/>
          </w:tcPr>
          <w:p w:rsidR="00853532"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188</w:t>
            </w:r>
          </w:p>
        </w:tc>
        <w:tc>
          <w:tcPr>
            <w:tcW w:w="1134" w:type="dxa"/>
            <w:shd w:val="clear" w:color="auto" w:fill="D9D9D9" w:themeFill="background1" w:themeFillShade="D9"/>
            <w:vAlign w:val="center"/>
          </w:tcPr>
          <w:p w:rsidR="00853532"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D9D9D9" w:themeFill="background1" w:themeFillShade="D9"/>
            <w:vAlign w:val="center"/>
          </w:tcPr>
          <w:p w:rsidR="00853532"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(592)</w:t>
            </w:r>
          </w:p>
        </w:tc>
      </w:tr>
      <w:tr w:rsidR="00CB5853" w:rsidRPr="0068094B" w:rsidTr="0021543F">
        <w:trPr>
          <w:gridBefore w:val="1"/>
          <w:wBefore w:w="284" w:type="dxa"/>
          <w:trHeight w:val="292"/>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Pr>
                <w:rFonts w:asciiTheme="minorHAnsi" w:hAnsiTheme="minorHAnsi" w:cstheme="minorHAnsi"/>
                <w:sz w:val="22"/>
                <w:szCs w:val="22"/>
              </w:rPr>
              <w:t>Restructuring Reserve</w:t>
            </w:r>
          </w:p>
        </w:tc>
        <w:tc>
          <w:tcPr>
            <w:tcW w:w="1134" w:type="dxa"/>
            <w:vAlign w:val="center"/>
          </w:tcPr>
          <w:p w:rsidR="00CB5853"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(525)</w:t>
            </w:r>
          </w:p>
        </w:tc>
        <w:tc>
          <w:tcPr>
            <w:tcW w:w="992" w:type="dxa"/>
            <w:vAlign w:val="center"/>
          </w:tcPr>
          <w:p w:rsidR="00CB5853"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314</w:t>
            </w:r>
          </w:p>
        </w:tc>
        <w:tc>
          <w:tcPr>
            <w:tcW w:w="993" w:type="dxa"/>
            <w:vAlign w:val="center"/>
          </w:tcPr>
          <w:p w:rsidR="00CB5853"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rsidR="00CB5853"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(211)</w:t>
            </w:r>
          </w:p>
        </w:tc>
        <w:tc>
          <w:tcPr>
            <w:tcW w:w="992" w:type="dxa"/>
            <w:shd w:val="clear" w:color="auto" w:fill="D9D9D9" w:themeFill="background1" w:themeFillShade="D9"/>
            <w:vAlign w:val="center"/>
          </w:tcPr>
          <w:p w:rsidR="00CB5853" w:rsidRPr="0068094B" w:rsidRDefault="00B768A3" w:rsidP="00FF4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101</w:t>
            </w:r>
          </w:p>
        </w:tc>
        <w:tc>
          <w:tcPr>
            <w:tcW w:w="1134" w:type="dxa"/>
            <w:shd w:val="clear" w:color="auto" w:fill="D9D9D9" w:themeFill="background1" w:themeFillShade="D9"/>
            <w:vAlign w:val="center"/>
          </w:tcPr>
          <w:p w:rsidR="00CB5853" w:rsidRPr="0068094B" w:rsidRDefault="00B768A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D9D9D9" w:themeFill="background1" w:themeFillShade="D9"/>
            <w:vAlign w:val="center"/>
          </w:tcPr>
          <w:p w:rsidR="00CB5853" w:rsidRPr="0068094B" w:rsidRDefault="00B768A3" w:rsidP="00FF4ACE">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(110)</w:t>
            </w:r>
          </w:p>
        </w:tc>
      </w:tr>
      <w:tr w:rsidR="00CB5853" w:rsidRPr="0068094B" w:rsidTr="0021543F">
        <w:trPr>
          <w:gridBefore w:val="1"/>
          <w:wBefore w:w="284" w:type="dxa"/>
          <w:trHeight w:val="292"/>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Pr>
                <w:rFonts w:asciiTheme="minorHAnsi" w:hAnsiTheme="minorHAnsi" w:cstheme="minorHAnsi"/>
                <w:sz w:val="22"/>
                <w:szCs w:val="22"/>
              </w:rPr>
              <w:t>Asset Reserve</w:t>
            </w:r>
          </w:p>
        </w:tc>
        <w:tc>
          <w:tcPr>
            <w:tcW w:w="1134" w:type="dxa"/>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(6,641)</w:t>
            </w:r>
          </w:p>
        </w:tc>
        <w:tc>
          <w:tcPr>
            <w:tcW w:w="992"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763</w:t>
            </w:r>
          </w:p>
        </w:tc>
        <w:tc>
          <w:tcPr>
            <w:tcW w:w="993"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(1,359)</w:t>
            </w:r>
          </w:p>
        </w:tc>
        <w:tc>
          <w:tcPr>
            <w:tcW w:w="1134" w:type="dxa"/>
            <w:shd w:val="clear" w:color="auto" w:fill="D9D9D9" w:themeFill="background1" w:themeFillShade="D9"/>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(7,237)</w:t>
            </w:r>
          </w:p>
        </w:tc>
        <w:tc>
          <w:tcPr>
            <w:tcW w:w="992" w:type="dxa"/>
            <w:shd w:val="clear" w:color="auto" w:fill="D9D9D9" w:themeFill="background1" w:themeFillShade="D9"/>
            <w:vAlign w:val="center"/>
          </w:tcPr>
          <w:p w:rsidR="00CB5853" w:rsidRPr="0068094B" w:rsidRDefault="00B768A3" w:rsidP="00FF4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1,021</w:t>
            </w:r>
          </w:p>
        </w:tc>
        <w:tc>
          <w:tcPr>
            <w:tcW w:w="1134" w:type="dxa"/>
            <w:shd w:val="clear" w:color="auto" w:fill="D9D9D9" w:themeFill="background1" w:themeFillShade="D9"/>
            <w:vAlign w:val="center"/>
          </w:tcPr>
          <w:p w:rsidR="00CB5853" w:rsidRPr="0068094B" w:rsidRDefault="00B768A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(1,421)</w:t>
            </w:r>
          </w:p>
        </w:tc>
        <w:tc>
          <w:tcPr>
            <w:tcW w:w="1417" w:type="dxa"/>
            <w:shd w:val="clear" w:color="auto" w:fill="D9D9D9" w:themeFill="background1" w:themeFillShade="D9"/>
            <w:vAlign w:val="center"/>
          </w:tcPr>
          <w:p w:rsidR="00CB5853" w:rsidRPr="0068094B" w:rsidRDefault="00B768A3" w:rsidP="00FF4ACE">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(7,637)</w:t>
            </w:r>
          </w:p>
        </w:tc>
      </w:tr>
      <w:tr w:rsidR="00CB5853" w:rsidRPr="0068094B" w:rsidTr="0021543F">
        <w:trPr>
          <w:gridBefore w:val="1"/>
          <w:wBefore w:w="284" w:type="dxa"/>
          <w:trHeight w:val="292"/>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Projects Reserve</w:t>
            </w:r>
          </w:p>
        </w:tc>
        <w:tc>
          <w:tcPr>
            <w:tcW w:w="1134" w:type="dxa"/>
            <w:vAlign w:val="center"/>
          </w:tcPr>
          <w:p w:rsidR="00CB5853"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(460)</w:t>
            </w:r>
          </w:p>
        </w:tc>
        <w:tc>
          <w:tcPr>
            <w:tcW w:w="992" w:type="dxa"/>
            <w:vAlign w:val="center"/>
          </w:tcPr>
          <w:p w:rsidR="00CB5853"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536</w:t>
            </w:r>
          </w:p>
        </w:tc>
        <w:tc>
          <w:tcPr>
            <w:tcW w:w="993" w:type="dxa"/>
            <w:vAlign w:val="center"/>
          </w:tcPr>
          <w:p w:rsidR="00CB5853"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(482)</w:t>
            </w:r>
          </w:p>
        </w:tc>
        <w:tc>
          <w:tcPr>
            <w:tcW w:w="1134" w:type="dxa"/>
            <w:shd w:val="clear" w:color="auto" w:fill="D9D9D9" w:themeFill="background1" w:themeFillShade="D9"/>
            <w:vAlign w:val="center"/>
          </w:tcPr>
          <w:p w:rsidR="00CB5853"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(406)</w:t>
            </w:r>
          </w:p>
        </w:tc>
        <w:tc>
          <w:tcPr>
            <w:tcW w:w="992" w:type="dxa"/>
            <w:shd w:val="clear" w:color="auto" w:fill="D9D9D9" w:themeFill="background1" w:themeFillShade="D9"/>
            <w:vAlign w:val="center"/>
          </w:tcPr>
          <w:p w:rsidR="00CB5853" w:rsidRPr="0068094B" w:rsidRDefault="000B0C2C" w:rsidP="00FF4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1,104</w:t>
            </w:r>
          </w:p>
        </w:tc>
        <w:tc>
          <w:tcPr>
            <w:tcW w:w="1134" w:type="dxa"/>
            <w:shd w:val="clear" w:color="auto" w:fill="D9D9D9" w:themeFill="background1" w:themeFillShade="D9"/>
            <w:vAlign w:val="center"/>
          </w:tcPr>
          <w:p w:rsidR="00CB5853" w:rsidRPr="0068094B" w:rsidRDefault="000B0C2C"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(1,600)</w:t>
            </w:r>
          </w:p>
        </w:tc>
        <w:tc>
          <w:tcPr>
            <w:tcW w:w="1417" w:type="dxa"/>
            <w:shd w:val="clear" w:color="auto" w:fill="D9D9D9" w:themeFill="background1" w:themeFillShade="D9"/>
            <w:vAlign w:val="center"/>
          </w:tcPr>
          <w:p w:rsidR="00CB5853" w:rsidRPr="0068094B" w:rsidRDefault="000B0C2C" w:rsidP="00FF4ACE">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(902)</w:t>
            </w:r>
          </w:p>
        </w:tc>
      </w:tr>
      <w:tr w:rsidR="00CB5853" w:rsidRPr="0068094B" w:rsidTr="0021543F">
        <w:trPr>
          <w:gridBefore w:val="1"/>
          <w:wBefore w:w="284" w:type="dxa"/>
          <w:trHeight w:val="541"/>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Grants and Contribution Reserve</w:t>
            </w:r>
          </w:p>
        </w:tc>
        <w:tc>
          <w:tcPr>
            <w:tcW w:w="1134" w:type="dxa"/>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(885)</w:t>
            </w:r>
          </w:p>
        </w:tc>
        <w:tc>
          <w:tcPr>
            <w:tcW w:w="992"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166</w:t>
            </w:r>
          </w:p>
        </w:tc>
        <w:tc>
          <w:tcPr>
            <w:tcW w:w="993"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sidRPr="00F51A24">
              <w:rPr>
                <w:rFonts w:asciiTheme="minorHAnsi" w:hAnsiTheme="minorHAnsi" w:cstheme="minorHAnsi"/>
                <w:sz w:val="22"/>
                <w:szCs w:val="22"/>
              </w:rPr>
              <w:t>(279)</w:t>
            </w:r>
          </w:p>
        </w:tc>
        <w:tc>
          <w:tcPr>
            <w:tcW w:w="1134" w:type="dxa"/>
            <w:shd w:val="clear" w:color="auto" w:fill="D9D9D9" w:themeFill="background1" w:themeFillShade="D9"/>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(998)</w:t>
            </w:r>
          </w:p>
        </w:tc>
        <w:tc>
          <w:tcPr>
            <w:tcW w:w="992" w:type="dxa"/>
            <w:shd w:val="clear" w:color="auto" w:fill="D9D9D9" w:themeFill="background1" w:themeFillShade="D9"/>
            <w:vAlign w:val="center"/>
          </w:tcPr>
          <w:p w:rsidR="00CB5853" w:rsidRPr="0068094B" w:rsidRDefault="00167E7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116</w:t>
            </w:r>
          </w:p>
        </w:tc>
        <w:tc>
          <w:tcPr>
            <w:tcW w:w="1134" w:type="dxa"/>
            <w:shd w:val="clear" w:color="auto" w:fill="D9D9D9" w:themeFill="background1" w:themeFillShade="D9"/>
            <w:vAlign w:val="center"/>
          </w:tcPr>
          <w:p w:rsidR="00CB5853" w:rsidRPr="00F51A24" w:rsidRDefault="00B768A3" w:rsidP="003263C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(174)</w:t>
            </w:r>
          </w:p>
        </w:tc>
        <w:tc>
          <w:tcPr>
            <w:tcW w:w="1417" w:type="dxa"/>
            <w:shd w:val="clear" w:color="auto" w:fill="D9D9D9" w:themeFill="background1" w:themeFillShade="D9"/>
            <w:vAlign w:val="center"/>
          </w:tcPr>
          <w:p w:rsidR="00CB5853" w:rsidRPr="00F51A24" w:rsidRDefault="00B768A3" w:rsidP="00167E78">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w:t>
            </w:r>
            <w:r w:rsidR="00167E78">
              <w:rPr>
                <w:rFonts w:asciiTheme="minorHAnsi" w:hAnsiTheme="minorHAnsi" w:cstheme="minorHAnsi"/>
                <w:b/>
                <w:bCs/>
                <w:sz w:val="22"/>
                <w:szCs w:val="22"/>
              </w:rPr>
              <w:t>56</w:t>
            </w:r>
            <w:r>
              <w:rPr>
                <w:rFonts w:asciiTheme="minorHAnsi" w:hAnsiTheme="minorHAnsi" w:cstheme="minorHAnsi"/>
                <w:b/>
                <w:bCs/>
                <w:sz w:val="22"/>
                <w:szCs w:val="22"/>
              </w:rPr>
              <w:t>)</w:t>
            </w:r>
          </w:p>
        </w:tc>
      </w:tr>
      <w:tr w:rsidR="00CB5853" w:rsidRPr="0068094B" w:rsidTr="0021543F">
        <w:trPr>
          <w:gridBefore w:val="1"/>
          <w:wBefore w:w="284" w:type="dxa"/>
          <w:trHeight w:val="487"/>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Retained Business Rates Equalisation Reserve</w:t>
            </w:r>
          </w:p>
        </w:tc>
        <w:tc>
          <w:tcPr>
            <w:tcW w:w="1134" w:type="dxa"/>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(887)</w:t>
            </w:r>
          </w:p>
        </w:tc>
        <w:tc>
          <w:tcPr>
            <w:tcW w:w="992"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731</w:t>
            </w:r>
          </w:p>
        </w:tc>
        <w:tc>
          <w:tcPr>
            <w:tcW w:w="993"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sidRPr="00F51A24">
              <w:rPr>
                <w:rFonts w:asciiTheme="minorHAnsi" w:hAnsiTheme="minorHAnsi" w:cstheme="minorHAnsi"/>
                <w:sz w:val="22"/>
                <w:szCs w:val="22"/>
              </w:rPr>
              <w:t>0</w:t>
            </w:r>
          </w:p>
        </w:tc>
        <w:tc>
          <w:tcPr>
            <w:tcW w:w="1134" w:type="dxa"/>
            <w:shd w:val="clear" w:color="auto" w:fill="D9D9D9" w:themeFill="background1" w:themeFillShade="D9"/>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(156)</w:t>
            </w:r>
          </w:p>
        </w:tc>
        <w:tc>
          <w:tcPr>
            <w:tcW w:w="992" w:type="dxa"/>
            <w:shd w:val="clear" w:color="auto" w:fill="D9D9D9" w:themeFill="background1" w:themeFillShade="D9"/>
            <w:vAlign w:val="center"/>
          </w:tcPr>
          <w:p w:rsidR="00CB5853" w:rsidRPr="0068094B" w:rsidRDefault="0071702B"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156</w:t>
            </w:r>
          </w:p>
        </w:tc>
        <w:tc>
          <w:tcPr>
            <w:tcW w:w="1134" w:type="dxa"/>
            <w:shd w:val="clear" w:color="auto" w:fill="D9D9D9" w:themeFill="background1" w:themeFillShade="D9"/>
            <w:vAlign w:val="center"/>
          </w:tcPr>
          <w:p w:rsidR="00CB5853" w:rsidRPr="00F51A24" w:rsidRDefault="0071702B"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(432)</w:t>
            </w:r>
          </w:p>
        </w:tc>
        <w:tc>
          <w:tcPr>
            <w:tcW w:w="1417" w:type="dxa"/>
            <w:shd w:val="clear" w:color="auto" w:fill="D9D9D9" w:themeFill="background1" w:themeFillShade="D9"/>
            <w:vAlign w:val="center"/>
          </w:tcPr>
          <w:p w:rsidR="00CB5853" w:rsidRPr="00F51A24" w:rsidRDefault="000B0C2C"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(432)</w:t>
            </w:r>
          </w:p>
        </w:tc>
      </w:tr>
      <w:tr w:rsidR="00CB5853" w:rsidRPr="0068094B" w:rsidTr="0021543F">
        <w:trPr>
          <w:gridBefore w:val="1"/>
          <w:wBefore w:w="284" w:type="dxa"/>
          <w:trHeight w:val="487"/>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New Homes Bonus Scheme Reserve</w:t>
            </w:r>
          </w:p>
        </w:tc>
        <w:tc>
          <w:tcPr>
            <w:tcW w:w="1134" w:type="dxa"/>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(11,177)</w:t>
            </w:r>
          </w:p>
        </w:tc>
        <w:tc>
          <w:tcPr>
            <w:tcW w:w="992"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250</w:t>
            </w:r>
          </w:p>
        </w:tc>
        <w:tc>
          <w:tcPr>
            <w:tcW w:w="993"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sidRPr="00F51A24">
              <w:rPr>
                <w:rFonts w:asciiTheme="minorHAnsi" w:hAnsiTheme="minorHAnsi" w:cstheme="minorHAnsi"/>
                <w:sz w:val="22"/>
                <w:szCs w:val="22"/>
              </w:rPr>
              <w:t>(2,314)</w:t>
            </w:r>
          </w:p>
        </w:tc>
        <w:tc>
          <w:tcPr>
            <w:tcW w:w="1134" w:type="dxa"/>
            <w:shd w:val="clear" w:color="auto" w:fill="D9D9D9" w:themeFill="background1" w:themeFillShade="D9"/>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(13,241)</w:t>
            </w:r>
          </w:p>
        </w:tc>
        <w:tc>
          <w:tcPr>
            <w:tcW w:w="992" w:type="dxa"/>
            <w:shd w:val="clear" w:color="auto" w:fill="D9D9D9" w:themeFill="background1" w:themeFillShade="D9"/>
            <w:vAlign w:val="center"/>
          </w:tcPr>
          <w:p w:rsidR="00CB5853" w:rsidRPr="0068094B" w:rsidRDefault="00B768A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250</w:t>
            </w:r>
          </w:p>
        </w:tc>
        <w:tc>
          <w:tcPr>
            <w:tcW w:w="1134" w:type="dxa"/>
            <w:shd w:val="clear" w:color="auto" w:fill="D9D9D9" w:themeFill="background1" w:themeFillShade="D9"/>
            <w:vAlign w:val="center"/>
          </w:tcPr>
          <w:p w:rsidR="00CB5853" w:rsidRPr="00F51A24" w:rsidRDefault="00B768A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(2,178)</w:t>
            </w:r>
          </w:p>
        </w:tc>
        <w:tc>
          <w:tcPr>
            <w:tcW w:w="1417" w:type="dxa"/>
            <w:shd w:val="clear" w:color="auto" w:fill="D9D9D9" w:themeFill="background1" w:themeFillShade="D9"/>
            <w:vAlign w:val="center"/>
          </w:tcPr>
          <w:p w:rsidR="00CB5853" w:rsidRPr="00F51A24" w:rsidRDefault="00B768A3" w:rsidP="00B768A3">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(15,169)</w:t>
            </w:r>
          </w:p>
        </w:tc>
      </w:tr>
      <w:tr w:rsidR="00CB5853" w:rsidRPr="0068094B" w:rsidTr="0021543F">
        <w:trPr>
          <w:gridBefore w:val="1"/>
          <w:wBefore w:w="284" w:type="dxa"/>
          <w:trHeight w:val="487"/>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Investment Opportunities Reserve</w:t>
            </w:r>
          </w:p>
        </w:tc>
        <w:tc>
          <w:tcPr>
            <w:tcW w:w="1134" w:type="dxa"/>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92"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3" w:type="dxa"/>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sidRPr="00F51A24">
              <w:rPr>
                <w:rFonts w:asciiTheme="minorHAnsi" w:hAnsiTheme="minorHAnsi" w:cstheme="minorHAnsi"/>
                <w:sz w:val="22"/>
                <w:szCs w:val="22"/>
              </w:rPr>
              <w:t>(861)</w:t>
            </w:r>
          </w:p>
        </w:tc>
        <w:tc>
          <w:tcPr>
            <w:tcW w:w="1134" w:type="dxa"/>
            <w:shd w:val="clear" w:color="auto" w:fill="D9D9D9" w:themeFill="background1" w:themeFillShade="D9"/>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(861)</w:t>
            </w:r>
          </w:p>
        </w:tc>
        <w:tc>
          <w:tcPr>
            <w:tcW w:w="992" w:type="dxa"/>
            <w:shd w:val="clear" w:color="auto" w:fill="D9D9D9" w:themeFill="background1" w:themeFillShade="D9"/>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rsidR="00CB5853" w:rsidRPr="00F51A24" w:rsidRDefault="000B0C2C" w:rsidP="00EE793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(383)</w:t>
            </w:r>
          </w:p>
        </w:tc>
        <w:tc>
          <w:tcPr>
            <w:tcW w:w="1417" w:type="dxa"/>
            <w:shd w:val="clear" w:color="auto" w:fill="D9D9D9" w:themeFill="background1" w:themeFillShade="D9"/>
            <w:vAlign w:val="center"/>
          </w:tcPr>
          <w:p w:rsidR="00CB5853" w:rsidRPr="00F51A24" w:rsidRDefault="000B0C2C"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r>
      <w:tr w:rsidR="00CB5853" w:rsidRPr="0068094B" w:rsidTr="0021543F">
        <w:trPr>
          <w:gridBefore w:val="1"/>
          <w:wBefore w:w="284" w:type="dxa"/>
          <w:trHeight w:val="487"/>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Pr>
                <w:rFonts w:asciiTheme="minorHAnsi" w:hAnsiTheme="minorHAnsi" w:cstheme="minorHAnsi"/>
                <w:sz w:val="22"/>
                <w:szCs w:val="22"/>
              </w:rPr>
              <w:t>Community Led Housing Grant Reserve</w:t>
            </w:r>
          </w:p>
        </w:tc>
        <w:tc>
          <w:tcPr>
            <w:tcW w:w="1134" w:type="dxa"/>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92" w:type="dxa"/>
            <w:vAlign w:val="center"/>
          </w:tcPr>
          <w:p w:rsidR="00CB5853"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82</w:t>
            </w:r>
          </w:p>
        </w:tc>
        <w:tc>
          <w:tcPr>
            <w:tcW w:w="993" w:type="dxa"/>
            <w:vAlign w:val="center"/>
          </w:tcPr>
          <w:p w:rsidR="00CB5853" w:rsidRDefault="00CB5853" w:rsidP="001B4F2C">
            <w:pPr>
              <w:tabs>
                <w:tab w:val="left" w:pos="0"/>
              </w:tabs>
              <w:snapToGrid w:val="0"/>
              <w:jc w:val="right"/>
              <w:rPr>
                <w:rFonts w:asciiTheme="minorHAnsi" w:hAnsiTheme="minorHAnsi" w:cstheme="minorHAnsi"/>
                <w:sz w:val="22"/>
                <w:szCs w:val="22"/>
              </w:rPr>
            </w:pPr>
            <w:r w:rsidRPr="00F51A24">
              <w:rPr>
                <w:rFonts w:asciiTheme="minorHAnsi" w:hAnsiTheme="minorHAnsi" w:cstheme="minorHAnsi"/>
                <w:sz w:val="22"/>
                <w:szCs w:val="22"/>
              </w:rPr>
              <w:t>(1,386)</w:t>
            </w:r>
          </w:p>
        </w:tc>
        <w:tc>
          <w:tcPr>
            <w:tcW w:w="1134" w:type="dxa"/>
            <w:shd w:val="clear" w:color="auto" w:fill="D9D9D9" w:themeFill="background1" w:themeFillShade="D9"/>
            <w:vAlign w:val="center"/>
          </w:tcPr>
          <w:p w:rsidR="00CB5853" w:rsidRDefault="00CB5853"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(1,304)</w:t>
            </w:r>
          </w:p>
        </w:tc>
        <w:tc>
          <w:tcPr>
            <w:tcW w:w="992" w:type="dxa"/>
            <w:shd w:val="clear" w:color="auto" w:fill="D9D9D9" w:themeFill="background1" w:themeFillShade="D9"/>
            <w:vAlign w:val="center"/>
          </w:tcPr>
          <w:p w:rsidR="00CB5853" w:rsidRPr="0068094B" w:rsidRDefault="000B0C2C"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125</w:t>
            </w:r>
          </w:p>
        </w:tc>
        <w:tc>
          <w:tcPr>
            <w:tcW w:w="1134" w:type="dxa"/>
            <w:shd w:val="clear" w:color="auto" w:fill="D9D9D9" w:themeFill="background1" w:themeFillShade="D9"/>
            <w:vAlign w:val="center"/>
          </w:tcPr>
          <w:p w:rsidR="00CB5853" w:rsidRPr="00F51A24" w:rsidRDefault="000B0C2C" w:rsidP="00EE793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D9D9D9" w:themeFill="background1" w:themeFillShade="D9"/>
            <w:vAlign w:val="center"/>
          </w:tcPr>
          <w:p w:rsidR="00CB5853" w:rsidRPr="00F51A24" w:rsidRDefault="000B0C2C"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(1,179)</w:t>
            </w:r>
          </w:p>
        </w:tc>
      </w:tr>
      <w:tr w:rsidR="00CB5853" w:rsidRPr="0068094B" w:rsidTr="0021543F">
        <w:trPr>
          <w:gridBefore w:val="1"/>
          <w:wBefore w:w="284" w:type="dxa"/>
          <w:trHeight w:val="487"/>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Pr>
                <w:rFonts w:asciiTheme="minorHAnsi" w:hAnsiTheme="minorHAnsi" w:cstheme="minorHAnsi"/>
                <w:sz w:val="22"/>
                <w:szCs w:val="22"/>
              </w:rPr>
              <w:t>Investment Risk Reserve</w:t>
            </w:r>
          </w:p>
        </w:tc>
        <w:tc>
          <w:tcPr>
            <w:tcW w:w="1134" w:type="dxa"/>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92" w:type="dxa"/>
            <w:vAlign w:val="center"/>
          </w:tcPr>
          <w:p w:rsidR="00CB5853" w:rsidRDefault="00CB585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3" w:type="dxa"/>
            <w:vAlign w:val="center"/>
          </w:tcPr>
          <w:p w:rsidR="00CB5853" w:rsidRDefault="00CB5853">
            <w:pPr>
              <w:tabs>
                <w:tab w:val="left" w:pos="0"/>
              </w:tabs>
              <w:snapToGrid w:val="0"/>
              <w:jc w:val="right"/>
              <w:rPr>
                <w:rFonts w:asciiTheme="minorHAnsi" w:hAnsiTheme="minorHAnsi" w:cstheme="minorHAnsi"/>
                <w:sz w:val="22"/>
                <w:szCs w:val="22"/>
              </w:rPr>
            </w:pPr>
            <w:r w:rsidRPr="00F51A24">
              <w:rPr>
                <w:rFonts w:asciiTheme="minorHAnsi" w:hAnsiTheme="minorHAnsi" w:cstheme="minorHAnsi"/>
                <w:sz w:val="22"/>
                <w:szCs w:val="22"/>
              </w:rPr>
              <w:t>(565)</w:t>
            </w:r>
          </w:p>
        </w:tc>
        <w:tc>
          <w:tcPr>
            <w:tcW w:w="1134" w:type="dxa"/>
            <w:shd w:val="clear" w:color="auto" w:fill="D9D9D9" w:themeFill="background1" w:themeFillShade="D9"/>
            <w:vAlign w:val="center"/>
          </w:tcPr>
          <w:p w:rsidR="00CB5853" w:rsidRDefault="00CB5853"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(565)</w:t>
            </w:r>
          </w:p>
        </w:tc>
        <w:tc>
          <w:tcPr>
            <w:tcW w:w="992" w:type="dxa"/>
            <w:shd w:val="clear" w:color="auto" w:fill="D9D9D9" w:themeFill="background1" w:themeFillShade="D9"/>
            <w:vAlign w:val="center"/>
          </w:tcPr>
          <w:p w:rsidR="00CB5853" w:rsidRPr="0068094B" w:rsidRDefault="000B0C2C"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rsidR="00CB5853" w:rsidRPr="00F51A24" w:rsidRDefault="000B0C2C" w:rsidP="00EE793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D9D9D9" w:themeFill="background1" w:themeFillShade="D9"/>
            <w:vAlign w:val="center"/>
          </w:tcPr>
          <w:p w:rsidR="00CB5853" w:rsidRPr="00F51A24" w:rsidRDefault="000B0C2C"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(565)</w:t>
            </w:r>
          </w:p>
        </w:tc>
      </w:tr>
      <w:tr w:rsidR="00CB5853" w:rsidRPr="0068094B" w:rsidTr="0021543F">
        <w:trPr>
          <w:gridBefore w:val="1"/>
          <w:wBefore w:w="284" w:type="dxa"/>
          <w:trHeight w:val="333"/>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Other Usable Reserves (Less than £500,000 in value)</w:t>
            </w:r>
          </w:p>
        </w:tc>
        <w:tc>
          <w:tcPr>
            <w:tcW w:w="1134" w:type="dxa"/>
            <w:tcBorders>
              <w:bottom w:val="single" w:sz="4" w:space="0" w:color="000000"/>
            </w:tcBorders>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(2,781)</w:t>
            </w:r>
          </w:p>
        </w:tc>
        <w:tc>
          <w:tcPr>
            <w:tcW w:w="992" w:type="dxa"/>
            <w:tcBorders>
              <w:bottom w:val="single" w:sz="4" w:space="0" w:color="000000"/>
            </w:tcBorders>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543</w:t>
            </w:r>
          </w:p>
        </w:tc>
        <w:tc>
          <w:tcPr>
            <w:tcW w:w="993" w:type="dxa"/>
            <w:tcBorders>
              <w:bottom w:val="single" w:sz="4" w:space="0" w:color="000000"/>
            </w:tcBorders>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(950)</w:t>
            </w:r>
          </w:p>
        </w:tc>
        <w:tc>
          <w:tcPr>
            <w:tcW w:w="1134" w:type="dxa"/>
            <w:tcBorders>
              <w:bottom w:val="single" w:sz="4" w:space="0" w:color="000000"/>
            </w:tcBorders>
            <w:shd w:val="clear" w:color="auto" w:fill="D9D9D9" w:themeFill="background1" w:themeFillShade="D9"/>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(3,188)</w:t>
            </w:r>
          </w:p>
        </w:tc>
        <w:tc>
          <w:tcPr>
            <w:tcW w:w="992" w:type="dxa"/>
            <w:tcBorders>
              <w:bottom w:val="single" w:sz="4" w:space="0" w:color="000000"/>
            </w:tcBorders>
            <w:shd w:val="clear" w:color="auto" w:fill="D9D9D9" w:themeFill="background1" w:themeFillShade="D9"/>
            <w:vAlign w:val="center"/>
          </w:tcPr>
          <w:p w:rsidR="00CB5853" w:rsidRPr="00167E78" w:rsidRDefault="00FB4972" w:rsidP="001B4F2C">
            <w:pPr>
              <w:tabs>
                <w:tab w:val="left" w:pos="0"/>
              </w:tabs>
              <w:snapToGrid w:val="0"/>
              <w:jc w:val="right"/>
              <w:rPr>
                <w:rFonts w:asciiTheme="minorHAnsi" w:hAnsiTheme="minorHAnsi" w:cstheme="minorHAnsi"/>
                <w:sz w:val="22"/>
                <w:szCs w:val="22"/>
                <w:highlight w:val="yellow"/>
              </w:rPr>
            </w:pPr>
            <w:r w:rsidRPr="00FB4972">
              <w:rPr>
                <w:rFonts w:asciiTheme="minorHAnsi" w:hAnsiTheme="minorHAnsi" w:cstheme="minorHAnsi"/>
                <w:sz w:val="22"/>
                <w:szCs w:val="22"/>
              </w:rPr>
              <w:t>1,371</w:t>
            </w:r>
          </w:p>
        </w:tc>
        <w:tc>
          <w:tcPr>
            <w:tcW w:w="1134" w:type="dxa"/>
            <w:tcBorders>
              <w:bottom w:val="single" w:sz="4" w:space="0" w:color="000000"/>
            </w:tcBorders>
            <w:shd w:val="clear" w:color="auto" w:fill="D9D9D9" w:themeFill="background1" w:themeFillShade="D9"/>
            <w:vAlign w:val="center"/>
          </w:tcPr>
          <w:p w:rsidR="00CB5853" w:rsidRPr="00EF7AA5" w:rsidRDefault="00FB4972" w:rsidP="00131B67">
            <w:pPr>
              <w:tabs>
                <w:tab w:val="left" w:pos="0"/>
              </w:tabs>
              <w:snapToGrid w:val="0"/>
              <w:jc w:val="right"/>
              <w:rPr>
                <w:rFonts w:asciiTheme="minorHAnsi" w:hAnsiTheme="minorHAnsi" w:cstheme="minorHAnsi"/>
                <w:sz w:val="22"/>
                <w:szCs w:val="22"/>
              </w:rPr>
            </w:pPr>
            <w:r w:rsidRPr="00EF7AA5">
              <w:rPr>
                <w:rFonts w:asciiTheme="minorHAnsi" w:hAnsiTheme="minorHAnsi" w:cstheme="minorHAnsi"/>
                <w:sz w:val="22"/>
                <w:szCs w:val="22"/>
              </w:rPr>
              <w:t>(2,0</w:t>
            </w:r>
            <w:r w:rsidR="00131B67" w:rsidRPr="00EF7AA5">
              <w:rPr>
                <w:rFonts w:asciiTheme="minorHAnsi" w:hAnsiTheme="minorHAnsi" w:cstheme="minorHAnsi"/>
                <w:sz w:val="22"/>
                <w:szCs w:val="22"/>
              </w:rPr>
              <w:t>8</w:t>
            </w:r>
            <w:r w:rsidR="0080611E" w:rsidRPr="00EF7AA5">
              <w:rPr>
                <w:rFonts w:asciiTheme="minorHAnsi" w:hAnsiTheme="minorHAnsi" w:cstheme="minorHAnsi"/>
                <w:sz w:val="22"/>
                <w:szCs w:val="22"/>
              </w:rPr>
              <w:t>1</w:t>
            </w:r>
            <w:r w:rsidRPr="00EF7AA5">
              <w:rPr>
                <w:rFonts w:asciiTheme="minorHAnsi" w:hAnsiTheme="minorHAnsi" w:cstheme="minorHAnsi"/>
                <w:sz w:val="22"/>
                <w:szCs w:val="22"/>
              </w:rPr>
              <w:t>)</w:t>
            </w:r>
          </w:p>
        </w:tc>
        <w:tc>
          <w:tcPr>
            <w:tcW w:w="1417" w:type="dxa"/>
            <w:tcBorders>
              <w:bottom w:val="single" w:sz="4" w:space="0" w:color="000000"/>
            </w:tcBorders>
            <w:shd w:val="clear" w:color="auto" w:fill="D9D9D9" w:themeFill="background1" w:themeFillShade="D9"/>
            <w:vAlign w:val="center"/>
          </w:tcPr>
          <w:p w:rsidR="00CB5853" w:rsidRPr="00EF7AA5" w:rsidRDefault="00167E78" w:rsidP="00131B67">
            <w:pPr>
              <w:tabs>
                <w:tab w:val="left" w:pos="0"/>
              </w:tabs>
              <w:snapToGrid w:val="0"/>
              <w:jc w:val="right"/>
              <w:rPr>
                <w:rFonts w:asciiTheme="minorHAnsi" w:hAnsiTheme="minorHAnsi" w:cstheme="minorHAnsi"/>
                <w:b/>
                <w:bCs/>
                <w:sz w:val="22"/>
                <w:szCs w:val="22"/>
              </w:rPr>
            </w:pPr>
            <w:r w:rsidRPr="00EF7AA5">
              <w:rPr>
                <w:rFonts w:asciiTheme="minorHAnsi" w:hAnsiTheme="minorHAnsi" w:cstheme="minorHAnsi"/>
                <w:b/>
                <w:bCs/>
                <w:sz w:val="22"/>
                <w:szCs w:val="22"/>
              </w:rPr>
              <w:t>(3,8</w:t>
            </w:r>
            <w:r w:rsidR="00131B67" w:rsidRPr="00EF7AA5">
              <w:rPr>
                <w:rFonts w:asciiTheme="minorHAnsi" w:hAnsiTheme="minorHAnsi" w:cstheme="minorHAnsi"/>
                <w:b/>
                <w:bCs/>
                <w:sz w:val="22"/>
                <w:szCs w:val="22"/>
              </w:rPr>
              <w:t>9</w:t>
            </w:r>
            <w:r w:rsidR="0080611E" w:rsidRPr="00EF7AA5">
              <w:rPr>
                <w:rFonts w:asciiTheme="minorHAnsi" w:hAnsiTheme="minorHAnsi" w:cstheme="minorHAnsi"/>
                <w:b/>
                <w:bCs/>
                <w:sz w:val="22"/>
                <w:szCs w:val="22"/>
              </w:rPr>
              <w:t>8</w:t>
            </w:r>
            <w:r w:rsidRPr="00EF7AA5">
              <w:rPr>
                <w:rFonts w:asciiTheme="minorHAnsi" w:hAnsiTheme="minorHAnsi" w:cstheme="minorHAnsi"/>
                <w:b/>
                <w:bCs/>
                <w:sz w:val="22"/>
                <w:szCs w:val="22"/>
              </w:rPr>
              <w:t>)</w:t>
            </w:r>
          </w:p>
        </w:tc>
      </w:tr>
      <w:tr w:rsidR="00CB5853" w:rsidRPr="0068094B" w:rsidTr="0021543F">
        <w:trPr>
          <w:gridBefore w:val="1"/>
          <w:wBefore w:w="284" w:type="dxa"/>
          <w:trHeight w:val="287"/>
        </w:trPr>
        <w:tc>
          <w:tcPr>
            <w:tcW w:w="2552" w:type="dxa"/>
            <w:vAlign w:val="center"/>
          </w:tcPr>
          <w:p w:rsidR="00CB5853" w:rsidRPr="0068094B" w:rsidRDefault="00CB5853"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w:t>
            </w:r>
          </w:p>
        </w:tc>
        <w:tc>
          <w:tcPr>
            <w:tcW w:w="1134" w:type="dxa"/>
            <w:tcBorders>
              <w:top w:val="single" w:sz="4" w:space="0" w:color="000000"/>
              <w:bottom w:val="double" w:sz="4" w:space="0" w:color="000000"/>
            </w:tcBorders>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(24,139)</w:t>
            </w:r>
          </w:p>
        </w:tc>
        <w:tc>
          <w:tcPr>
            <w:tcW w:w="992" w:type="dxa"/>
            <w:tcBorders>
              <w:top w:val="single" w:sz="4" w:space="0" w:color="000000"/>
              <w:bottom w:val="double" w:sz="4" w:space="0" w:color="000000"/>
            </w:tcBorders>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3,388</w:t>
            </w:r>
          </w:p>
        </w:tc>
        <w:tc>
          <w:tcPr>
            <w:tcW w:w="993" w:type="dxa"/>
            <w:tcBorders>
              <w:top w:val="single" w:sz="4" w:space="0" w:color="000000"/>
              <w:bottom w:val="double" w:sz="4" w:space="0" w:color="000000"/>
            </w:tcBorders>
            <w:vAlign w:val="center"/>
          </w:tcPr>
          <w:p w:rsidR="00CB5853" w:rsidRPr="0068094B" w:rsidRDefault="00CB5853" w:rsidP="001B4F2C">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(8,196)</w:t>
            </w:r>
          </w:p>
        </w:tc>
        <w:tc>
          <w:tcPr>
            <w:tcW w:w="1134" w:type="dxa"/>
            <w:tcBorders>
              <w:top w:val="single" w:sz="4" w:space="0" w:color="000000"/>
              <w:bottom w:val="double" w:sz="4" w:space="0" w:color="000000"/>
            </w:tcBorders>
            <w:shd w:val="clear" w:color="auto" w:fill="D9D9D9" w:themeFill="background1" w:themeFillShade="D9"/>
            <w:vAlign w:val="center"/>
          </w:tcPr>
          <w:p w:rsidR="00CB5853" w:rsidRPr="0068094B" w:rsidRDefault="00CB5853" w:rsidP="001B4F2C">
            <w:pPr>
              <w:tabs>
                <w:tab w:val="left" w:pos="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(28,947)</w:t>
            </w:r>
          </w:p>
        </w:tc>
        <w:tc>
          <w:tcPr>
            <w:tcW w:w="992" w:type="dxa"/>
            <w:tcBorders>
              <w:top w:val="single" w:sz="4" w:space="0" w:color="000000"/>
              <w:bottom w:val="double" w:sz="4" w:space="0" w:color="000000"/>
            </w:tcBorders>
            <w:shd w:val="clear" w:color="auto" w:fill="D9D9D9" w:themeFill="background1" w:themeFillShade="D9"/>
            <w:vAlign w:val="center"/>
          </w:tcPr>
          <w:p w:rsidR="00CB5853" w:rsidRPr="00D16CC2" w:rsidRDefault="00167E78" w:rsidP="00167E7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4,432</w:t>
            </w:r>
          </w:p>
        </w:tc>
        <w:tc>
          <w:tcPr>
            <w:tcW w:w="1134" w:type="dxa"/>
            <w:tcBorders>
              <w:top w:val="single" w:sz="4" w:space="0" w:color="000000"/>
              <w:bottom w:val="double" w:sz="4" w:space="0" w:color="000000"/>
            </w:tcBorders>
            <w:shd w:val="clear" w:color="auto" w:fill="D9D9D9" w:themeFill="background1" w:themeFillShade="D9"/>
            <w:vAlign w:val="center"/>
          </w:tcPr>
          <w:p w:rsidR="00CB5853" w:rsidRPr="00EF7AA5" w:rsidRDefault="00167E78" w:rsidP="00131B67">
            <w:pPr>
              <w:tabs>
                <w:tab w:val="left" w:pos="0"/>
              </w:tabs>
              <w:snapToGrid w:val="0"/>
              <w:jc w:val="right"/>
              <w:rPr>
                <w:rFonts w:asciiTheme="minorHAnsi" w:hAnsiTheme="minorHAnsi" w:cstheme="minorHAnsi"/>
                <w:sz w:val="22"/>
                <w:szCs w:val="22"/>
              </w:rPr>
            </w:pPr>
            <w:r w:rsidRPr="00EF7AA5">
              <w:rPr>
                <w:rFonts w:asciiTheme="minorHAnsi" w:hAnsiTheme="minorHAnsi" w:cstheme="minorHAnsi"/>
                <w:sz w:val="22"/>
                <w:szCs w:val="22"/>
              </w:rPr>
              <w:t>(8,2</w:t>
            </w:r>
            <w:r w:rsidR="00131B67" w:rsidRPr="00EF7AA5">
              <w:rPr>
                <w:rFonts w:asciiTheme="minorHAnsi" w:hAnsiTheme="minorHAnsi" w:cstheme="minorHAnsi"/>
                <w:sz w:val="22"/>
                <w:szCs w:val="22"/>
              </w:rPr>
              <w:t>6</w:t>
            </w:r>
            <w:r w:rsidR="0080611E" w:rsidRPr="00EF7AA5">
              <w:rPr>
                <w:rFonts w:asciiTheme="minorHAnsi" w:hAnsiTheme="minorHAnsi" w:cstheme="minorHAnsi"/>
                <w:sz w:val="22"/>
                <w:szCs w:val="22"/>
              </w:rPr>
              <w:t>9</w:t>
            </w:r>
            <w:r w:rsidRPr="00EF7AA5">
              <w:rPr>
                <w:rFonts w:asciiTheme="minorHAnsi" w:hAnsiTheme="minorHAnsi" w:cstheme="minorHAnsi"/>
                <w:sz w:val="22"/>
                <w:szCs w:val="22"/>
              </w:rPr>
              <w:t>)</w:t>
            </w:r>
          </w:p>
        </w:tc>
        <w:tc>
          <w:tcPr>
            <w:tcW w:w="1417" w:type="dxa"/>
            <w:tcBorders>
              <w:top w:val="single" w:sz="4" w:space="0" w:color="000000"/>
              <w:bottom w:val="double" w:sz="4" w:space="0" w:color="000000"/>
            </w:tcBorders>
            <w:shd w:val="clear" w:color="auto" w:fill="D9D9D9" w:themeFill="background1" w:themeFillShade="D9"/>
            <w:vAlign w:val="center"/>
          </w:tcPr>
          <w:p w:rsidR="00CB5853" w:rsidRPr="00EF7AA5" w:rsidRDefault="0071702B" w:rsidP="00131B67">
            <w:pPr>
              <w:tabs>
                <w:tab w:val="left" w:pos="0"/>
              </w:tabs>
              <w:snapToGrid w:val="0"/>
              <w:jc w:val="right"/>
              <w:rPr>
                <w:rFonts w:asciiTheme="minorHAnsi" w:hAnsiTheme="minorHAnsi" w:cstheme="minorHAnsi"/>
                <w:b/>
                <w:bCs/>
                <w:sz w:val="22"/>
                <w:szCs w:val="22"/>
              </w:rPr>
            </w:pPr>
            <w:r w:rsidRPr="00EF7AA5">
              <w:rPr>
                <w:rFonts w:asciiTheme="minorHAnsi" w:hAnsiTheme="minorHAnsi" w:cstheme="minorHAnsi"/>
                <w:b/>
                <w:bCs/>
                <w:sz w:val="22"/>
                <w:szCs w:val="22"/>
              </w:rPr>
              <w:t>(32,7</w:t>
            </w:r>
            <w:r w:rsidR="00131B67" w:rsidRPr="00EF7AA5">
              <w:rPr>
                <w:rFonts w:asciiTheme="minorHAnsi" w:hAnsiTheme="minorHAnsi" w:cstheme="minorHAnsi"/>
                <w:b/>
                <w:bCs/>
                <w:sz w:val="22"/>
                <w:szCs w:val="22"/>
              </w:rPr>
              <w:t>8</w:t>
            </w:r>
            <w:r w:rsidR="0080611E" w:rsidRPr="00EF7AA5">
              <w:rPr>
                <w:rFonts w:asciiTheme="minorHAnsi" w:hAnsiTheme="minorHAnsi" w:cstheme="minorHAnsi"/>
                <w:b/>
                <w:bCs/>
                <w:sz w:val="22"/>
                <w:szCs w:val="22"/>
              </w:rPr>
              <w:t>4</w:t>
            </w:r>
            <w:r w:rsidRPr="00EF7AA5">
              <w:rPr>
                <w:rFonts w:asciiTheme="minorHAnsi" w:hAnsiTheme="minorHAnsi" w:cstheme="minorHAnsi"/>
                <w:b/>
                <w:bCs/>
                <w:sz w:val="22"/>
                <w:szCs w:val="22"/>
              </w:rPr>
              <w:t>)</w:t>
            </w:r>
          </w:p>
        </w:tc>
      </w:tr>
    </w:tbl>
    <w:p w:rsidR="00871025" w:rsidRDefault="00871025" w:rsidP="001B4F2C">
      <w:pPr>
        <w:tabs>
          <w:tab w:val="left" w:pos="0"/>
        </w:tabs>
        <w:jc w:val="both"/>
        <w:rPr>
          <w:rFonts w:asciiTheme="minorHAnsi" w:hAnsiTheme="minorHAnsi" w:cstheme="minorHAnsi"/>
          <w:b/>
          <w:bCs/>
          <w:sz w:val="22"/>
          <w:szCs w:val="22"/>
        </w:rPr>
      </w:pPr>
    </w:p>
    <w:p w:rsidR="00455742" w:rsidRDefault="00871025" w:rsidP="00871025">
      <w:pPr>
        <w:widowControl/>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A2435D" w:rsidRDefault="00A2435D" w:rsidP="00A2435D">
      <w:pPr>
        <w:numPr>
          <w:ilvl w:val="0"/>
          <w:numId w:val="40"/>
        </w:numPr>
        <w:tabs>
          <w:tab w:val="left" w:pos="0"/>
        </w:tabs>
        <w:ind w:left="0" w:hanging="567"/>
        <w:jc w:val="both"/>
        <w:rPr>
          <w:rFonts w:asciiTheme="minorHAnsi" w:hAnsiTheme="minorHAnsi" w:cstheme="minorHAnsi"/>
          <w:b/>
          <w:bCs/>
          <w:sz w:val="22"/>
          <w:szCs w:val="22"/>
        </w:rPr>
      </w:pPr>
      <w:r w:rsidRPr="00A2435D">
        <w:rPr>
          <w:rFonts w:asciiTheme="minorHAnsi" w:hAnsiTheme="minorHAnsi" w:cstheme="minorHAnsi"/>
          <w:b/>
          <w:bCs/>
          <w:sz w:val="22"/>
          <w:szCs w:val="22"/>
        </w:rPr>
        <w:lastRenderedPageBreak/>
        <w:t>Adjustments between accounting basis and funding basis under regulations</w:t>
      </w:r>
    </w:p>
    <w:p w:rsidR="00A2435D" w:rsidRDefault="00A2435D" w:rsidP="00A2435D">
      <w:pPr>
        <w:tabs>
          <w:tab w:val="left" w:pos="0"/>
        </w:tabs>
        <w:jc w:val="both"/>
        <w:rPr>
          <w:rFonts w:asciiTheme="minorHAnsi" w:hAnsiTheme="minorHAnsi" w:cstheme="minorHAnsi"/>
          <w:b/>
          <w:bCs/>
          <w:sz w:val="22"/>
          <w:szCs w:val="22"/>
        </w:rPr>
      </w:pPr>
    </w:p>
    <w:p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This note details the adjustments that are made to the total comprehensive income and expenditure recognised by the Council in the year in accordance with proper accounting practice to the resources that are specified by statutory provisions as being available to the Authority to meet future capital and revenue expenditure.</w:t>
      </w:r>
    </w:p>
    <w:p w:rsidR="00A2435D" w:rsidRPr="00A2435D" w:rsidRDefault="00A2435D" w:rsidP="00A2435D">
      <w:pPr>
        <w:tabs>
          <w:tab w:val="left" w:pos="0"/>
        </w:tabs>
        <w:rPr>
          <w:rFonts w:asciiTheme="minorHAnsi" w:hAnsiTheme="minorHAnsi" w:cstheme="minorHAnsi"/>
          <w:sz w:val="22"/>
          <w:szCs w:val="22"/>
        </w:rPr>
      </w:pPr>
    </w:p>
    <w:p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The following sets out a description of the reserves that the adjustments are made against.</w:t>
      </w:r>
    </w:p>
    <w:p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General Fund Balance</w:t>
      </w:r>
    </w:p>
    <w:p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General Fund is statutory fund into which all the receipts of an authority are required to paid and out of which all liabilities of the authority are to be met, except to the extent that the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Council is statutorily empowered to spend on its services or on capital investment (or the deficit of resources that the Council is required to recover) at the end of the financial year.</w:t>
      </w:r>
    </w:p>
    <w:p w:rsidR="00A2435D" w:rsidRPr="00A2435D" w:rsidRDefault="00A2435D" w:rsidP="00A2435D">
      <w:pPr>
        <w:widowControl/>
        <w:tabs>
          <w:tab w:val="left" w:pos="0"/>
        </w:tabs>
        <w:autoSpaceDE w:val="0"/>
        <w:rPr>
          <w:rFonts w:asciiTheme="minorHAnsi" w:hAnsiTheme="minorHAnsi" w:cstheme="minorHAnsi"/>
          <w:color w:val="000000"/>
          <w:sz w:val="22"/>
          <w:szCs w:val="22"/>
        </w:rPr>
      </w:pPr>
    </w:p>
    <w:p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Receipts Reserve</w:t>
      </w:r>
    </w:p>
    <w:p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 end.</w:t>
      </w:r>
    </w:p>
    <w:p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Grants Unapplied</w:t>
      </w:r>
    </w:p>
    <w:p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rsidR="00871025" w:rsidRDefault="00A2435D" w:rsidP="00871025">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Grants Unapplied Account (Reserve) holds the grants and contributions received towards capital projects for which the Council has met the conditions that would otherwise require repayment of the monies but have yet to be applied to meet expenditure. The balance is restricted by the grant terms as to the capital expenditure against which it can be applied and/or the financial year in which this can take place</w:t>
      </w:r>
      <w:r w:rsidR="00871025">
        <w:rPr>
          <w:rFonts w:asciiTheme="minorHAnsi" w:hAnsiTheme="minorHAnsi" w:cstheme="minorHAnsi"/>
          <w:color w:val="000000"/>
          <w:sz w:val="22"/>
          <w:szCs w:val="22"/>
        </w:rPr>
        <w:t>.</w:t>
      </w:r>
    </w:p>
    <w:p w:rsidR="00871025" w:rsidRDefault="00871025">
      <w:pPr>
        <w:widowControl/>
        <w:suppressAutoHyphens w:val="0"/>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A2435D" w:rsidRPr="00871025" w:rsidRDefault="00A2435D" w:rsidP="00871025">
      <w:pPr>
        <w:widowControl/>
        <w:tabs>
          <w:tab w:val="left" w:pos="0"/>
        </w:tabs>
        <w:autoSpaceDE w:val="0"/>
        <w:rPr>
          <w:rFonts w:asciiTheme="minorHAnsi" w:hAnsiTheme="minorHAnsi" w:cstheme="minorHAnsi"/>
          <w:color w:val="000000"/>
          <w:sz w:val="22"/>
          <w:szCs w:val="22"/>
        </w:rPr>
        <w:sectPr w:rsidR="00A2435D" w:rsidRPr="00871025" w:rsidSect="00420C36">
          <w:footnotePr>
            <w:pos w:val="beneathText"/>
          </w:footnotePr>
          <w:pgSz w:w="11906" w:h="16838"/>
          <w:pgMar w:top="851" w:right="1736" w:bottom="1418" w:left="1440" w:header="284"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justments between Accounting Basis and Funding basis"/>
      </w:tblPr>
      <w:tblGrid>
        <w:gridCol w:w="1317"/>
        <w:gridCol w:w="1134"/>
        <w:gridCol w:w="1134"/>
        <w:gridCol w:w="6804"/>
        <w:gridCol w:w="1134"/>
        <w:gridCol w:w="1134"/>
        <w:gridCol w:w="1134"/>
      </w:tblGrid>
      <w:tr w:rsidR="00804F08" w:rsidRPr="00804F08" w:rsidTr="003B5F7F">
        <w:trPr>
          <w:tblHeader/>
        </w:trPr>
        <w:tc>
          <w:tcPr>
            <w:tcW w:w="13791" w:type="dxa"/>
            <w:gridSpan w:val="7"/>
            <w:vAlign w:val="center"/>
          </w:tcPr>
          <w:p w:rsidR="00804F08" w:rsidRPr="00804F08" w:rsidRDefault="00804F08" w:rsidP="00D0316A">
            <w:pPr>
              <w:tabs>
                <w:tab w:val="left" w:pos="0"/>
              </w:tabs>
              <w:jc w:val="center"/>
              <w:rPr>
                <w:rFonts w:asciiTheme="minorHAnsi" w:hAnsiTheme="minorHAnsi" w:cstheme="minorHAnsi"/>
                <w:b/>
                <w:bCs/>
                <w:sz w:val="20"/>
              </w:rPr>
            </w:pPr>
            <w:r w:rsidRPr="00804F08">
              <w:rPr>
                <w:rFonts w:asciiTheme="minorHAnsi" w:hAnsiTheme="minorHAnsi" w:cstheme="minorHAnsi"/>
                <w:b/>
                <w:bCs/>
                <w:sz w:val="20"/>
              </w:rPr>
              <w:lastRenderedPageBreak/>
              <w:t>Adjustments between Accounting Basis and Funding basis</w:t>
            </w:r>
          </w:p>
        </w:tc>
      </w:tr>
      <w:tr w:rsidR="00804F08" w:rsidRPr="00804F08" w:rsidTr="003B5F7F">
        <w:trPr>
          <w:trHeight w:val="283"/>
          <w:tblHeader/>
        </w:trPr>
        <w:tc>
          <w:tcPr>
            <w:tcW w:w="3585" w:type="dxa"/>
            <w:gridSpan w:val="3"/>
            <w:vAlign w:val="center"/>
          </w:tcPr>
          <w:p w:rsidR="00804F08" w:rsidRPr="00804F08" w:rsidRDefault="00804F08" w:rsidP="00E424D5">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201</w:t>
            </w:r>
            <w:r w:rsidR="00E424D5">
              <w:rPr>
                <w:rFonts w:asciiTheme="minorHAnsi" w:hAnsiTheme="minorHAnsi" w:cstheme="minorHAnsi"/>
                <w:b/>
                <w:bCs/>
                <w:sz w:val="18"/>
                <w:szCs w:val="18"/>
              </w:rPr>
              <w:t>8</w:t>
            </w:r>
            <w:r w:rsidRPr="00804F08">
              <w:rPr>
                <w:rFonts w:asciiTheme="minorHAnsi" w:hAnsiTheme="minorHAnsi" w:cstheme="minorHAnsi"/>
                <w:b/>
                <w:bCs/>
                <w:sz w:val="18"/>
                <w:szCs w:val="18"/>
              </w:rPr>
              <w:t>-1</w:t>
            </w:r>
            <w:r w:rsidR="00E424D5">
              <w:rPr>
                <w:rFonts w:asciiTheme="minorHAnsi" w:hAnsiTheme="minorHAnsi" w:cstheme="minorHAnsi"/>
                <w:b/>
                <w:bCs/>
                <w:sz w:val="18"/>
                <w:szCs w:val="18"/>
              </w:rPr>
              <w:t>9</w:t>
            </w:r>
          </w:p>
        </w:tc>
        <w:tc>
          <w:tcPr>
            <w:tcW w:w="6804" w:type="dxa"/>
          </w:tcPr>
          <w:p w:rsidR="00804F08" w:rsidRPr="00804F08" w:rsidRDefault="00804F08" w:rsidP="00D0316A">
            <w:pPr>
              <w:tabs>
                <w:tab w:val="left" w:pos="0"/>
              </w:tabs>
              <w:jc w:val="both"/>
              <w:rPr>
                <w:rFonts w:asciiTheme="minorHAnsi" w:hAnsiTheme="minorHAnsi" w:cstheme="minorHAnsi"/>
                <w:bCs/>
                <w:sz w:val="18"/>
                <w:szCs w:val="18"/>
              </w:rPr>
            </w:pPr>
          </w:p>
        </w:tc>
        <w:tc>
          <w:tcPr>
            <w:tcW w:w="3402" w:type="dxa"/>
            <w:gridSpan w:val="3"/>
            <w:shd w:val="clear" w:color="auto" w:fill="D9D9D9" w:themeFill="background1" w:themeFillShade="D9"/>
            <w:vAlign w:val="center"/>
          </w:tcPr>
          <w:p w:rsidR="00804F08" w:rsidRPr="00804F08" w:rsidRDefault="00804F08" w:rsidP="00E424D5">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201</w:t>
            </w:r>
            <w:r w:rsidR="00E424D5">
              <w:rPr>
                <w:rFonts w:asciiTheme="minorHAnsi" w:hAnsiTheme="minorHAnsi" w:cstheme="minorHAnsi"/>
                <w:b/>
                <w:bCs/>
                <w:sz w:val="18"/>
                <w:szCs w:val="18"/>
              </w:rPr>
              <w:t>9</w:t>
            </w:r>
            <w:r w:rsidRPr="00804F08">
              <w:rPr>
                <w:rFonts w:asciiTheme="minorHAnsi" w:hAnsiTheme="minorHAnsi" w:cstheme="minorHAnsi"/>
                <w:b/>
                <w:bCs/>
                <w:sz w:val="18"/>
                <w:szCs w:val="18"/>
              </w:rPr>
              <w:t>-</w:t>
            </w:r>
            <w:r w:rsidR="00E424D5">
              <w:rPr>
                <w:rFonts w:asciiTheme="minorHAnsi" w:hAnsiTheme="minorHAnsi" w:cstheme="minorHAnsi"/>
                <w:b/>
                <w:bCs/>
                <w:sz w:val="18"/>
                <w:szCs w:val="18"/>
              </w:rPr>
              <w:t>20</w:t>
            </w:r>
          </w:p>
        </w:tc>
      </w:tr>
      <w:tr w:rsidR="00804F08" w:rsidRPr="00804F08" w:rsidTr="003B5F7F">
        <w:trPr>
          <w:trHeight w:val="283"/>
          <w:tblHeader/>
        </w:trPr>
        <w:tc>
          <w:tcPr>
            <w:tcW w:w="1317" w:type="dxa"/>
            <w:tcBorders>
              <w:bottom w:val="single" w:sz="4" w:space="0" w:color="auto"/>
            </w:tcBorders>
          </w:tcPr>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rsidR="00804F08" w:rsidRPr="00804F08" w:rsidRDefault="00804F08" w:rsidP="00D0316A">
            <w:pPr>
              <w:tabs>
                <w:tab w:val="left" w:pos="0"/>
              </w:tabs>
              <w:jc w:val="right"/>
              <w:rPr>
                <w:rFonts w:asciiTheme="minorHAnsi" w:hAnsiTheme="minorHAnsi" w:cstheme="minorHAnsi"/>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6804" w:type="dxa"/>
          </w:tcPr>
          <w:p w:rsidR="00804F08" w:rsidRPr="00804F08" w:rsidRDefault="00804F08" w:rsidP="00D0316A">
            <w:pPr>
              <w:tabs>
                <w:tab w:val="left" w:pos="0"/>
              </w:tabs>
              <w:jc w:val="both"/>
              <w:rPr>
                <w:rFonts w:asciiTheme="minorHAnsi" w:hAnsiTheme="minorHAnsi" w:cstheme="minorHAnsi"/>
                <w:bCs/>
                <w:sz w:val="18"/>
                <w:szCs w:val="18"/>
              </w:rPr>
            </w:pPr>
          </w:p>
        </w:tc>
        <w:tc>
          <w:tcPr>
            <w:tcW w:w="1134" w:type="dxa"/>
            <w:tcBorders>
              <w:bottom w:val="single" w:sz="4" w:space="0" w:color="auto"/>
            </w:tcBorders>
            <w:shd w:val="clear" w:color="auto" w:fill="D9D9D9" w:themeFill="background1" w:themeFillShade="D9"/>
          </w:tcPr>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r>
      <w:tr w:rsidR="00804F08" w:rsidRPr="00804F08" w:rsidTr="00D0316A">
        <w:trPr>
          <w:trHeight w:val="358"/>
        </w:trPr>
        <w:tc>
          <w:tcPr>
            <w:tcW w:w="13791" w:type="dxa"/>
            <w:gridSpan w:val="7"/>
            <w:shd w:val="clear" w:color="auto" w:fill="D9D9D9" w:themeFill="background1" w:themeFillShade="D9"/>
            <w:vAlign w:val="center"/>
          </w:tcPr>
          <w:p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Adjustments to Revenue Resources</w:t>
            </w:r>
          </w:p>
        </w:tc>
      </w:tr>
      <w:tr w:rsidR="00804F08" w:rsidRPr="00804F08" w:rsidTr="00D0316A">
        <w:trPr>
          <w:trHeight w:val="419"/>
        </w:trPr>
        <w:tc>
          <w:tcPr>
            <w:tcW w:w="1317" w:type="dxa"/>
          </w:tcPr>
          <w:p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rsidR="00804F08" w:rsidRPr="00804F08" w:rsidRDefault="00804F08" w:rsidP="00D0316A">
            <w:pPr>
              <w:tabs>
                <w:tab w:val="left" w:pos="0"/>
              </w:tabs>
              <w:jc w:val="both"/>
              <w:rPr>
                <w:rFonts w:asciiTheme="minorHAnsi" w:hAnsiTheme="minorHAnsi" w:cstheme="minorHAnsi"/>
                <w:bCs/>
                <w:sz w:val="18"/>
                <w:szCs w:val="18"/>
              </w:rPr>
            </w:pPr>
          </w:p>
        </w:tc>
        <w:tc>
          <w:tcPr>
            <w:tcW w:w="6804" w:type="dxa"/>
          </w:tcPr>
          <w:p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Amounts by which income and expenditure included in the Comprehensive Income and Expenditure Statement are different from revenue for the year calculated in accordance with statutory requirements:</w:t>
            </w:r>
          </w:p>
        </w:tc>
        <w:tc>
          <w:tcPr>
            <w:tcW w:w="1134" w:type="dxa"/>
            <w:shd w:val="clear" w:color="auto" w:fill="D9D9D9" w:themeFill="background1" w:themeFillShade="D9"/>
          </w:tcPr>
          <w:p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rsidR="00804F08" w:rsidRPr="00804F08" w:rsidRDefault="00804F08" w:rsidP="00D0316A">
            <w:pPr>
              <w:tabs>
                <w:tab w:val="left" w:pos="0"/>
              </w:tabs>
              <w:jc w:val="both"/>
              <w:rPr>
                <w:rFonts w:asciiTheme="minorHAnsi" w:hAnsiTheme="minorHAnsi" w:cstheme="minorHAnsi"/>
                <w:bCs/>
                <w:sz w:val="18"/>
                <w:szCs w:val="18"/>
              </w:rPr>
            </w:pPr>
          </w:p>
        </w:tc>
      </w:tr>
      <w:tr w:rsidR="001A32D9" w:rsidRPr="00804F08" w:rsidTr="00D0316A">
        <w:trPr>
          <w:trHeight w:val="283"/>
        </w:trPr>
        <w:tc>
          <w:tcPr>
            <w:tcW w:w="1317" w:type="dxa"/>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(3,408)</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Pr>
          <w:p w:rsidR="001A32D9" w:rsidRPr="00804F08" w:rsidRDefault="001A32D9" w:rsidP="00D0316A">
            <w:pPr>
              <w:pStyle w:val="Heading1"/>
              <w:numPr>
                <w:ilvl w:val="0"/>
                <w:numId w:val="60"/>
              </w:numPr>
              <w:ind w:hanging="1440"/>
              <w:jc w:val="left"/>
              <w:rPr>
                <w:rFonts w:asciiTheme="minorHAnsi" w:hAnsiTheme="minorHAnsi" w:cstheme="minorHAnsi"/>
                <w:sz w:val="18"/>
                <w:szCs w:val="18"/>
              </w:rPr>
            </w:pPr>
            <w:r w:rsidRPr="00804F08">
              <w:rPr>
                <w:rFonts w:asciiTheme="minorHAnsi" w:hAnsiTheme="minorHAnsi" w:cstheme="minorHAnsi"/>
                <w:b w:val="0"/>
                <w:sz w:val="18"/>
                <w:szCs w:val="18"/>
              </w:rPr>
              <w:t>Pensions costs (transferred to/ from the Pensions reserve)</w:t>
            </w:r>
          </w:p>
        </w:tc>
        <w:tc>
          <w:tcPr>
            <w:tcW w:w="1134" w:type="dxa"/>
            <w:shd w:val="clear" w:color="auto" w:fill="D9D9D9" w:themeFill="background1" w:themeFillShade="D9"/>
            <w:vAlign w:val="center"/>
          </w:tcPr>
          <w:p w:rsidR="001A32D9" w:rsidRPr="003C52A9" w:rsidRDefault="00A057A7" w:rsidP="00EF7AA5">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(3,</w:t>
            </w:r>
            <w:r w:rsidR="00EF7AA5" w:rsidRPr="003C52A9">
              <w:rPr>
                <w:rFonts w:asciiTheme="minorHAnsi" w:hAnsiTheme="minorHAnsi" w:cstheme="minorHAnsi"/>
                <w:bCs/>
                <w:sz w:val="18"/>
                <w:szCs w:val="18"/>
              </w:rPr>
              <w:t>549</w:t>
            </w:r>
            <w:r w:rsidRPr="003C52A9">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EA7A7D"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D0316A">
        <w:trPr>
          <w:trHeight w:val="283"/>
        </w:trPr>
        <w:tc>
          <w:tcPr>
            <w:tcW w:w="1317"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10</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Pr>
          <w:p w:rsidR="001A32D9" w:rsidRPr="00804F08" w:rsidRDefault="001A32D9" w:rsidP="00D0316A">
            <w:pPr>
              <w:pStyle w:val="Heading1"/>
              <w:numPr>
                <w:ilvl w:val="0"/>
                <w:numId w:val="59"/>
              </w:numPr>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Financial instruments (transferred to the Financial Instruments adjustments account)</w:t>
            </w:r>
          </w:p>
        </w:tc>
        <w:tc>
          <w:tcPr>
            <w:tcW w:w="1134" w:type="dxa"/>
            <w:shd w:val="clear" w:color="auto" w:fill="D9D9D9" w:themeFill="background1" w:themeFillShade="D9"/>
            <w:vAlign w:val="center"/>
          </w:tcPr>
          <w:p w:rsidR="001A32D9" w:rsidRPr="003C52A9" w:rsidRDefault="00FC044A"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11</w:t>
            </w:r>
          </w:p>
        </w:tc>
        <w:tc>
          <w:tcPr>
            <w:tcW w:w="1134" w:type="dxa"/>
            <w:shd w:val="clear" w:color="auto" w:fill="D9D9D9" w:themeFill="background1" w:themeFillShade="D9"/>
            <w:vAlign w:val="center"/>
          </w:tcPr>
          <w:p w:rsidR="001A32D9" w:rsidRPr="00D16CC2"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EA7A7D"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D0316A">
        <w:trPr>
          <w:trHeight w:val="283"/>
        </w:trPr>
        <w:tc>
          <w:tcPr>
            <w:tcW w:w="1317" w:type="dxa"/>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756</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Pr>
          <w:p w:rsidR="001A32D9" w:rsidRPr="00804F08" w:rsidRDefault="001A32D9" w:rsidP="00D0316A">
            <w:pPr>
              <w:pStyle w:val="Heading1"/>
              <w:numPr>
                <w:ilvl w:val="0"/>
                <w:numId w:val="59"/>
              </w:numPr>
              <w:tabs>
                <w:tab w:val="clear" w:pos="540"/>
              </w:tabs>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Council Tax and NDR (transfers to/ from the Collection Fund adjustment account)</w:t>
            </w:r>
          </w:p>
        </w:tc>
        <w:tc>
          <w:tcPr>
            <w:tcW w:w="1134" w:type="dxa"/>
            <w:shd w:val="clear" w:color="auto" w:fill="D9D9D9" w:themeFill="background1" w:themeFillShade="D9"/>
            <w:vAlign w:val="center"/>
          </w:tcPr>
          <w:p w:rsidR="001A32D9" w:rsidRPr="003C52A9" w:rsidRDefault="00DF56D4" w:rsidP="00FD47B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(367)</w:t>
            </w:r>
          </w:p>
        </w:tc>
        <w:tc>
          <w:tcPr>
            <w:tcW w:w="1134" w:type="dxa"/>
            <w:shd w:val="clear" w:color="auto" w:fill="D9D9D9" w:themeFill="background1" w:themeFillShade="D9"/>
            <w:vAlign w:val="center"/>
          </w:tcPr>
          <w:p w:rsidR="001A32D9" w:rsidRPr="00D16CC2"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EA7A7D"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44393D">
        <w:trPr>
          <w:trHeight w:val="283"/>
        </w:trPr>
        <w:tc>
          <w:tcPr>
            <w:tcW w:w="1317"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0</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Pr>
          <w:p w:rsidR="001A32D9" w:rsidRPr="00804F08" w:rsidRDefault="001A32D9" w:rsidP="00D0316A">
            <w:pPr>
              <w:pStyle w:val="Heading1"/>
              <w:numPr>
                <w:ilvl w:val="0"/>
                <w:numId w:val="59"/>
              </w:numPr>
              <w:ind w:hanging="720"/>
              <w:jc w:val="left"/>
              <w:rPr>
                <w:rFonts w:asciiTheme="minorHAnsi" w:hAnsiTheme="minorHAnsi" w:cstheme="minorHAnsi"/>
                <w:b w:val="0"/>
                <w:sz w:val="18"/>
                <w:szCs w:val="18"/>
              </w:rPr>
            </w:pPr>
            <w:r w:rsidRPr="00804F08">
              <w:rPr>
                <w:rFonts w:asciiTheme="minorHAnsi" w:hAnsiTheme="minorHAnsi" w:cstheme="minorHAnsi"/>
                <w:b w:val="0"/>
                <w:sz w:val="18"/>
                <w:szCs w:val="18"/>
              </w:rPr>
              <w:t>Holiday pay (transferred to the Accumulated Absences Reserve)</w:t>
            </w:r>
          </w:p>
        </w:tc>
        <w:tc>
          <w:tcPr>
            <w:tcW w:w="1134" w:type="dxa"/>
            <w:shd w:val="clear" w:color="auto" w:fill="D9D9D9" w:themeFill="background1" w:themeFillShade="D9"/>
            <w:vAlign w:val="center"/>
          </w:tcPr>
          <w:p w:rsidR="001A32D9" w:rsidRPr="003C52A9" w:rsidRDefault="00DF56D4"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0</w:t>
            </w:r>
          </w:p>
        </w:tc>
        <w:tc>
          <w:tcPr>
            <w:tcW w:w="1134" w:type="dxa"/>
            <w:shd w:val="clear" w:color="auto" w:fill="D9D9D9" w:themeFill="background1" w:themeFillShade="D9"/>
            <w:vAlign w:val="center"/>
          </w:tcPr>
          <w:p w:rsidR="001A32D9" w:rsidRPr="00D16CC2"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EA7A7D"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44393D">
        <w:trPr>
          <w:trHeight w:val="283"/>
        </w:trPr>
        <w:tc>
          <w:tcPr>
            <w:tcW w:w="1317" w:type="dxa"/>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4,326</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(4,604)</w:t>
            </w:r>
          </w:p>
        </w:tc>
        <w:tc>
          <w:tcPr>
            <w:tcW w:w="6804" w:type="dxa"/>
          </w:tcPr>
          <w:p w:rsidR="001A32D9" w:rsidRPr="004E08FC" w:rsidRDefault="001A32D9">
            <w:pPr>
              <w:pStyle w:val="Heading1"/>
              <w:numPr>
                <w:ilvl w:val="0"/>
                <w:numId w:val="59"/>
              </w:numPr>
              <w:ind w:left="243" w:hanging="243"/>
              <w:jc w:val="left"/>
              <w:rPr>
                <w:rFonts w:asciiTheme="minorHAnsi" w:hAnsiTheme="minorHAnsi" w:cstheme="minorHAnsi"/>
                <w:b w:val="0"/>
                <w:sz w:val="18"/>
                <w:szCs w:val="18"/>
              </w:rPr>
            </w:pPr>
            <w:r w:rsidRPr="005262F0">
              <w:rPr>
                <w:rFonts w:asciiTheme="minorHAnsi" w:hAnsiTheme="minorHAnsi" w:cstheme="minorHAnsi"/>
                <w:b w:val="0"/>
                <w:sz w:val="18"/>
                <w:szCs w:val="18"/>
              </w:rPr>
              <w:t>Reversal of entries included in the Surplus of Deficit on the Provision of Services in relation to capital expenditure (transferred to Capital Adjustment account)</w:t>
            </w:r>
          </w:p>
        </w:tc>
        <w:tc>
          <w:tcPr>
            <w:tcW w:w="1134" w:type="dxa"/>
            <w:shd w:val="clear" w:color="auto" w:fill="D9D9D9" w:themeFill="background1" w:themeFillShade="D9"/>
            <w:vAlign w:val="center"/>
          </w:tcPr>
          <w:p w:rsidR="001A32D9" w:rsidRPr="003C52A9" w:rsidRDefault="00DF56D4">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(930)</w:t>
            </w:r>
          </w:p>
        </w:tc>
        <w:tc>
          <w:tcPr>
            <w:tcW w:w="1134" w:type="dxa"/>
            <w:shd w:val="clear" w:color="auto" w:fill="D9D9D9" w:themeFill="background1" w:themeFillShade="D9"/>
            <w:vAlign w:val="center"/>
          </w:tcPr>
          <w:p w:rsidR="001A32D9" w:rsidRPr="00D16CC2" w:rsidRDefault="006B5CBD"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D70A30" w:rsidP="008072D2">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(3,011)</w:t>
            </w:r>
          </w:p>
        </w:tc>
      </w:tr>
      <w:tr w:rsidR="001A32D9" w:rsidRPr="00804F08" w:rsidTr="00D0316A">
        <w:trPr>
          <w:trHeight w:val="283"/>
        </w:trPr>
        <w:tc>
          <w:tcPr>
            <w:tcW w:w="1317" w:type="dxa"/>
            <w:tcBorders>
              <w:bottom w:val="single" w:sz="4" w:space="0" w:color="auto"/>
            </w:tcBorders>
            <w:vAlign w:val="center"/>
          </w:tcPr>
          <w:p w:rsidR="001A32D9" w:rsidRPr="00C9777D"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20</w:t>
            </w:r>
          </w:p>
        </w:tc>
        <w:tc>
          <w:tcPr>
            <w:tcW w:w="1134" w:type="dxa"/>
            <w:tcBorders>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tcBorders>
              <w:bottom w:val="single" w:sz="4" w:space="0" w:color="auto"/>
            </w:tcBorders>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Borders>
              <w:bottom w:val="single" w:sz="4" w:space="0" w:color="auto"/>
            </w:tcBorders>
          </w:tcPr>
          <w:p w:rsidR="001A32D9" w:rsidRPr="005262F0" w:rsidRDefault="001A32D9" w:rsidP="00D0316A">
            <w:pPr>
              <w:pStyle w:val="Heading1"/>
              <w:numPr>
                <w:ilvl w:val="0"/>
                <w:numId w:val="59"/>
              </w:numPr>
              <w:ind w:left="243" w:hanging="243"/>
              <w:jc w:val="left"/>
              <w:rPr>
                <w:rFonts w:asciiTheme="minorHAnsi" w:hAnsiTheme="minorHAnsi" w:cstheme="minorHAnsi"/>
                <w:b w:val="0"/>
                <w:sz w:val="18"/>
                <w:szCs w:val="18"/>
              </w:rPr>
            </w:pPr>
            <w:r w:rsidRPr="00BA1D2D">
              <w:rPr>
                <w:rFonts w:asciiTheme="minorHAnsi" w:hAnsiTheme="minorHAnsi" w:cstheme="minorHAnsi"/>
                <w:b w:val="0"/>
                <w:sz w:val="18"/>
                <w:szCs w:val="18"/>
              </w:rPr>
              <w:t>Reversal of changes in fair value measurement of relevant financial assets</w:t>
            </w:r>
          </w:p>
        </w:tc>
        <w:tc>
          <w:tcPr>
            <w:tcW w:w="1134" w:type="dxa"/>
            <w:tcBorders>
              <w:bottom w:val="single" w:sz="4" w:space="0" w:color="auto"/>
            </w:tcBorders>
            <w:shd w:val="clear" w:color="auto" w:fill="D9D9D9" w:themeFill="background1" w:themeFillShade="D9"/>
            <w:vAlign w:val="center"/>
          </w:tcPr>
          <w:p w:rsidR="001A32D9" w:rsidRPr="003C52A9" w:rsidRDefault="000D2866" w:rsidP="000F507E">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(3,906)</w:t>
            </w:r>
          </w:p>
        </w:tc>
        <w:tc>
          <w:tcPr>
            <w:tcW w:w="1134" w:type="dxa"/>
            <w:tcBorders>
              <w:bottom w:val="single" w:sz="4" w:space="0" w:color="auto"/>
            </w:tcBorders>
            <w:shd w:val="clear" w:color="auto" w:fill="D9D9D9" w:themeFill="background1" w:themeFillShade="D9"/>
            <w:vAlign w:val="center"/>
          </w:tcPr>
          <w:p w:rsidR="001A32D9" w:rsidRPr="00D16CC2"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rsidR="001A32D9" w:rsidRPr="00D16CC2" w:rsidRDefault="000D2866" w:rsidP="001458BB">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D0316A">
        <w:trPr>
          <w:trHeight w:val="283"/>
        </w:trPr>
        <w:tc>
          <w:tcPr>
            <w:tcW w:w="1317" w:type="dxa"/>
            <w:tcBorders>
              <w:top w:val="single" w:sz="4" w:space="0" w:color="auto"/>
              <w:bottom w:val="single" w:sz="4" w:space="0" w:color="auto"/>
            </w:tcBorders>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1,704</w:t>
            </w:r>
          </w:p>
        </w:tc>
        <w:tc>
          <w:tcPr>
            <w:tcW w:w="1134" w:type="dxa"/>
            <w:tcBorders>
              <w:top w:val="single" w:sz="4" w:space="0" w:color="auto"/>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tcBorders>
              <w:top w:val="single" w:sz="4" w:space="0" w:color="auto"/>
              <w:bottom w:val="single" w:sz="4" w:space="0" w:color="auto"/>
            </w:tcBorders>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(4,604)</w:t>
            </w:r>
          </w:p>
        </w:tc>
        <w:tc>
          <w:tcPr>
            <w:tcW w:w="6804" w:type="dxa"/>
            <w:tcBorders>
              <w:top w:val="single" w:sz="4" w:space="0" w:color="auto"/>
              <w:bottom w:val="single" w:sz="4" w:space="0" w:color="auto"/>
            </w:tcBorders>
            <w:vAlign w:val="center"/>
          </w:tcPr>
          <w:p w:rsidR="001A32D9" w:rsidRPr="00804F08" w:rsidRDefault="001A32D9"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Total Adjustments to Revenue Resources</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3C52A9" w:rsidRDefault="00DF56D4" w:rsidP="00EF7AA5">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(8,</w:t>
            </w:r>
            <w:r w:rsidR="00EF7AA5" w:rsidRPr="003C52A9">
              <w:rPr>
                <w:rFonts w:asciiTheme="minorHAnsi" w:hAnsiTheme="minorHAnsi" w:cstheme="minorHAnsi"/>
                <w:bCs/>
                <w:sz w:val="18"/>
                <w:szCs w:val="18"/>
              </w:rPr>
              <w:t>741)</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D16CC2"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D16CC2" w:rsidRDefault="009E3500" w:rsidP="00D70A30">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r w:rsidR="00D70A30">
              <w:rPr>
                <w:rFonts w:asciiTheme="minorHAnsi" w:hAnsiTheme="minorHAnsi" w:cstheme="minorHAnsi"/>
                <w:bCs/>
                <w:sz w:val="18"/>
                <w:szCs w:val="18"/>
              </w:rPr>
              <w:t>3,011</w:t>
            </w:r>
            <w:r>
              <w:rPr>
                <w:rFonts w:asciiTheme="minorHAnsi" w:hAnsiTheme="minorHAnsi" w:cstheme="minorHAnsi"/>
                <w:bCs/>
                <w:sz w:val="18"/>
                <w:szCs w:val="18"/>
              </w:rPr>
              <w:t>)</w:t>
            </w:r>
          </w:p>
        </w:tc>
      </w:tr>
      <w:tr w:rsidR="001A32D9" w:rsidRPr="00804F08" w:rsidTr="00D0316A">
        <w:trPr>
          <w:trHeight w:val="369"/>
        </w:trPr>
        <w:tc>
          <w:tcPr>
            <w:tcW w:w="13791" w:type="dxa"/>
            <w:gridSpan w:val="7"/>
            <w:tcBorders>
              <w:top w:val="single" w:sz="4" w:space="0" w:color="auto"/>
            </w:tcBorders>
            <w:shd w:val="clear" w:color="auto" w:fill="D9D9D9" w:themeFill="background1" w:themeFillShade="D9"/>
            <w:vAlign w:val="center"/>
          </w:tcPr>
          <w:p w:rsidR="001A32D9" w:rsidRPr="003C52A9" w:rsidRDefault="001A32D9" w:rsidP="00D0316A">
            <w:pPr>
              <w:tabs>
                <w:tab w:val="left" w:pos="0"/>
              </w:tabs>
              <w:rPr>
                <w:rFonts w:asciiTheme="minorHAnsi" w:hAnsiTheme="minorHAnsi" w:cstheme="minorHAnsi"/>
                <w:b/>
                <w:bCs/>
                <w:sz w:val="18"/>
                <w:szCs w:val="18"/>
              </w:rPr>
            </w:pPr>
            <w:r w:rsidRPr="003C52A9">
              <w:rPr>
                <w:rFonts w:asciiTheme="minorHAnsi" w:hAnsiTheme="minorHAnsi" w:cstheme="minorHAnsi"/>
                <w:b/>
                <w:bCs/>
                <w:sz w:val="18"/>
                <w:szCs w:val="18"/>
              </w:rPr>
              <w:t>Adjustments between Revenue and Capital Resources</w:t>
            </w:r>
          </w:p>
        </w:tc>
      </w:tr>
      <w:tr w:rsidR="001A32D9" w:rsidRPr="00804F08" w:rsidTr="00D0316A">
        <w:trPr>
          <w:trHeight w:val="283"/>
        </w:trPr>
        <w:tc>
          <w:tcPr>
            <w:tcW w:w="1317" w:type="dxa"/>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1,656</w:t>
            </w:r>
          </w:p>
        </w:tc>
        <w:tc>
          <w:tcPr>
            <w:tcW w:w="1134" w:type="dxa"/>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(1,656)</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Pr>
          <w:p w:rsidR="001A32D9" w:rsidRPr="00804F08" w:rsidRDefault="001A32D9"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Transfer of non-current asset sale proceeds from revenue to the Capital Receipts reserve</w:t>
            </w:r>
          </w:p>
        </w:tc>
        <w:tc>
          <w:tcPr>
            <w:tcW w:w="1134" w:type="dxa"/>
            <w:shd w:val="clear" w:color="auto" w:fill="D9D9D9" w:themeFill="background1" w:themeFillShade="D9"/>
            <w:vAlign w:val="center"/>
          </w:tcPr>
          <w:p w:rsidR="001A32D9" w:rsidRPr="003C52A9" w:rsidRDefault="009D1942" w:rsidP="006934D9">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244</w:t>
            </w:r>
          </w:p>
        </w:tc>
        <w:tc>
          <w:tcPr>
            <w:tcW w:w="1134" w:type="dxa"/>
            <w:shd w:val="clear" w:color="auto" w:fill="D9D9D9" w:themeFill="background1" w:themeFillShade="D9"/>
            <w:vAlign w:val="center"/>
          </w:tcPr>
          <w:p w:rsidR="001A32D9" w:rsidRPr="00D16CC2" w:rsidRDefault="009D1942" w:rsidP="006934D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(244)</w:t>
            </w:r>
          </w:p>
        </w:tc>
        <w:tc>
          <w:tcPr>
            <w:tcW w:w="1134" w:type="dxa"/>
            <w:shd w:val="clear" w:color="auto" w:fill="D9D9D9" w:themeFill="background1" w:themeFillShade="D9"/>
            <w:vAlign w:val="center"/>
          </w:tcPr>
          <w:p w:rsidR="001A32D9" w:rsidRPr="00D16CC2" w:rsidRDefault="009D1942"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D0316A">
        <w:trPr>
          <w:trHeight w:val="283"/>
        </w:trPr>
        <w:tc>
          <w:tcPr>
            <w:tcW w:w="1317" w:type="dxa"/>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(4)</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4</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Pr>
          <w:p w:rsidR="001A32D9" w:rsidRPr="00804F08" w:rsidRDefault="001A32D9"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Administrative costs of non-current asset disposals (funded from a contribution from the Capital Receipts reserve)</w:t>
            </w:r>
          </w:p>
        </w:tc>
        <w:tc>
          <w:tcPr>
            <w:tcW w:w="1134" w:type="dxa"/>
            <w:shd w:val="clear" w:color="auto" w:fill="D9D9D9" w:themeFill="background1" w:themeFillShade="D9"/>
            <w:vAlign w:val="center"/>
          </w:tcPr>
          <w:p w:rsidR="001A32D9" w:rsidRPr="003C52A9" w:rsidRDefault="009D1942" w:rsidP="00C208D2">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9D1942"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9D1942"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D0316A">
        <w:trPr>
          <w:trHeight w:val="283"/>
        </w:trPr>
        <w:tc>
          <w:tcPr>
            <w:tcW w:w="1317"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29</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Pr>
          <w:p w:rsidR="001A32D9" w:rsidRPr="00804F08" w:rsidRDefault="001A32D9"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Statutory provision for the repayment of debt (transfer from the Capital Adjustment Account)</w:t>
            </w:r>
          </w:p>
        </w:tc>
        <w:tc>
          <w:tcPr>
            <w:tcW w:w="1134" w:type="dxa"/>
            <w:shd w:val="clear" w:color="auto" w:fill="D9D9D9" w:themeFill="background1" w:themeFillShade="D9"/>
            <w:vAlign w:val="center"/>
          </w:tcPr>
          <w:p w:rsidR="001A32D9" w:rsidRPr="003C52A9" w:rsidRDefault="009D1942" w:rsidP="002D21A2">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6</w:t>
            </w:r>
          </w:p>
        </w:tc>
        <w:tc>
          <w:tcPr>
            <w:tcW w:w="1134" w:type="dxa"/>
            <w:shd w:val="clear" w:color="auto" w:fill="D9D9D9" w:themeFill="background1" w:themeFillShade="D9"/>
            <w:vAlign w:val="center"/>
          </w:tcPr>
          <w:p w:rsidR="001A32D9" w:rsidRPr="00D16CC2" w:rsidRDefault="009D1942"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D16CC2" w:rsidRDefault="009D1942"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D0316A">
        <w:trPr>
          <w:trHeight w:val="283"/>
        </w:trPr>
        <w:tc>
          <w:tcPr>
            <w:tcW w:w="1317" w:type="dxa"/>
            <w:tcBorders>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1,396</w:t>
            </w:r>
          </w:p>
        </w:tc>
        <w:tc>
          <w:tcPr>
            <w:tcW w:w="1134" w:type="dxa"/>
            <w:tcBorders>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1134" w:type="dxa"/>
            <w:tcBorders>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w:t>
            </w:r>
          </w:p>
        </w:tc>
        <w:tc>
          <w:tcPr>
            <w:tcW w:w="6804" w:type="dxa"/>
            <w:tcBorders>
              <w:bottom w:val="single" w:sz="4" w:space="0" w:color="auto"/>
            </w:tcBorders>
          </w:tcPr>
          <w:p w:rsidR="001A32D9" w:rsidRPr="00804F08" w:rsidRDefault="001A32D9"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Capital Expenditure financed from revenue (transfer to the Capital Adjustment Account)</w:t>
            </w:r>
          </w:p>
        </w:tc>
        <w:tc>
          <w:tcPr>
            <w:tcW w:w="1134" w:type="dxa"/>
            <w:tcBorders>
              <w:bottom w:val="single" w:sz="4" w:space="0" w:color="auto"/>
            </w:tcBorders>
            <w:shd w:val="clear" w:color="auto" w:fill="D9D9D9" w:themeFill="background1" w:themeFillShade="D9"/>
            <w:vAlign w:val="center"/>
          </w:tcPr>
          <w:p w:rsidR="001A32D9" w:rsidRPr="003C52A9" w:rsidRDefault="009D1942" w:rsidP="002D21A2">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2,332</w:t>
            </w:r>
          </w:p>
        </w:tc>
        <w:tc>
          <w:tcPr>
            <w:tcW w:w="1134" w:type="dxa"/>
            <w:tcBorders>
              <w:bottom w:val="single" w:sz="4" w:space="0" w:color="auto"/>
            </w:tcBorders>
            <w:shd w:val="clear" w:color="auto" w:fill="D9D9D9" w:themeFill="background1" w:themeFillShade="D9"/>
            <w:vAlign w:val="center"/>
          </w:tcPr>
          <w:p w:rsidR="001A32D9" w:rsidRPr="00D16CC2" w:rsidRDefault="009D1942"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rsidR="001A32D9" w:rsidRPr="00D16CC2" w:rsidRDefault="009D1942"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D0316A">
        <w:trPr>
          <w:trHeight w:val="283"/>
        </w:trPr>
        <w:tc>
          <w:tcPr>
            <w:tcW w:w="1317" w:type="dxa"/>
            <w:tcBorders>
              <w:top w:val="single" w:sz="4" w:space="0" w:color="auto"/>
              <w:bottom w:val="single" w:sz="4" w:space="0" w:color="auto"/>
            </w:tcBorders>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3,077</w:t>
            </w:r>
          </w:p>
        </w:tc>
        <w:tc>
          <w:tcPr>
            <w:tcW w:w="1134" w:type="dxa"/>
            <w:tcBorders>
              <w:top w:val="single" w:sz="4" w:space="0" w:color="auto"/>
              <w:bottom w:val="single" w:sz="4" w:space="0" w:color="auto"/>
            </w:tcBorders>
            <w:vAlign w:val="center"/>
          </w:tcPr>
          <w:p w:rsidR="001A32D9" w:rsidRPr="00804F08" w:rsidRDefault="001A32D9" w:rsidP="00D3783F">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(1,652)</w:t>
            </w:r>
          </w:p>
        </w:tc>
        <w:tc>
          <w:tcPr>
            <w:tcW w:w="1134" w:type="dxa"/>
            <w:tcBorders>
              <w:top w:val="single" w:sz="4" w:space="0" w:color="auto"/>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D16CC2">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rsidR="001A32D9" w:rsidRPr="00804F08" w:rsidRDefault="001A32D9"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 xml:space="preserve">Total adjustments between Revenue and Capital Resources </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3C52A9" w:rsidRDefault="00874512" w:rsidP="008072D2">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2,582</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D16CC2" w:rsidRDefault="00874512" w:rsidP="006934D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(244)</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D16CC2"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r>
      <w:tr w:rsidR="001A32D9" w:rsidRPr="00804F08" w:rsidTr="00D0316A">
        <w:trPr>
          <w:trHeight w:val="333"/>
        </w:trPr>
        <w:tc>
          <w:tcPr>
            <w:tcW w:w="13791" w:type="dxa"/>
            <w:gridSpan w:val="7"/>
            <w:shd w:val="clear" w:color="auto" w:fill="D9D9D9" w:themeFill="background1" w:themeFillShade="D9"/>
            <w:vAlign w:val="center"/>
          </w:tcPr>
          <w:p w:rsidR="001A32D9" w:rsidRPr="003C52A9" w:rsidRDefault="001A32D9" w:rsidP="00D0316A">
            <w:pPr>
              <w:tabs>
                <w:tab w:val="left" w:pos="0"/>
              </w:tabs>
              <w:rPr>
                <w:rFonts w:asciiTheme="minorHAnsi" w:hAnsiTheme="minorHAnsi" w:cstheme="minorHAnsi"/>
                <w:b/>
                <w:bCs/>
                <w:sz w:val="18"/>
                <w:szCs w:val="18"/>
              </w:rPr>
            </w:pPr>
            <w:r w:rsidRPr="003C52A9">
              <w:rPr>
                <w:rFonts w:asciiTheme="minorHAnsi" w:hAnsiTheme="minorHAnsi" w:cstheme="minorHAnsi"/>
                <w:b/>
                <w:bCs/>
                <w:sz w:val="18"/>
                <w:szCs w:val="18"/>
              </w:rPr>
              <w:t>Adjustments to Capital Resources</w:t>
            </w:r>
          </w:p>
        </w:tc>
      </w:tr>
      <w:tr w:rsidR="001A32D9" w:rsidRPr="00804F08" w:rsidTr="0054631F">
        <w:trPr>
          <w:trHeight w:val="283"/>
        </w:trPr>
        <w:tc>
          <w:tcPr>
            <w:tcW w:w="1317"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w:t>
            </w:r>
          </w:p>
        </w:tc>
        <w:tc>
          <w:tcPr>
            <w:tcW w:w="1134" w:type="dxa"/>
            <w:vAlign w:val="center"/>
          </w:tcPr>
          <w:p w:rsidR="001A32D9" w:rsidRPr="00804F08" w:rsidRDefault="001A32D9" w:rsidP="00D3783F">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147</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w:t>
            </w:r>
          </w:p>
        </w:tc>
        <w:tc>
          <w:tcPr>
            <w:tcW w:w="6804" w:type="dxa"/>
          </w:tcPr>
          <w:p w:rsidR="001A32D9" w:rsidRPr="00804F08" w:rsidRDefault="001A32D9" w:rsidP="00D0316A">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Use of the Capital Receipts Reserve to finance capital expenditure</w:t>
            </w:r>
          </w:p>
        </w:tc>
        <w:tc>
          <w:tcPr>
            <w:tcW w:w="1134" w:type="dxa"/>
            <w:shd w:val="clear" w:color="auto" w:fill="D9D9D9" w:themeFill="background1" w:themeFillShade="D9"/>
            <w:vAlign w:val="center"/>
          </w:tcPr>
          <w:p w:rsidR="001A32D9" w:rsidRPr="003C52A9" w:rsidRDefault="00E812FF"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F51A24" w:rsidRDefault="00E812FF" w:rsidP="00C208D2">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27</w:t>
            </w:r>
          </w:p>
        </w:tc>
        <w:tc>
          <w:tcPr>
            <w:tcW w:w="1134" w:type="dxa"/>
            <w:shd w:val="clear" w:color="auto" w:fill="D9D9D9" w:themeFill="background1" w:themeFillShade="D9"/>
            <w:vAlign w:val="center"/>
          </w:tcPr>
          <w:p w:rsidR="001A32D9" w:rsidRPr="00F51A24" w:rsidRDefault="00E812FF"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54631F">
        <w:trPr>
          <w:trHeight w:val="283"/>
        </w:trPr>
        <w:tc>
          <w:tcPr>
            <w:tcW w:w="1317"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rsidR="001A32D9" w:rsidRPr="00804F08" w:rsidRDefault="001A32D9" w:rsidP="00D0316A">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Application of capital grants to finance capital expenditure</w:t>
            </w:r>
          </w:p>
        </w:tc>
        <w:tc>
          <w:tcPr>
            <w:tcW w:w="1134" w:type="dxa"/>
            <w:shd w:val="clear" w:color="auto" w:fill="D9D9D9" w:themeFill="background1" w:themeFillShade="D9"/>
            <w:vAlign w:val="center"/>
          </w:tcPr>
          <w:p w:rsidR="001A32D9" w:rsidRPr="003C52A9" w:rsidRDefault="00E812FF"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F51A24" w:rsidRDefault="00E812FF"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F51A24" w:rsidRDefault="00D70A30" w:rsidP="00D70A30">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2,166</w:t>
            </w:r>
          </w:p>
        </w:tc>
      </w:tr>
      <w:tr w:rsidR="001A32D9" w:rsidRPr="00804F08" w:rsidTr="0054631F">
        <w:trPr>
          <w:trHeight w:val="283"/>
        </w:trPr>
        <w:tc>
          <w:tcPr>
            <w:tcW w:w="1317"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(27)</w:t>
            </w:r>
          </w:p>
        </w:tc>
        <w:tc>
          <w:tcPr>
            <w:tcW w:w="1134" w:type="dxa"/>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w:t>
            </w:r>
          </w:p>
        </w:tc>
        <w:tc>
          <w:tcPr>
            <w:tcW w:w="6804" w:type="dxa"/>
          </w:tcPr>
          <w:p w:rsidR="001A32D9" w:rsidRPr="00804F08" w:rsidRDefault="001A32D9" w:rsidP="00D0316A">
            <w:pPr>
              <w:tabs>
                <w:tab w:val="left" w:pos="0"/>
              </w:tabs>
              <w:jc w:val="both"/>
              <w:rPr>
                <w:rFonts w:asciiTheme="minorHAnsi" w:hAnsiTheme="minorHAnsi" w:cstheme="minorHAnsi"/>
                <w:bCs/>
                <w:sz w:val="18"/>
                <w:szCs w:val="18"/>
              </w:rPr>
            </w:pPr>
            <w:r>
              <w:rPr>
                <w:rFonts w:asciiTheme="minorHAnsi" w:hAnsiTheme="minorHAnsi" w:cstheme="minorHAnsi"/>
                <w:bCs/>
                <w:sz w:val="18"/>
                <w:szCs w:val="18"/>
              </w:rPr>
              <w:t>Cash payments in relation to Debtors</w:t>
            </w:r>
          </w:p>
        </w:tc>
        <w:tc>
          <w:tcPr>
            <w:tcW w:w="1134" w:type="dxa"/>
            <w:shd w:val="clear" w:color="auto" w:fill="D9D9D9" w:themeFill="background1" w:themeFillShade="D9"/>
            <w:vAlign w:val="center"/>
          </w:tcPr>
          <w:p w:rsidR="001A32D9" w:rsidRPr="003C52A9" w:rsidRDefault="009E350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F51A24" w:rsidRDefault="009E3500" w:rsidP="00FC044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r w:rsidR="00FC044A">
              <w:rPr>
                <w:rFonts w:asciiTheme="minorHAnsi" w:hAnsiTheme="minorHAnsi" w:cstheme="minorHAnsi"/>
                <w:bCs/>
                <w:sz w:val="18"/>
                <w:szCs w:val="18"/>
              </w:rPr>
              <w:t>24</w:t>
            </w:r>
            <w:r>
              <w:rPr>
                <w:rFonts w:asciiTheme="minorHAnsi" w:hAnsiTheme="minorHAnsi" w:cstheme="minorHAnsi"/>
                <w:bCs/>
                <w:sz w:val="18"/>
                <w:szCs w:val="18"/>
              </w:rPr>
              <w:t>)</w:t>
            </w:r>
          </w:p>
        </w:tc>
        <w:tc>
          <w:tcPr>
            <w:tcW w:w="1134" w:type="dxa"/>
            <w:shd w:val="clear" w:color="auto" w:fill="D9D9D9" w:themeFill="background1" w:themeFillShade="D9"/>
            <w:vAlign w:val="center"/>
          </w:tcPr>
          <w:p w:rsidR="001A32D9" w:rsidRPr="00F51A24"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54631F">
        <w:trPr>
          <w:trHeight w:val="283"/>
        </w:trPr>
        <w:tc>
          <w:tcPr>
            <w:tcW w:w="1317" w:type="dxa"/>
            <w:tcBorders>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w:t>
            </w:r>
          </w:p>
        </w:tc>
        <w:tc>
          <w:tcPr>
            <w:tcW w:w="1134" w:type="dxa"/>
            <w:tcBorders>
              <w:bottom w:val="single" w:sz="4" w:space="0" w:color="auto"/>
            </w:tcBorders>
            <w:vAlign w:val="center"/>
          </w:tcPr>
          <w:p w:rsidR="001A32D9" w:rsidRPr="00804F08" w:rsidRDefault="001A32D9" w:rsidP="00D3783F">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(35)</w:t>
            </w:r>
          </w:p>
        </w:tc>
        <w:tc>
          <w:tcPr>
            <w:tcW w:w="1134" w:type="dxa"/>
            <w:tcBorders>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w:t>
            </w:r>
          </w:p>
        </w:tc>
        <w:tc>
          <w:tcPr>
            <w:tcW w:w="6804" w:type="dxa"/>
            <w:tcBorders>
              <w:bottom w:val="single" w:sz="4" w:space="0" w:color="auto"/>
            </w:tcBorders>
          </w:tcPr>
          <w:p w:rsidR="001A32D9" w:rsidRPr="00804F08" w:rsidRDefault="001A32D9" w:rsidP="00D0316A">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Cash payments in relation to deferred capital receipts</w:t>
            </w:r>
          </w:p>
        </w:tc>
        <w:tc>
          <w:tcPr>
            <w:tcW w:w="1134" w:type="dxa"/>
            <w:tcBorders>
              <w:bottom w:val="single" w:sz="4" w:space="0" w:color="auto"/>
            </w:tcBorders>
            <w:shd w:val="clear" w:color="auto" w:fill="D9D9D9" w:themeFill="background1" w:themeFillShade="D9"/>
            <w:vAlign w:val="center"/>
          </w:tcPr>
          <w:p w:rsidR="001A32D9" w:rsidRPr="003C52A9" w:rsidRDefault="00E812FF"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rsidR="001A32D9" w:rsidRPr="00F51A24" w:rsidRDefault="00E812FF" w:rsidP="00E812F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(35)</w:t>
            </w:r>
          </w:p>
        </w:tc>
        <w:tc>
          <w:tcPr>
            <w:tcW w:w="1134" w:type="dxa"/>
            <w:tcBorders>
              <w:bottom w:val="single" w:sz="4" w:space="0" w:color="auto"/>
            </w:tcBorders>
            <w:shd w:val="clear" w:color="auto" w:fill="D9D9D9" w:themeFill="background1" w:themeFillShade="D9"/>
            <w:vAlign w:val="center"/>
          </w:tcPr>
          <w:p w:rsidR="001A32D9" w:rsidRPr="00F51A24" w:rsidRDefault="00E812FF"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1A32D9" w:rsidRPr="00804F08" w:rsidTr="0054631F">
        <w:trPr>
          <w:trHeight w:val="283"/>
        </w:trPr>
        <w:tc>
          <w:tcPr>
            <w:tcW w:w="1317" w:type="dxa"/>
            <w:tcBorders>
              <w:top w:val="single" w:sz="4" w:space="0" w:color="auto"/>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0</w:t>
            </w:r>
          </w:p>
        </w:tc>
        <w:tc>
          <w:tcPr>
            <w:tcW w:w="1134" w:type="dxa"/>
            <w:tcBorders>
              <w:top w:val="single" w:sz="4" w:space="0" w:color="auto"/>
              <w:bottom w:val="single" w:sz="4" w:space="0" w:color="auto"/>
            </w:tcBorders>
            <w:vAlign w:val="center"/>
          </w:tcPr>
          <w:p w:rsidR="001A32D9" w:rsidRPr="00804F08" w:rsidRDefault="001A32D9" w:rsidP="00D3783F">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85</w:t>
            </w:r>
          </w:p>
        </w:tc>
        <w:tc>
          <w:tcPr>
            <w:tcW w:w="1134" w:type="dxa"/>
            <w:tcBorders>
              <w:top w:val="single" w:sz="4" w:space="0" w:color="auto"/>
              <w:bottom w:val="single" w:sz="4" w:space="0" w:color="auto"/>
            </w:tcBorders>
            <w:vAlign w:val="center"/>
          </w:tcPr>
          <w:p w:rsidR="001A32D9" w:rsidRPr="00804F08" w:rsidRDefault="001A32D9" w:rsidP="00D0316A">
            <w:pPr>
              <w:tabs>
                <w:tab w:val="left" w:pos="0"/>
              </w:tabs>
              <w:jc w:val="right"/>
              <w:rPr>
                <w:rFonts w:asciiTheme="minorHAnsi" w:hAnsiTheme="minorHAnsi" w:cstheme="minorHAnsi"/>
                <w:bCs/>
                <w:sz w:val="18"/>
                <w:szCs w:val="18"/>
              </w:rPr>
            </w:pPr>
            <w:r w:rsidRPr="00F51A24">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rsidR="001A32D9" w:rsidRPr="00804F08" w:rsidRDefault="001A32D9" w:rsidP="00D0316A">
            <w:pPr>
              <w:tabs>
                <w:tab w:val="left" w:pos="0"/>
              </w:tabs>
              <w:rPr>
                <w:rFonts w:asciiTheme="minorHAnsi" w:hAnsiTheme="minorHAnsi" w:cstheme="minorHAnsi"/>
                <w:bCs/>
                <w:sz w:val="18"/>
                <w:szCs w:val="18"/>
              </w:rPr>
            </w:pPr>
            <w:r w:rsidRPr="00804F08">
              <w:rPr>
                <w:rFonts w:asciiTheme="minorHAnsi" w:hAnsiTheme="minorHAnsi" w:cstheme="minorHAnsi"/>
                <w:bCs/>
                <w:sz w:val="18"/>
                <w:szCs w:val="18"/>
              </w:rPr>
              <w:t>Total adjustments to Capital Resources</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3C52A9" w:rsidRDefault="009E350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F51A24" w:rsidRDefault="009E3500" w:rsidP="00FC044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r w:rsidR="00FC044A">
              <w:rPr>
                <w:rFonts w:asciiTheme="minorHAnsi" w:hAnsiTheme="minorHAnsi" w:cstheme="minorHAnsi"/>
                <w:bCs/>
                <w:sz w:val="18"/>
                <w:szCs w:val="18"/>
              </w:rPr>
              <w:t>32</w:t>
            </w:r>
            <w:r>
              <w:rPr>
                <w:rFonts w:asciiTheme="minorHAnsi" w:hAnsiTheme="minorHAnsi" w:cstheme="minorHAnsi"/>
                <w:bCs/>
                <w:sz w:val="18"/>
                <w:szCs w:val="18"/>
              </w:rPr>
              <w:t>)</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F51A24" w:rsidRDefault="009E350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r>
      <w:tr w:rsidR="001A32D9" w:rsidRPr="00804F08" w:rsidTr="00D0316A">
        <w:trPr>
          <w:trHeight w:val="283"/>
        </w:trPr>
        <w:tc>
          <w:tcPr>
            <w:tcW w:w="1317" w:type="dxa"/>
            <w:tcBorders>
              <w:top w:val="single" w:sz="4" w:space="0" w:color="auto"/>
              <w:bottom w:val="single" w:sz="4" w:space="0" w:color="auto"/>
            </w:tcBorders>
            <w:vAlign w:val="center"/>
          </w:tcPr>
          <w:p w:rsidR="001A32D9" w:rsidRPr="00804F08" w:rsidRDefault="001A32D9" w:rsidP="00816EF8">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4,781</w:t>
            </w:r>
          </w:p>
        </w:tc>
        <w:tc>
          <w:tcPr>
            <w:tcW w:w="1134" w:type="dxa"/>
            <w:tcBorders>
              <w:top w:val="single" w:sz="4" w:space="0" w:color="auto"/>
              <w:bottom w:val="single" w:sz="4" w:space="0" w:color="auto"/>
            </w:tcBorders>
            <w:vAlign w:val="center"/>
          </w:tcPr>
          <w:p w:rsidR="001A32D9" w:rsidRPr="00804F08" w:rsidRDefault="001A32D9" w:rsidP="00816EF8">
            <w:pPr>
              <w:tabs>
                <w:tab w:val="left" w:pos="0"/>
              </w:tabs>
              <w:jc w:val="right"/>
              <w:rPr>
                <w:rFonts w:asciiTheme="minorHAnsi" w:hAnsiTheme="minorHAnsi" w:cstheme="minorHAnsi"/>
                <w:b/>
                <w:bCs/>
                <w:sz w:val="18"/>
                <w:szCs w:val="18"/>
              </w:rPr>
            </w:pPr>
            <w:r w:rsidRPr="00F51A24">
              <w:rPr>
                <w:rFonts w:asciiTheme="minorHAnsi" w:hAnsiTheme="minorHAnsi" w:cstheme="minorHAnsi"/>
                <w:b/>
                <w:bCs/>
                <w:sz w:val="18"/>
                <w:szCs w:val="18"/>
              </w:rPr>
              <w:t>(1,567)</w:t>
            </w:r>
          </w:p>
        </w:tc>
        <w:tc>
          <w:tcPr>
            <w:tcW w:w="1134" w:type="dxa"/>
            <w:tcBorders>
              <w:top w:val="single" w:sz="4" w:space="0" w:color="auto"/>
              <w:bottom w:val="single" w:sz="4" w:space="0" w:color="auto"/>
            </w:tcBorders>
            <w:vAlign w:val="center"/>
          </w:tcPr>
          <w:p w:rsidR="001A32D9" w:rsidRPr="00804F08" w:rsidRDefault="001A32D9" w:rsidP="00D3783F">
            <w:pPr>
              <w:tabs>
                <w:tab w:val="left" w:pos="0"/>
              </w:tabs>
              <w:jc w:val="right"/>
              <w:rPr>
                <w:rFonts w:asciiTheme="minorHAnsi" w:hAnsiTheme="minorHAnsi" w:cstheme="minorHAnsi"/>
                <w:b/>
                <w:bCs/>
                <w:sz w:val="18"/>
                <w:szCs w:val="18"/>
              </w:rPr>
            </w:pPr>
            <w:r w:rsidRPr="00D16CC2">
              <w:rPr>
                <w:rFonts w:asciiTheme="minorHAnsi" w:hAnsiTheme="minorHAnsi" w:cstheme="minorHAnsi"/>
                <w:b/>
                <w:bCs/>
                <w:sz w:val="18"/>
                <w:szCs w:val="18"/>
              </w:rPr>
              <w:t>(4,604)</w:t>
            </w:r>
          </w:p>
        </w:tc>
        <w:tc>
          <w:tcPr>
            <w:tcW w:w="6804" w:type="dxa"/>
            <w:tcBorders>
              <w:top w:val="single" w:sz="4" w:space="0" w:color="auto"/>
              <w:bottom w:val="single" w:sz="4" w:space="0" w:color="auto"/>
            </w:tcBorders>
            <w:vAlign w:val="center"/>
          </w:tcPr>
          <w:p w:rsidR="001A32D9" w:rsidRPr="00804F08" w:rsidRDefault="001A32D9"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Total Adjustments</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3C52A9" w:rsidRDefault="00DF56D4" w:rsidP="00EF7AA5">
            <w:pPr>
              <w:tabs>
                <w:tab w:val="left" w:pos="0"/>
              </w:tabs>
              <w:jc w:val="right"/>
              <w:rPr>
                <w:rFonts w:asciiTheme="minorHAnsi" w:hAnsiTheme="minorHAnsi" w:cstheme="minorHAnsi"/>
                <w:b/>
                <w:bCs/>
                <w:sz w:val="18"/>
                <w:szCs w:val="18"/>
              </w:rPr>
            </w:pPr>
            <w:r w:rsidRPr="003C52A9">
              <w:rPr>
                <w:rFonts w:asciiTheme="minorHAnsi" w:hAnsiTheme="minorHAnsi" w:cstheme="minorHAnsi"/>
                <w:b/>
                <w:bCs/>
                <w:sz w:val="18"/>
                <w:szCs w:val="18"/>
              </w:rPr>
              <w:t>(</w:t>
            </w:r>
            <w:r w:rsidR="00EF7AA5" w:rsidRPr="003C52A9">
              <w:rPr>
                <w:rFonts w:asciiTheme="minorHAnsi" w:hAnsiTheme="minorHAnsi" w:cstheme="minorHAnsi"/>
                <w:b/>
                <w:bCs/>
                <w:sz w:val="18"/>
                <w:szCs w:val="18"/>
              </w:rPr>
              <w:t>6,159</w:t>
            </w:r>
            <w:r w:rsidRPr="003C52A9">
              <w:rPr>
                <w:rFonts w:asciiTheme="minorHAnsi" w:hAnsiTheme="minorHAnsi" w:cstheme="minorHAnsi"/>
                <w:b/>
                <w:bCs/>
                <w:sz w:val="18"/>
                <w:szCs w:val="18"/>
              </w:rPr>
              <w:t>)</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F51A24" w:rsidRDefault="009E3500" w:rsidP="00FC044A">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(2</w:t>
            </w:r>
            <w:r w:rsidR="00FC044A">
              <w:rPr>
                <w:rFonts w:asciiTheme="minorHAnsi" w:hAnsiTheme="minorHAnsi" w:cstheme="minorHAnsi"/>
                <w:b/>
                <w:bCs/>
                <w:sz w:val="18"/>
                <w:szCs w:val="18"/>
              </w:rPr>
              <w:t>76</w:t>
            </w:r>
            <w:r>
              <w:rPr>
                <w:rFonts w:asciiTheme="minorHAnsi" w:hAnsiTheme="minorHAnsi" w:cstheme="minorHAnsi"/>
                <w:b/>
                <w:bCs/>
                <w:sz w:val="18"/>
                <w:szCs w:val="18"/>
              </w:rPr>
              <w:t>)</w:t>
            </w:r>
          </w:p>
        </w:tc>
        <w:tc>
          <w:tcPr>
            <w:tcW w:w="1134" w:type="dxa"/>
            <w:tcBorders>
              <w:top w:val="single" w:sz="4" w:space="0" w:color="auto"/>
              <w:bottom w:val="single" w:sz="4" w:space="0" w:color="auto"/>
            </w:tcBorders>
            <w:shd w:val="clear" w:color="auto" w:fill="D9D9D9" w:themeFill="background1" w:themeFillShade="D9"/>
            <w:vAlign w:val="center"/>
          </w:tcPr>
          <w:p w:rsidR="001A32D9" w:rsidRPr="00F51A24" w:rsidRDefault="009E3500" w:rsidP="008072D2">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(845)</w:t>
            </w:r>
          </w:p>
        </w:tc>
      </w:tr>
    </w:tbl>
    <w:p w:rsidR="00D3783F" w:rsidRPr="00011904" w:rsidRDefault="00D3783F" w:rsidP="00011904">
      <w:pPr>
        <w:tabs>
          <w:tab w:val="left" w:pos="0"/>
        </w:tabs>
        <w:jc w:val="both"/>
        <w:rPr>
          <w:rFonts w:asciiTheme="minorHAnsi" w:hAnsiTheme="minorHAnsi" w:cstheme="minorHAnsi"/>
          <w:b/>
          <w:bCs/>
          <w:szCs w:val="22"/>
        </w:rPr>
        <w:sectPr w:rsidR="00D3783F" w:rsidRPr="00011904" w:rsidSect="00420C36">
          <w:footnotePr>
            <w:pos w:val="beneathText"/>
          </w:footnotePr>
          <w:pgSz w:w="16838" w:h="11906" w:orient="landscape" w:code="9"/>
          <w:pgMar w:top="1440" w:right="851" w:bottom="1560" w:left="1418" w:header="284" w:footer="578" w:gutter="0"/>
          <w:cols w:space="720"/>
          <w:docGrid w:linePitch="360"/>
        </w:sect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lastRenderedPageBreak/>
        <w:t>Property, Plant and Equipment</w:t>
      </w:r>
      <w:r w:rsidR="00E84C9B" w:rsidRPr="0068094B">
        <w:rPr>
          <w:rFonts w:asciiTheme="minorHAnsi" w:hAnsiTheme="minorHAnsi" w:cstheme="minorHAnsi"/>
          <w:b/>
          <w:bCs/>
          <w:szCs w:val="22"/>
        </w:rPr>
        <w:t xml:space="preserve"> </w:t>
      </w:r>
    </w:p>
    <w:tbl>
      <w:tblPr>
        <w:tblW w:w="9606" w:type="dxa"/>
        <w:tblLayout w:type="fixed"/>
        <w:tblLook w:val="0000" w:firstRow="0" w:lastRow="0" w:firstColumn="0" w:lastColumn="0" w:noHBand="0" w:noVBand="0"/>
      </w:tblPr>
      <w:tblGrid>
        <w:gridCol w:w="3227"/>
        <w:gridCol w:w="992"/>
        <w:gridCol w:w="992"/>
        <w:gridCol w:w="709"/>
        <w:gridCol w:w="1134"/>
        <w:gridCol w:w="709"/>
        <w:gridCol w:w="709"/>
        <w:gridCol w:w="1134"/>
      </w:tblGrid>
      <w:tr w:rsidR="00515981" w:rsidRPr="00056656" w:rsidTr="00003355">
        <w:trPr>
          <w:cantSplit/>
          <w:trHeight w:val="2380"/>
        </w:trPr>
        <w:tc>
          <w:tcPr>
            <w:tcW w:w="3227" w:type="dxa"/>
          </w:tcPr>
          <w:p w:rsidR="00515981" w:rsidRPr="00056656" w:rsidRDefault="00515981" w:rsidP="00551EBA">
            <w:pPr>
              <w:tabs>
                <w:tab w:val="left" w:pos="0"/>
              </w:tabs>
              <w:snapToGrid w:val="0"/>
              <w:jc w:val="both"/>
              <w:rPr>
                <w:rFonts w:asciiTheme="minorHAnsi" w:hAnsiTheme="minorHAnsi" w:cstheme="minorHAnsi"/>
                <w:sz w:val="20"/>
              </w:rPr>
            </w:pPr>
          </w:p>
        </w:tc>
        <w:tc>
          <w:tcPr>
            <w:tcW w:w="992" w:type="dxa"/>
            <w:tcBorders>
              <w:bottom w:val="single" w:sz="4" w:space="0" w:color="000000"/>
            </w:tcBorders>
            <w:textDirection w:val="btLr"/>
            <w:vAlign w:val="center"/>
          </w:tcPr>
          <w:p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Other Land and Buildings</w:t>
            </w:r>
          </w:p>
        </w:tc>
        <w:tc>
          <w:tcPr>
            <w:tcW w:w="992" w:type="dxa"/>
            <w:tcBorders>
              <w:bottom w:val="single" w:sz="4" w:space="0" w:color="000000"/>
            </w:tcBorders>
            <w:textDirection w:val="btLr"/>
            <w:vAlign w:val="center"/>
          </w:tcPr>
          <w:p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Vehicles, Plant,  Furniture &amp; Equipment</w:t>
            </w:r>
          </w:p>
        </w:tc>
        <w:tc>
          <w:tcPr>
            <w:tcW w:w="709" w:type="dxa"/>
            <w:tcBorders>
              <w:bottom w:val="single" w:sz="4" w:space="0" w:color="000000"/>
            </w:tcBorders>
            <w:textDirection w:val="btLr"/>
            <w:vAlign w:val="center"/>
          </w:tcPr>
          <w:p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Infrastructure Assets</w:t>
            </w:r>
          </w:p>
        </w:tc>
        <w:tc>
          <w:tcPr>
            <w:tcW w:w="1134" w:type="dxa"/>
            <w:tcBorders>
              <w:bottom w:val="single" w:sz="4" w:space="0" w:color="000000"/>
            </w:tcBorders>
            <w:textDirection w:val="btLr"/>
            <w:vAlign w:val="center"/>
          </w:tcPr>
          <w:p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Community Assets</w:t>
            </w:r>
          </w:p>
        </w:tc>
        <w:tc>
          <w:tcPr>
            <w:tcW w:w="709" w:type="dxa"/>
            <w:tcBorders>
              <w:bottom w:val="single" w:sz="4" w:space="0" w:color="000000"/>
            </w:tcBorders>
            <w:textDirection w:val="btLr"/>
            <w:vAlign w:val="center"/>
          </w:tcPr>
          <w:p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Surplus Assets</w:t>
            </w:r>
          </w:p>
        </w:tc>
        <w:tc>
          <w:tcPr>
            <w:tcW w:w="709" w:type="dxa"/>
            <w:tcBorders>
              <w:bottom w:val="single" w:sz="4" w:space="0" w:color="000000"/>
            </w:tcBorders>
            <w:textDirection w:val="btLr"/>
            <w:vAlign w:val="center"/>
          </w:tcPr>
          <w:p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Property, Plant &amp; Equipment Under Construction</w:t>
            </w:r>
          </w:p>
        </w:tc>
        <w:tc>
          <w:tcPr>
            <w:tcW w:w="1134" w:type="dxa"/>
            <w:tcBorders>
              <w:bottom w:val="single" w:sz="4" w:space="0" w:color="000000"/>
            </w:tcBorders>
            <w:textDirection w:val="btLr"/>
            <w:vAlign w:val="bottom"/>
          </w:tcPr>
          <w:p w:rsidR="00515981" w:rsidRPr="00056656" w:rsidRDefault="00515981" w:rsidP="00B46931">
            <w:pPr>
              <w:tabs>
                <w:tab w:val="left" w:pos="0"/>
              </w:tabs>
              <w:snapToGrid w:val="0"/>
              <w:ind w:right="113"/>
              <w:rPr>
                <w:rFonts w:asciiTheme="minorHAnsi" w:hAnsiTheme="minorHAnsi" w:cstheme="minorHAnsi"/>
                <w:b/>
                <w:bCs/>
                <w:sz w:val="20"/>
              </w:rPr>
            </w:pPr>
            <w:r w:rsidRPr="00056656">
              <w:rPr>
                <w:rFonts w:asciiTheme="minorHAnsi" w:hAnsiTheme="minorHAnsi" w:cstheme="minorHAnsi"/>
                <w:b/>
                <w:bCs/>
                <w:sz w:val="20"/>
              </w:rPr>
              <w:t>Total Property, Plant and Equipment</w:t>
            </w:r>
          </w:p>
        </w:tc>
      </w:tr>
    </w:tbl>
    <w:tbl>
      <w:tblPr>
        <w:tblpPr w:leftFromText="180" w:rightFromText="180" w:vertAnchor="text" w:tblpX="-459" w:tblpY="1"/>
        <w:tblOverlap w:val="never"/>
        <w:tblW w:w="10055" w:type="dxa"/>
        <w:tblLayout w:type="fixed"/>
        <w:tblLook w:val="0000" w:firstRow="0" w:lastRow="0" w:firstColumn="0" w:lastColumn="0" w:noHBand="0" w:noVBand="0"/>
      </w:tblPr>
      <w:tblGrid>
        <w:gridCol w:w="3458"/>
        <w:gridCol w:w="1011"/>
        <w:gridCol w:w="945"/>
        <w:gridCol w:w="837"/>
        <w:gridCol w:w="838"/>
        <w:gridCol w:w="977"/>
        <w:gridCol w:w="838"/>
        <w:gridCol w:w="1151"/>
      </w:tblGrid>
      <w:tr w:rsidR="00836F62" w:rsidRPr="00056656" w:rsidTr="00A953A4">
        <w:trPr>
          <w:trHeight w:val="429"/>
        </w:trPr>
        <w:tc>
          <w:tcPr>
            <w:tcW w:w="3458" w:type="dxa"/>
            <w:shd w:val="clear" w:color="auto" w:fill="auto"/>
            <w:vAlign w:val="center"/>
          </w:tcPr>
          <w:p w:rsidR="00836F62" w:rsidRPr="00056656" w:rsidRDefault="00836F62" w:rsidP="0021543F">
            <w:pPr>
              <w:tabs>
                <w:tab w:val="left" w:pos="0"/>
              </w:tabs>
              <w:snapToGrid w:val="0"/>
              <w:rPr>
                <w:rFonts w:asciiTheme="minorHAnsi" w:hAnsiTheme="minorHAnsi" w:cstheme="minorHAnsi"/>
                <w:b/>
                <w:sz w:val="20"/>
              </w:rPr>
            </w:pPr>
            <w:r w:rsidRPr="00056656">
              <w:rPr>
                <w:rFonts w:asciiTheme="minorHAnsi" w:hAnsiTheme="minorHAnsi" w:cstheme="minorHAnsi"/>
                <w:b/>
                <w:sz w:val="20"/>
              </w:rPr>
              <w:t>Movements in cost or values</w:t>
            </w:r>
          </w:p>
        </w:tc>
        <w:tc>
          <w:tcPr>
            <w:tcW w:w="1011" w:type="dxa"/>
            <w:shd w:val="clear" w:color="auto" w:fill="auto"/>
            <w:vAlign w:val="center"/>
          </w:tcPr>
          <w:p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945" w:type="dxa"/>
            <w:shd w:val="clear" w:color="auto" w:fill="auto"/>
            <w:vAlign w:val="center"/>
          </w:tcPr>
          <w:p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7" w:type="dxa"/>
            <w:shd w:val="clear" w:color="auto" w:fill="auto"/>
            <w:vAlign w:val="center"/>
          </w:tcPr>
          <w:p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8" w:type="dxa"/>
            <w:shd w:val="clear" w:color="auto" w:fill="auto"/>
            <w:vAlign w:val="center"/>
          </w:tcPr>
          <w:p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977" w:type="dxa"/>
            <w:shd w:val="clear" w:color="auto" w:fill="auto"/>
            <w:vAlign w:val="center"/>
          </w:tcPr>
          <w:p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8" w:type="dxa"/>
            <w:shd w:val="clear" w:color="auto" w:fill="auto"/>
            <w:vAlign w:val="center"/>
          </w:tcPr>
          <w:p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1151" w:type="dxa"/>
            <w:shd w:val="clear" w:color="auto" w:fill="auto"/>
            <w:vAlign w:val="center"/>
          </w:tcPr>
          <w:p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r>
      <w:tr w:rsidR="007036EE" w:rsidRPr="00056656" w:rsidTr="00A953A4">
        <w:trPr>
          <w:trHeight w:val="442"/>
        </w:trPr>
        <w:tc>
          <w:tcPr>
            <w:tcW w:w="3458" w:type="dxa"/>
            <w:shd w:val="clear" w:color="auto" w:fill="EEECE1" w:themeFill="background2"/>
            <w:vAlign w:val="center"/>
          </w:tcPr>
          <w:p w:rsidR="007036EE" w:rsidRPr="00056656" w:rsidRDefault="007036EE" w:rsidP="00722566">
            <w:pPr>
              <w:tabs>
                <w:tab w:val="left" w:pos="0"/>
              </w:tabs>
              <w:snapToGrid w:val="0"/>
              <w:rPr>
                <w:rFonts w:asciiTheme="minorHAnsi" w:hAnsiTheme="minorHAnsi" w:cstheme="minorHAnsi"/>
                <w:b/>
                <w:sz w:val="20"/>
              </w:rPr>
            </w:pPr>
            <w:r w:rsidRPr="00056656">
              <w:rPr>
                <w:rFonts w:asciiTheme="minorHAnsi" w:hAnsiTheme="minorHAnsi" w:cstheme="minorHAnsi"/>
                <w:b/>
                <w:sz w:val="20"/>
              </w:rPr>
              <w:t>1 April 201</w:t>
            </w:r>
            <w:r w:rsidR="00E1548C">
              <w:rPr>
                <w:rFonts w:asciiTheme="minorHAnsi" w:hAnsiTheme="minorHAnsi" w:cstheme="minorHAnsi"/>
                <w:b/>
                <w:sz w:val="20"/>
              </w:rPr>
              <w:t>8</w:t>
            </w:r>
          </w:p>
        </w:tc>
        <w:tc>
          <w:tcPr>
            <w:tcW w:w="1011" w:type="dxa"/>
            <w:shd w:val="clear" w:color="auto" w:fill="EEECE1" w:themeFill="background2"/>
            <w:vAlign w:val="center"/>
          </w:tcPr>
          <w:p w:rsidR="007036EE" w:rsidRPr="00056656" w:rsidRDefault="007036EE" w:rsidP="00E1548C">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11</w:t>
            </w:r>
            <w:r w:rsidR="00E1548C">
              <w:rPr>
                <w:rFonts w:asciiTheme="minorHAnsi" w:hAnsiTheme="minorHAnsi" w:cstheme="minorHAnsi"/>
                <w:b/>
                <w:sz w:val="20"/>
              </w:rPr>
              <w:t>2,044</w:t>
            </w:r>
          </w:p>
        </w:tc>
        <w:tc>
          <w:tcPr>
            <w:tcW w:w="945" w:type="dxa"/>
            <w:shd w:val="clear" w:color="auto" w:fill="EEECE1" w:themeFill="background2"/>
            <w:vAlign w:val="center"/>
          </w:tcPr>
          <w:p w:rsidR="007036EE" w:rsidRPr="00056656" w:rsidRDefault="00E1548C"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12,197</w:t>
            </w:r>
          </w:p>
        </w:tc>
        <w:tc>
          <w:tcPr>
            <w:tcW w:w="837" w:type="dxa"/>
            <w:shd w:val="clear" w:color="auto" w:fill="EEECE1" w:themeFill="background2"/>
            <w:vAlign w:val="center"/>
          </w:tcPr>
          <w:p w:rsidR="007036EE" w:rsidRPr="00056656" w:rsidRDefault="007036EE" w:rsidP="00E1548C">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4,</w:t>
            </w:r>
            <w:r w:rsidR="00E1548C">
              <w:rPr>
                <w:rFonts w:asciiTheme="minorHAnsi" w:hAnsiTheme="minorHAnsi" w:cstheme="minorHAnsi"/>
                <w:b/>
                <w:sz w:val="20"/>
              </w:rPr>
              <w:t>241</w:t>
            </w:r>
          </w:p>
        </w:tc>
        <w:tc>
          <w:tcPr>
            <w:tcW w:w="838" w:type="dxa"/>
            <w:shd w:val="clear" w:color="auto" w:fill="EEECE1" w:themeFill="background2"/>
            <w:vAlign w:val="center"/>
          </w:tcPr>
          <w:p w:rsidR="007036EE" w:rsidRPr="00056656" w:rsidRDefault="007036EE" w:rsidP="007036EE">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28</w:t>
            </w:r>
          </w:p>
        </w:tc>
        <w:tc>
          <w:tcPr>
            <w:tcW w:w="977" w:type="dxa"/>
            <w:shd w:val="clear" w:color="auto" w:fill="EEECE1" w:themeFill="background2"/>
            <w:vAlign w:val="center"/>
          </w:tcPr>
          <w:p w:rsidR="007036EE" w:rsidRPr="00056656" w:rsidRDefault="00E1548C"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4</w:t>
            </w:r>
            <w:r w:rsidR="007036EE" w:rsidRPr="00C9777D">
              <w:rPr>
                <w:rFonts w:asciiTheme="minorHAnsi" w:hAnsiTheme="minorHAnsi" w:cstheme="minorHAnsi"/>
                <w:b/>
                <w:sz w:val="20"/>
              </w:rPr>
              <w:t>,1</w:t>
            </w:r>
            <w:r>
              <w:rPr>
                <w:rFonts w:asciiTheme="minorHAnsi" w:hAnsiTheme="minorHAnsi" w:cstheme="minorHAnsi"/>
                <w:b/>
                <w:sz w:val="20"/>
              </w:rPr>
              <w:t>86</w:t>
            </w:r>
          </w:p>
        </w:tc>
        <w:tc>
          <w:tcPr>
            <w:tcW w:w="838" w:type="dxa"/>
            <w:shd w:val="clear" w:color="auto" w:fill="EEECE1" w:themeFill="background2"/>
            <w:vAlign w:val="center"/>
          </w:tcPr>
          <w:p w:rsidR="007036EE" w:rsidRPr="00056656" w:rsidRDefault="00E1548C"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329</w:t>
            </w:r>
          </w:p>
        </w:tc>
        <w:tc>
          <w:tcPr>
            <w:tcW w:w="1151" w:type="dxa"/>
            <w:shd w:val="clear" w:color="auto" w:fill="EEECE1" w:themeFill="background2"/>
            <w:vAlign w:val="center"/>
          </w:tcPr>
          <w:p w:rsidR="007036EE" w:rsidRPr="00056656" w:rsidRDefault="009C4C21"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13</w:t>
            </w:r>
            <w:r w:rsidR="00E1548C">
              <w:rPr>
                <w:rFonts w:asciiTheme="minorHAnsi" w:hAnsiTheme="minorHAnsi" w:cstheme="minorHAnsi"/>
                <w:b/>
                <w:bCs/>
                <w:sz w:val="20"/>
              </w:rPr>
              <w:t>3</w:t>
            </w:r>
            <w:r>
              <w:rPr>
                <w:rFonts w:asciiTheme="minorHAnsi" w:hAnsiTheme="minorHAnsi" w:cstheme="minorHAnsi"/>
                <w:b/>
                <w:bCs/>
                <w:sz w:val="20"/>
              </w:rPr>
              <w:t>,</w:t>
            </w:r>
            <w:r w:rsidR="00E1548C">
              <w:rPr>
                <w:rFonts w:asciiTheme="minorHAnsi" w:hAnsiTheme="minorHAnsi" w:cstheme="minorHAnsi"/>
                <w:b/>
                <w:bCs/>
                <w:sz w:val="20"/>
              </w:rPr>
              <w:t>025</w:t>
            </w:r>
          </w:p>
        </w:tc>
      </w:tr>
      <w:tr w:rsidR="007036EE" w:rsidRPr="00056656" w:rsidTr="00A953A4">
        <w:trPr>
          <w:trHeight w:val="267"/>
        </w:trPr>
        <w:tc>
          <w:tcPr>
            <w:tcW w:w="3458" w:type="dxa"/>
            <w:vAlign w:val="center"/>
          </w:tcPr>
          <w:p w:rsidR="007036EE" w:rsidRPr="00056656" w:rsidRDefault="007036EE" w:rsidP="007036EE">
            <w:pPr>
              <w:tabs>
                <w:tab w:val="left" w:pos="0"/>
              </w:tabs>
              <w:snapToGrid w:val="0"/>
              <w:rPr>
                <w:rFonts w:asciiTheme="minorHAnsi" w:hAnsiTheme="minorHAnsi" w:cstheme="minorHAnsi"/>
                <w:sz w:val="20"/>
              </w:rPr>
            </w:pPr>
            <w:r w:rsidRPr="00056656">
              <w:rPr>
                <w:rFonts w:asciiTheme="minorHAnsi" w:hAnsiTheme="minorHAnsi" w:cstheme="minorHAnsi"/>
                <w:sz w:val="20"/>
              </w:rPr>
              <w:t xml:space="preserve">Additions </w:t>
            </w:r>
          </w:p>
        </w:tc>
        <w:tc>
          <w:tcPr>
            <w:tcW w:w="1011" w:type="dxa"/>
            <w:vAlign w:val="center"/>
          </w:tcPr>
          <w:p w:rsidR="007036EE" w:rsidRPr="00056656" w:rsidRDefault="00E1548C" w:rsidP="004B2906">
            <w:pPr>
              <w:tabs>
                <w:tab w:val="left" w:pos="0"/>
              </w:tabs>
              <w:snapToGrid w:val="0"/>
              <w:jc w:val="right"/>
              <w:rPr>
                <w:rFonts w:asciiTheme="minorHAnsi" w:hAnsiTheme="minorHAnsi" w:cstheme="minorHAnsi"/>
                <w:sz w:val="20"/>
              </w:rPr>
            </w:pPr>
            <w:r>
              <w:rPr>
                <w:rFonts w:asciiTheme="minorHAnsi" w:hAnsiTheme="minorHAnsi" w:cstheme="minorHAnsi"/>
                <w:sz w:val="20"/>
              </w:rPr>
              <w:t>440</w:t>
            </w:r>
          </w:p>
        </w:tc>
        <w:tc>
          <w:tcPr>
            <w:tcW w:w="945" w:type="dxa"/>
            <w:vAlign w:val="center"/>
          </w:tcPr>
          <w:p w:rsidR="007036EE" w:rsidRPr="00056656" w:rsidRDefault="00E1548C" w:rsidP="004B2906">
            <w:pPr>
              <w:tabs>
                <w:tab w:val="left" w:pos="0"/>
              </w:tabs>
              <w:snapToGrid w:val="0"/>
              <w:jc w:val="right"/>
              <w:rPr>
                <w:rFonts w:asciiTheme="minorHAnsi" w:hAnsiTheme="minorHAnsi" w:cstheme="minorHAnsi"/>
                <w:sz w:val="20"/>
              </w:rPr>
            </w:pPr>
            <w:r>
              <w:rPr>
                <w:rFonts w:asciiTheme="minorHAnsi" w:hAnsiTheme="minorHAnsi" w:cstheme="minorHAnsi"/>
                <w:sz w:val="20"/>
              </w:rPr>
              <w:t>553</w:t>
            </w:r>
          </w:p>
        </w:tc>
        <w:tc>
          <w:tcPr>
            <w:tcW w:w="837" w:type="dxa"/>
            <w:vAlign w:val="center"/>
          </w:tcPr>
          <w:p w:rsidR="007036EE" w:rsidRPr="00056656" w:rsidRDefault="00E1548C" w:rsidP="004B2906">
            <w:pPr>
              <w:tabs>
                <w:tab w:val="left" w:pos="0"/>
              </w:tabs>
              <w:snapToGrid w:val="0"/>
              <w:jc w:val="right"/>
              <w:rPr>
                <w:rFonts w:asciiTheme="minorHAnsi" w:hAnsiTheme="minorHAnsi" w:cstheme="minorHAnsi"/>
                <w:sz w:val="20"/>
              </w:rPr>
            </w:pPr>
            <w:r>
              <w:rPr>
                <w:rFonts w:asciiTheme="minorHAnsi" w:hAnsiTheme="minorHAnsi" w:cstheme="minorHAnsi"/>
                <w:sz w:val="20"/>
              </w:rPr>
              <w:t>262</w:t>
            </w:r>
          </w:p>
        </w:tc>
        <w:tc>
          <w:tcPr>
            <w:tcW w:w="838"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rsidR="007036EE" w:rsidRPr="00056656" w:rsidRDefault="00E1548C" w:rsidP="007036EE">
            <w:pPr>
              <w:tabs>
                <w:tab w:val="left" w:pos="0"/>
              </w:tabs>
              <w:snapToGrid w:val="0"/>
              <w:jc w:val="right"/>
              <w:rPr>
                <w:rFonts w:asciiTheme="minorHAnsi" w:hAnsiTheme="minorHAnsi" w:cstheme="minorHAnsi"/>
                <w:sz w:val="20"/>
              </w:rPr>
            </w:pPr>
            <w:r>
              <w:rPr>
                <w:rFonts w:asciiTheme="minorHAnsi" w:hAnsiTheme="minorHAnsi" w:cstheme="minorHAnsi"/>
                <w:sz w:val="20"/>
              </w:rPr>
              <w:t>1,467</w:t>
            </w:r>
          </w:p>
        </w:tc>
        <w:tc>
          <w:tcPr>
            <w:tcW w:w="1151" w:type="dxa"/>
            <w:vAlign w:val="center"/>
          </w:tcPr>
          <w:p w:rsidR="007036EE" w:rsidRPr="00056656" w:rsidRDefault="00E1548C"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2</w:t>
            </w:r>
            <w:r w:rsidR="007036EE" w:rsidRPr="00D16CC2">
              <w:rPr>
                <w:rFonts w:asciiTheme="minorHAnsi" w:hAnsiTheme="minorHAnsi" w:cstheme="minorHAnsi"/>
                <w:b/>
                <w:bCs/>
                <w:sz w:val="20"/>
              </w:rPr>
              <w:t>,</w:t>
            </w:r>
            <w:r w:rsidR="004E1421">
              <w:rPr>
                <w:rFonts w:asciiTheme="minorHAnsi" w:hAnsiTheme="minorHAnsi" w:cstheme="minorHAnsi"/>
                <w:b/>
                <w:bCs/>
                <w:sz w:val="20"/>
              </w:rPr>
              <w:t>7</w:t>
            </w:r>
            <w:r>
              <w:rPr>
                <w:rFonts w:asciiTheme="minorHAnsi" w:hAnsiTheme="minorHAnsi" w:cstheme="minorHAnsi"/>
                <w:b/>
                <w:bCs/>
                <w:sz w:val="20"/>
              </w:rPr>
              <w:t>22</w:t>
            </w:r>
          </w:p>
        </w:tc>
      </w:tr>
      <w:tr w:rsidR="007036EE" w:rsidRPr="00056656" w:rsidTr="00A953A4">
        <w:trPr>
          <w:trHeight w:val="486"/>
        </w:trPr>
        <w:tc>
          <w:tcPr>
            <w:tcW w:w="3458" w:type="dxa"/>
            <w:vAlign w:val="center"/>
          </w:tcPr>
          <w:p w:rsidR="007036EE" w:rsidRPr="00056656" w:rsidRDefault="007036EE" w:rsidP="007036EE">
            <w:pPr>
              <w:tabs>
                <w:tab w:val="left" w:pos="0"/>
              </w:tabs>
              <w:snapToGrid w:val="0"/>
              <w:rPr>
                <w:rFonts w:asciiTheme="minorHAnsi" w:hAnsiTheme="minorHAnsi" w:cstheme="minorHAnsi"/>
                <w:sz w:val="20"/>
              </w:rPr>
            </w:pPr>
            <w:r w:rsidRPr="00056656">
              <w:rPr>
                <w:rFonts w:asciiTheme="minorHAnsi" w:hAnsiTheme="minorHAnsi" w:cstheme="minorHAnsi"/>
                <w:sz w:val="20"/>
              </w:rPr>
              <w:t>Revaluations increases / (decreases) recognised in the Revaluation Reserve</w:t>
            </w:r>
          </w:p>
        </w:tc>
        <w:tc>
          <w:tcPr>
            <w:tcW w:w="1011" w:type="dxa"/>
            <w:vAlign w:val="center"/>
          </w:tcPr>
          <w:p w:rsidR="007036EE" w:rsidRPr="00056656" w:rsidRDefault="00E1548C" w:rsidP="00B97780">
            <w:pPr>
              <w:tabs>
                <w:tab w:val="left" w:pos="0"/>
              </w:tabs>
              <w:snapToGrid w:val="0"/>
              <w:jc w:val="right"/>
              <w:rPr>
                <w:rFonts w:asciiTheme="minorHAnsi" w:hAnsiTheme="minorHAnsi" w:cstheme="minorHAnsi"/>
                <w:sz w:val="20"/>
              </w:rPr>
            </w:pPr>
            <w:r>
              <w:rPr>
                <w:rFonts w:asciiTheme="minorHAnsi" w:hAnsiTheme="minorHAnsi" w:cstheme="minorHAnsi"/>
                <w:sz w:val="20"/>
              </w:rPr>
              <w:t>3,518</w:t>
            </w:r>
          </w:p>
        </w:tc>
        <w:tc>
          <w:tcPr>
            <w:tcW w:w="945"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7" w:type="dxa"/>
            <w:vAlign w:val="center"/>
          </w:tcPr>
          <w:p w:rsidR="007036EE" w:rsidRPr="00056656" w:rsidRDefault="00E1548C" w:rsidP="00361D9E">
            <w:pPr>
              <w:tabs>
                <w:tab w:val="left" w:pos="0"/>
              </w:tabs>
              <w:snapToGrid w:val="0"/>
              <w:jc w:val="right"/>
              <w:rPr>
                <w:rFonts w:asciiTheme="minorHAnsi" w:hAnsiTheme="minorHAnsi" w:cstheme="minorHAnsi"/>
                <w:sz w:val="20"/>
              </w:rPr>
            </w:pPr>
            <w:r>
              <w:rPr>
                <w:rFonts w:asciiTheme="minorHAnsi" w:hAnsiTheme="minorHAnsi" w:cstheme="minorHAnsi"/>
                <w:sz w:val="20"/>
              </w:rPr>
              <w:t>(3)</w:t>
            </w:r>
          </w:p>
        </w:tc>
        <w:tc>
          <w:tcPr>
            <w:tcW w:w="838"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1151" w:type="dxa"/>
            <w:vAlign w:val="center"/>
          </w:tcPr>
          <w:p w:rsidR="007036EE" w:rsidRPr="00056656" w:rsidRDefault="00E1548C" w:rsidP="00B97780">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3,515</w:t>
            </w:r>
          </w:p>
        </w:tc>
      </w:tr>
      <w:tr w:rsidR="007036EE" w:rsidRPr="00056656" w:rsidTr="00A953A4">
        <w:trPr>
          <w:trHeight w:val="744"/>
        </w:trPr>
        <w:tc>
          <w:tcPr>
            <w:tcW w:w="3458" w:type="dxa"/>
            <w:vAlign w:val="center"/>
          </w:tcPr>
          <w:p w:rsidR="007036EE" w:rsidRPr="00056656" w:rsidRDefault="007036EE" w:rsidP="007036EE">
            <w:pPr>
              <w:tabs>
                <w:tab w:val="left" w:pos="0"/>
              </w:tabs>
              <w:snapToGrid w:val="0"/>
              <w:rPr>
                <w:rFonts w:asciiTheme="minorHAnsi" w:hAnsiTheme="minorHAnsi" w:cstheme="minorHAnsi"/>
                <w:sz w:val="20"/>
              </w:rPr>
            </w:pPr>
            <w:r w:rsidRPr="00056656">
              <w:rPr>
                <w:rFonts w:asciiTheme="minorHAnsi" w:hAnsiTheme="minorHAnsi" w:cstheme="minorHAnsi"/>
                <w:sz w:val="20"/>
              </w:rPr>
              <w:t>Revaluation increases / (decreases) recognised in the Surplus/Deficit on the Provision of Services</w:t>
            </w:r>
          </w:p>
        </w:tc>
        <w:tc>
          <w:tcPr>
            <w:tcW w:w="1011" w:type="dxa"/>
            <w:vAlign w:val="center"/>
          </w:tcPr>
          <w:p w:rsidR="007036EE" w:rsidRPr="00056656"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(799)</w:t>
            </w:r>
          </w:p>
        </w:tc>
        <w:tc>
          <w:tcPr>
            <w:tcW w:w="945"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7"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rsidR="007036EE" w:rsidRPr="00056656"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(254)</w:t>
            </w:r>
          </w:p>
        </w:tc>
        <w:tc>
          <w:tcPr>
            <w:tcW w:w="1151" w:type="dxa"/>
            <w:vAlign w:val="center"/>
          </w:tcPr>
          <w:p w:rsidR="007036EE" w:rsidRPr="00056656" w:rsidRDefault="00E1548C" w:rsidP="007036EE">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(1,053)</w:t>
            </w:r>
          </w:p>
        </w:tc>
      </w:tr>
      <w:tr w:rsidR="007036EE" w:rsidRPr="00056656" w:rsidTr="00A953A4">
        <w:trPr>
          <w:trHeight w:val="96"/>
        </w:trPr>
        <w:tc>
          <w:tcPr>
            <w:tcW w:w="3458" w:type="dxa"/>
            <w:vAlign w:val="center"/>
          </w:tcPr>
          <w:p w:rsidR="007036EE" w:rsidRPr="00056656" w:rsidRDefault="007036EE" w:rsidP="007036EE">
            <w:pPr>
              <w:tabs>
                <w:tab w:val="left" w:pos="0"/>
              </w:tabs>
              <w:snapToGrid w:val="0"/>
              <w:rPr>
                <w:rFonts w:asciiTheme="minorHAnsi" w:hAnsiTheme="minorHAnsi" w:cstheme="minorHAnsi"/>
                <w:sz w:val="20"/>
              </w:rPr>
            </w:pPr>
            <w:r w:rsidRPr="00056656">
              <w:rPr>
                <w:rFonts w:asciiTheme="minorHAnsi" w:hAnsiTheme="minorHAnsi" w:cstheme="minorHAnsi"/>
                <w:sz w:val="20"/>
              </w:rPr>
              <w:t>Derecognition – disposals</w:t>
            </w:r>
          </w:p>
        </w:tc>
        <w:tc>
          <w:tcPr>
            <w:tcW w:w="1011" w:type="dxa"/>
            <w:vAlign w:val="center"/>
          </w:tcPr>
          <w:p w:rsidR="007036EE" w:rsidRPr="00056656" w:rsidRDefault="001B070E" w:rsidP="001B070E">
            <w:pPr>
              <w:tabs>
                <w:tab w:val="left" w:pos="0"/>
              </w:tabs>
              <w:snapToGrid w:val="0"/>
              <w:jc w:val="right"/>
              <w:rPr>
                <w:rFonts w:asciiTheme="minorHAnsi" w:hAnsiTheme="minorHAnsi" w:cstheme="minorHAnsi"/>
                <w:sz w:val="20"/>
              </w:rPr>
            </w:pPr>
            <w:r>
              <w:rPr>
                <w:rFonts w:asciiTheme="minorHAnsi" w:hAnsiTheme="minorHAnsi" w:cstheme="minorHAnsi"/>
                <w:sz w:val="20"/>
              </w:rPr>
              <w:t>(193)</w:t>
            </w:r>
          </w:p>
        </w:tc>
        <w:tc>
          <w:tcPr>
            <w:tcW w:w="945" w:type="dxa"/>
            <w:vAlign w:val="center"/>
          </w:tcPr>
          <w:p w:rsidR="00361D9E" w:rsidRPr="00056656" w:rsidRDefault="007036EE" w:rsidP="001B070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w:t>
            </w:r>
            <w:r w:rsidR="001B070E">
              <w:rPr>
                <w:rFonts w:asciiTheme="minorHAnsi" w:hAnsiTheme="minorHAnsi" w:cstheme="minorHAnsi"/>
                <w:sz w:val="20"/>
              </w:rPr>
              <w:t>57</w:t>
            </w:r>
            <w:r w:rsidRPr="00D16CC2">
              <w:rPr>
                <w:rFonts w:asciiTheme="minorHAnsi" w:hAnsiTheme="minorHAnsi" w:cstheme="minorHAnsi"/>
                <w:sz w:val="20"/>
              </w:rPr>
              <w:t>)</w:t>
            </w:r>
          </w:p>
        </w:tc>
        <w:tc>
          <w:tcPr>
            <w:tcW w:w="837"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1151" w:type="dxa"/>
            <w:vAlign w:val="center"/>
          </w:tcPr>
          <w:p w:rsidR="007036EE" w:rsidRPr="00056656" w:rsidRDefault="007036EE" w:rsidP="001B070E">
            <w:pPr>
              <w:tabs>
                <w:tab w:val="left" w:pos="0"/>
              </w:tabs>
              <w:snapToGrid w:val="0"/>
              <w:jc w:val="right"/>
              <w:rPr>
                <w:rFonts w:asciiTheme="minorHAnsi" w:hAnsiTheme="minorHAnsi" w:cstheme="minorHAnsi"/>
                <w:b/>
                <w:bCs/>
                <w:sz w:val="20"/>
              </w:rPr>
            </w:pPr>
            <w:r w:rsidRPr="00D16CC2">
              <w:rPr>
                <w:rFonts w:asciiTheme="minorHAnsi" w:hAnsiTheme="minorHAnsi" w:cstheme="minorHAnsi"/>
                <w:b/>
                <w:bCs/>
                <w:sz w:val="20"/>
              </w:rPr>
              <w:t>(2</w:t>
            </w:r>
            <w:r w:rsidR="001B070E">
              <w:rPr>
                <w:rFonts w:asciiTheme="minorHAnsi" w:hAnsiTheme="minorHAnsi" w:cstheme="minorHAnsi"/>
                <w:b/>
                <w:bCs/>
                <w:sz w:val="20"/>
              </w:rPr>
              <w:t>50</w:t>
            </w:r>
            <w:r w:rsidRPr="00D16CC2">
              <w:rPr>
                <w:rFonts w:asciiTheme="minorHAnsi" w:hAnsiTheme="minorHAnsi" w:cstheme="minorHAnsi"/>
                <w:b/>
                <w:bCs/>
                <w:sz w:val="20"/>
              </w:rPr>
              <w:t>)</w:t>
            </w:r>
          </w:p>
        </w:tc>
      </w:tr>
      <w:tr w:rsidR="007036EE" w:rsidRPr="00056656" w:rsidTr="00A953A4">
        <w:trPr>
          <w:trHeight w:val="258"/>
        </w:trPr>
        <w:tc>
          <w:tcPr>
            <w:tcW w:w="3458" w:type="dxa"/>
            <w:vAlign w:val="center"/>
          </w:tcPr>
          <w:p w:rsidR="007036EE" w:rsidRPr="00056656" w:rsidRDefault="007036EE" w:rsidP="007036EE">
            <w:pPr>
              <w:tabs>
                <w:tab w:val="left" w:pos="0"/>
              </w:tabs>
              <w:snapToGrid w:val="0"/>
              <w:rPr>
                <w:rFonts w:asciiTheme="minorHAnsi" w:hAnsiTheme="minorHAnsi" w:cstheme="minorHAnsi"/>
                <w:sz w:val="20"/>
              </w:rPr>
            </w:pPr>
            <w:r w:rsidRPr="00056656">
              <w:rPr>
                <w:rFonts w:asciiTheme="minorHAnsi" w:hAnsiTheme="minorHAnsi" w:cstheme="minorHAnsi"/>
                <w:sz w:val="20"/>
              </w:rPr>
              <w:t>Other reclassifications – transfers</w:t>
            </w:r>
          </w:p>
        </w:tc>
        <w:tc>
          <w:tcPr>
            <w:tcW w:w="1011" w:type="dxa"/>
            <w:vAlign w:val="center"/>
          </w:tcPr>
          <w:p w:rsidR="007036EE" w:rsidRPr="00056656" w:rsidRDefault="001B070E" w:rsidP="00E76773">
            <w:pPr>
              <w:tabs>
                <w:tab w:val="left" w:pos="0"/>
              </w:tabs>
              <w:snapToGrid w:val="0"/>
              <w:jc w:val="right"/>
              <w:rPr>
                <w:rFonts w:asciiTheme="minorHAnsi" w:hAnsiTheme="minorHAnsi" w:cstheme="minorHAnsi"/>
                <w:sz w:val="20"/>
              </w:rPr>
            </w:pPr>
            <w:r>
              <w:rPr>
                <w:rFonts w:asciiTheme="minorHAnsi" w:hAnsiTheme="minorHAnsi" w:cstheme="minorHAnsi"/>
                <w:sz w:val="20"/>
              </w:rPr>
              <w:t>1,732</w:t>
            </w:r>
          </w:p>
        </w:tc>
        <w:tc>
          <w:tcPr>
            <w:tcW w:w="945" w:type="dxa"/>
            <w:vAlign w:val="center"/>
          </w:tcPr>
          <w:p w:rsidR="007036EE" w:rsidRPr="00056656" w:rsidRDefault="001B070E" w:rsidP="001B070E">
            <w:pPr>
              <w:tabs>
                <w:tab w:val="left" w:pos="0"/>
              </w:tabs>
              <w:snapToGrid w:val="0"/>
              <w:jc w:val="right"/>
              <w:rPr>
                <w:rFonts w:asciiTheme="minorHAnsi" w:hAnsiTheme="minorHAnsi" w:cstheme="minorHAnsi"/>
                <w:sz w:val="20"/>
              </w:rPr>
            </w:pPr>
            <w:r>
              <w:rPr>
                <w:rFonts w:asciiTheme="minorHAnsi" w:hAnsiTheme="minorHAnsi" w:cstheme="minorHAnsi"/>
                <w:sz w:val="20"/>
              </w:rPr>
              <w:t>37</w:t>
            </w:r>
            <w:r w:rsidR="00E76773">
              <w:rPr>
                <w:rFonts w:asciiTheme="minorHAnsi" w:hAnsiTheme="minorHAnsi" w:cstheme="minorHAnsi"/>
                <w:sz w:val="20"/>
              </w:rPr>
              <w:t>7</w:t>
            </w:r>
          </w:p>
        </w:tc>
        <w:tc>
          <w:tcPr>
            <w:tcW w:w="837"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rsidR="007036EE" w:rsidRPr="00056656" w:rsidRDefault="007036EE" w:rsidP="007036EE">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rsidR="007036EE" w:rsidRPr="00056656" w:rsidRDefault="001B070E" w:rsidP="007036EE">
            <w:pPr>
              <w:tabs>
                <w:tab w:val="left" w:pos="0"/>
              </w:tabs>
              <w:snapToGrid w:val="0"/>
              <w:jc w:val="right"/>
              <w:rPr>
                <w:rFonts w:asciiTheme="minorHAnsi" w:hAnsiTheme="minorHAnsi" w:cstheme="minorHAnsi"/>
                <w:sz w:val="20"/>
              </w:rPr>
            </w:pPr>
            <w:r>
              <w:rPr>
                <w:rFonts w:asciiTheme="minorHAnsi" w:hAnsiTheme="minorHAnsi" w:cstheme="minorHAnsi"/>
                <w:sz w:val="20"/>
              </w:rPr>
              <w:t>(1,</w:t>
            </w:r>
            <w:r w:rsidR="00E76773">
              <w:rPr>
                <w:rFonts w:asciiTheme="minorHAnsi" w:hAnsiTheme="minorHAnsi" w:cstheme="minorHAnsi"/>
                <w:sz w:val="20"/>
              </w:rPr>
              <w:t>0</w:t>
            </w:r>
            <w:r>
              <w:rPr>
                <w:rFonts w:asciiTheme="minorHAnsi" w:hAnsiTheme="minorHAnsi" w:cstheme="minorHAnsi"/>
                <w:sz w:val="20"/>
              </w:rPr>
              <w:t>18)</w:t>
            </w:r>
          </w:p>
        </w:tc>
        <w:tc>
          <w:tcPr>
            <w:tcW w:w="838" w:type="dxa"/>
            <w:vAlign w:val="center"/>
          </w:tcPr>
          <w:p w:rsidR="007036EE" w:rsidRPr="00056656" w:rsidRDefault="001B070E" w:rsidP="001B070E">
            <w:pPr>
              <w:tabs>
                <w:tab w:val="left" w:pos="0"/>
              </w:tabs>
              <w:snapToGrid w:val="0"/>
              <w:jc w:val="right"/>
              <w:rPr>
                <w:rFonts w:asciiTheme="minorHAnsi" w:hAnsiTheme="minorHAnsi" w:cstheme="minorHAnsi"/>
                <w:sz w:val="20"/>
              </w:rPr>
            </w:pPr>
            <w:r>
              <w:rPr>
                <w:rFonts w:asciiTheme="minorHAnsi" w:hAnsiTheme="minorHAnsi" w:cstheme="minorHAnsi"/>
                <w:sz w:val="20"/>
              </w:rPr>
              <w:t>(1,542)</w:t>
            </w:r>
          </w:p>
        </w:tc>
        <w:tc>
          <w:tcPr>
            <w:tcW w:w="1151" w:type="dxa"/>
            <w:vAlign w:val="center"/>
          </w:tcPr>
          <w:p w:rsidR="007036EE" w:rsidRPr="00056656" w:rsidRDefault="001B070E" w:rsidP="001B070E">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(451)</w:t>
            </w:r>
          </w:p>
        </w:tc>
      </w:tr>
      <w:tr w:rsidR="00E1548C" w:rsidRPr="00056656" w:rsidTr="00A953A4">
        <w:trPr>
          <w:trHeight w:val="402"/>
        </w:trPr>
        <w:tc>
          <w:tcPr>
            <w:tcW w:w="3458" w:type="dxa"/>
            <w:shd w:val="clear" w:color="auto" w:fill="EEECE1" w:themeFill="background2"/>
            <w:vAlign w:val="center"/>
          </w:tcPr>
          <w:p w:rsidR="00E1548C" w:rsidRPr="00056656" w:rsidRDefault="00E1548C" w:rsidP="00E1548C">
            <w:pPr>
              <w:tabs>
                <w:tab w:val="left" w:pos="0"/>
              </w:tabs>
              <w:snapToGrid w:val="0"/>
              <w:rPr>
                <w:rFonts w:asciiTheme="minorHAnsi" w:hAnsiTheme="minorHAnsi" w:cstheme="minorHAnsi"/>
                <w:b/>
                <w:sz w:val="20"/>
              </w:rPr>
            </w:pPr>
            <w:r>
              <w:rPr>
                <w:rFonts w:asciiTheme="minorHAnsi" w:hAnsiTheme="minorHAnsi" w:cstheme="minorHAnsi"/>
                <w:b/>
                <w:bCs/>
                <w:sz w:val="20"/>
              </w:rPr>
              <w:t>31 March 2019</w:t>
            </w:r>
          </w:p>
        </w:tc>
        <w:tc>
          <w:tcPr>
            <w:tcW w:w="1011" w:type="dxa"/>
            <w:tcBorders>
              <w:top w:val="single" w:sz="4" w:space="0" w:color="000000"/>
              <w:bottom w:val="double" w:sz="4" w:space="0" w:color="auto"/>
            </w:tcBorders>
            <w:shd w:val="clear" w:color="auto" w:fill="EEECE1" w:themeFill="background2"/>
            <w:vAlign w:val="center"/>
          </w:tcPr>
          <w:p w:rsidR="00E1548C" w:rsidRPr="00056656" w:rsidRDefault="00E1548C" w:rsidP="00E1548C">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11</w:t>
            </w:r>
            <w:r>
              <w:rPr>
                <w:rFonts w:asciiTheme="minorHAnsi" w:hAnsiTheme="minorHAnsi" w:cstheme="minorHAnsi"/>
                <w:b/>
                <w:sz w:val="20"/>
              </w:rPr>
              <w:t>6</w:t>
            </w:r>
            <w:r w:rsidRPr="00C9777D">
              <w:rPr>
                <w:rFonts w:asciiTheme="minorHAnsi" w:hAnsiTheme="minorHAnsi" w:cstheme="minorHAnsi"/>
                <w:b/>
                <w:sz w:val="20"/>
              </w:rPr>
              <w:t>,</w:t>
            </w:r>
            <w:r>
              <w:rPr>
                <w:rFonts w:asciiTheme="minorHAnsi" w:hAnsiTheme="minorHAnsi" w:cstheme="minorHAnsi"/>
                <w:b/>
                <w:sz w:val="20"/>
              </w:rPr>
              <w:t>742</w:t>
            </w:r>
          </w:p>
        </w:tc>
        <w:tc>
          <w:tcPr>
            <w:tcW w:w="945" w:type="dxa"/>
            <w:tcBorders>
              <w:top w:val="single" w:sz="4" w:space="0" w:color="000000"/>
              <w:bottom w:val="double" w:sz="4" w:space="0" w:color="auto"/>
            </w:tcBorders>
            <w:shd w:val="clear" w:color="auto" w:fill="EEECE1" w:themeFill="background2"/>
            <w:vAlign w:val="center"/>
          </w:tcPr>
          <w:p w:rsidR="00E1548C" w:rsidRPr="00056656" w:rsidRDefault="00E1548C"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13</w:t>
            </w:r>
            <w:r w:rsidRPr="00C9777D">
              <w:rPr>
                <w:rFonts w:asciiTheme="minorHAnsi" w:hAnsiTheme="minorHAnsi" w:cstheme="minorHAnsi"/>
                <w:b/>
                <w:sz w:val="20"/>
              </w:rPr>
              <w:t>,</w:t>
            </w:r>
            <w:r>
              <w:rPr>
                <w:rFonts w:asciiTheme="minorHAnsi" w:hAnsiTheme="minorHAnsi" w:cstheme="minorHAnsi"/>
                <w:b/>
                <w:sz w:val="20"/>
              </w:rPr>
              <w:t>070</w:t>
            </w:r>
          </w:p>
        </w:tc>
        <w:tc>
          <w:tcPr>
            <w:tcW w:w="837" w:type="dxa"/>
            <w:tcBorders>
              <w:top w:val="single" w:sz="4" w:space="0" w:color="000000"/>
              <w:bottom w:val="double" w:sz="4" w:space="0" w:color="auto"/>
            </w:tcBorders>
            <w:shd w:val="clear" w:color="auto" w:fill="EEECE1" w:themeFill="background2"/>
            <w:vAlign w:val="center"/>
          </w:tcPr>
          <w:p w:rsidR="00E1548C" w:rsidRPr="00056656" w:rsidRDefault="00E1548C" w:rsidP="00E1548C">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4,</w:t>
            </w:r>
            <w:r>
              <w:rPr>
                <w:rFonts w:asciiTheme="minorHAnsi" w:hAnsiTheme="minorHAnsi" w:cstheme="minorHAnsi"/>
                <w:b/>
                <w:sz w:val="20"/>
              </w:rPr>
              <w:t>500</w:t>
            </w:r>
          </w:p>
        </w:tc>
        <w:tc>
          <w:tcPr>
            <w:tcW w:w="838" w:type="dxa"/>
            <w:tcBorders>
              <w:top w:val="single" w:sz="4" w:space="0" w:color="000000"/>
              <w:bottom w:val="double" w:sz="4" w:space="0" w:color="auto"/>
            </w:tcBorders>
            <w:shd w:val="clear" w:color="auto" w:fill="EEECE1" w:themeFill="background2"/>
            <w:vAlign w:val="center"/>
          </w:tcPr>
          <w:p w:rsidR="00E1548C" w:rsidRPr="00056656" w:rsidRDefault="00E1548C" w:rsidP="00E1548C">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28</w:t>
            </w:r>
          </w:p>
        </w:tc>
        <w:tc>
          <w:tcPr>
            <w:tcW w:w="977" w:type="dxa"/>
            <w:tcBorders>
              <w:top w:val="single" w:sz="4" w:space="0" w:color="000000"/>
              <w:bottom w:val="double" w:sz="4" w:space="0" w:color="auto"/>
            </w:tcBorders>
            <w:shd w:val="clear" w:color="auto" w:fill="EEECE1" w:themeFill="background2"/>
            <w:vAlign w:val="center"/>
          </w:tcPr>
          <w:p w:rsidR="00E1548C" w:rsidRPr="00056656" w:rsidRDefault="00E1548C"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3</w:t>
            </w:r>
            <w:r w:rsidRPr="00C9777D">
              <w:rPr>
                <w:rFonts w:asciiTheme="minorHAnsi" w:hAnsiTheme="minorHAnsi" w:cstheme="minorHAnsi"/>
                <w:b/>
                <w:sz w:val="20"/>
              </w:rPr>
              <w:t>,1</w:t>
            </w:r>
            <w:r>
              <w:rPr>
                <w:rFonts w:asciiTheme="minorHAnsi" w:hAnsiTheme="minorHAnsi" w:cstheme="minorHAnsi"/>
                <w:b/>
                <w:sz w:val="20"/>
              </w:rPr>
              <w:t>68</w:t>
            </w:r>
          </w:p>
        </w:tc>
        <w:tc>
          <w:tcPr>
            <w:tcW w:w="838" w:type="dxa"/>
            <w:tcBorders>
              <w:top w:val="single" w:sz="4" w:space="0" w:color="000000"/>
              <w:bottom w:val="double" w:sz="4" w:space="0" w:color="auto"/>
            </w:tcBorders>
            <w:shd w:val="clear" w:color="auto" w:fill="EEECE1" w:themeFill="background2"/>
            <w:vAlign w:val="center"/>
          </w:tcPr>
          <w:p w:rsidR="00E1548C" w:rsidRPr="00056656" w:rsidRDefault="00E1548C"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1151" w:type="dxa"/>
            <w:tcBorders>
              <w:top w:val="single" w:sz="4" w:space="0" w:color="000000"/>
              <w:bottom w:val="double" w:sz="4" w:space="0" w:color="auto"/>
            </w:tcBorders>
            <w:shd w:val="clear" w:color="auto" w:fill="EEECE1" w:themeFill="background2"/>
            <w:vAlign w:val="center"/>
          </w:tcPr>
          <w:p w:rsidR="00E1548C" w:rsidRPr="00056656" w:rsidRDefault="00E1548C"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137,508</w:t>
            </w:r>
          </w:p>
        </w:tc>
      </w:tr>
    </w:tbl>
    <w:tbl>
      <w:tblPr>
        <w:tblW w:w="10019" w:type="dxa"/>
        <w:tblInd w:w="-459" w:type="dxa"/>
        <w:tblLayout w:type="fixed"/>
        <w:tblLook w:val="0000" w:firstRow="0" w:lastRow="0" w:firstColumn="0" w:lastColumn="0" w:noHBand="0" w:noVBand="0"/>
      </w:tblPr>
      <w:tblGrid>
        <w:gridCol w:w="3528"/>
        <w:gridCol w:w="948"/>
        <w:gridCol w:w="1028"/>
        <w:gridCol w:w="846"/>
        <w:gridCol w:w="847"/>
        <w:gridCol w:w="846"/>
        <w:gridCol w:w="847"/>
        <w:gridCol w:w="1129"/>
      </w:tblGrid>
      <w:tr w:rsidR="00E1548C" w:rsidRPr="00D16CC2" w:rsidTr="00A953A4">
        <w:trPr>
          <w:trHeight w:val="272"/>
        </w:trPr>
        <w:tc>
          <w:tcPr>
            <w:tcW w:w="3528" w:type="dxa"/>
            <w:vAlign w:val="center"/>
          </w:tcPr>
          <w:p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Additions</w:t>
            </w:r>
          </w:p>
        </w:tc>
        <w:tc>
          <w:tcPr>
            <w:tcW w:w="948"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2,870</w:t>
            </w:r>
          </w:p>
        </w:tc>
        <w:tc>
          <w:tcPr>
            <w:tcW w:w="1028"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653</w:t>
            </w:r>
          </w:p>
        </w:tc>
        <w:tc>
          <w:tcPr>
            <w:tcW w:w="846"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6"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235</w:t>
            </w:r>
          </w:p>
        </w:tc>
        <w:tc>
          <w:tcPr>
            <w:tcW w:w="1129"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3</w:t>
            </w:r>
            <w:r w:rsidRPr="00D16CC2">
              <w:rPr>
                <w:rFonts w:asciiTheme="minorHAnsi" w:hAnsiTheme="minorHAnsi" w:cstheme="minorHAnsi"/>
                <w:b/>
                <w:bCs/>
                <w:sz w:val="20"/>
              </w:rPr>
              <w:t>,</w:t>
            </w:r>
            <w:r>
              <w:rPr>
                <w:rFonts w:asciiTheme="minorHAnsi" w:hAnsiTheme="minorHAnsi" w:cstheme="minorHAnsi"/>
                <w:b/>
                <w:bCs/>
                <w:sz w:val="20"/>
              </w:rPr>
              <w:t>758</w:t>
            </w:r>
          </w:p>
        </w:tc>
      </w:tr>
      <w:tr w:rsidR="00E1548C" w:rsidRPr="00D16CC2" w:rsidTr="00A953A4">
        <w:trPr>
          <w:trHeight w:val="495"/>
        </w:trPr>
        <w:tc>
          <w:tcPr>
            <w:tcW w:w="3528" w:type="dxa"/>
            <w:vAlign w:val="center"/>
          </w:tcPr>
          <w:p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Revaluation increases / (decreases) recognised in the Revaluation Reserve</w:t>
            </w:r>
          </w:p>
        </w:tc>
        <w:tc>
          <w:tcPr>
            <w:tcW w:w="948" w:type="dxa"/>
            <w:shd w:val="clear" w:color="auto" w:fill="auto"/>
            <w:vAlign w:val="center"/>
          </w:tcPr>
          <w:p w:rsidR="00E1548C" w:rsidRPr="00D16CC2" w:rsidRDefault="00E1548C" w:rsidP="00F54867">
            <w:pPr>
              <w:tabs>
                <w:tab w:val="left" w:pos="0"/>
              </w:tabs>
              <w:snapToGrid w:val="0"/>
              <w:jc w:val="right"/>
              <w:rPr>
                <w:rFonts w:asciiTheme="minorHAnsi" w:hAnsiTheme="minorHAnsi" w:cstheme="minorHAnsi"/>
                <w:sz w:val="20"/>
              </w:rPr>
            </w:pPr>
            <w:r>
              <w:rPr>
                <w:rFonts w:asciiTheme="minorHAnsi" w:hAnsiTheme="minorHAnsi" w:cstheme="minorHAnsi"/>
                <w:sz w:val="20"/>
              </w:rPr>
              <w:t>(</w:t>
            </w:r>
            <w:r w:rsidR="00F54867">
              <w:rPr>
                <w:rFonts w:asciiTheme="minorHAnsi" w:hAnsiTheme="minorHAnsi" w:cstheme="minorHAnsi"/>
                <w:sz w:val="20"/>
              </w:rPr>
              <w:t>93</w:t>
            </w:r>
            <w:r w:rsidR="0030631B">
              <w:rPr>
                <w:rFonts w:asciiTheme="minorHAnsi" w:hAnsiTheme="minorHAnsi" w:cstheme="minorHAnsi"/>
                <w:sz w:val="20"/>
              </w:rPr>
              <w:t>6</w:t>
            </w:r>
            <w:r>
              <w:rPr>
                <w:rFonts w:asciiTheme="minorHAnsi" w:hAnsiTheme="minorHAnsi" w:cstheme="minorHAnsi"/>
                <w:sz w:val="20"/>
              </w:rPr>
              <w:t>)</w:t>
            </w:r>
          </w:p>
        </w:tc>
        <w:tc>
          <w:tcPr>
            <w:tcW w:w="1028"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6"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6" w:type="dxa"/>
            <w:shd w:val="clear" w:color="auto" w:fill="auto"/>
            <w:vAlign w:val="center"/>
          </w:tcPr>
          <w:p w:rsidR="00E1548C" w:rsidRPr="00D16CC2" w:rsidRDefault="00E1548C" w:rsidP="00F54867">
            <w:pPr>
              <w:tabs>
                <w:tab w:val="left" w:pos="0"/>
              </w:tabs>
              <w:snapToGrid w:val="0"/>
              <w:jc w:val="right"/>
              <w:rPr>
                <w:rFonts w:asciiTheme="minorHAnsi" w:hAnsiTheme="minorHAnsi" w:cstheme="minorHAnsi"/>
                <w:sz w:val="20"/>
              </w:rPr>
            </w:pPr>
            <w:r>
              <w:rPr>
                <w:rFonts w:asciiTheme="minorHAnsi" w:hAnsiTheme="minorHAnsi" w:cstheme="minorHAnsi"/>
                <w:sz w:val="20"/>
              </w:rPr>
              <w:t>2,</w:t>
            </w:r>
            <w:r w:rsidR="00F54867">
              <w:rPr>
                <w:rFonts w:asciiTheme="minorHAnsi" w:hAnsiTheme="minorHAnsi" w:cstheme="minorHAnsi"/>
                <w:sz w:val="20"/>
              </w:rPr>
              <w:t>460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1129" w:type="dxa"/>
            <w:shd w:val="clear" w:color="auto" w:fill="auto"/>
            <w:vAlign w:val="center"/>
          </w:tcPr>
          <w:p w:rsidR="00E1548C" w:rsidRPr="00D16CC2" w:rsidRDefault="0030631B"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1,524</w:t>
            </w:r>
          </w:p>
        </w:tc>
      </w:tr>
      <w:tr w:rsidR="00E1548C" w:rsidRPr="00D16CC2" w:rsidTr="00A953A4">
        <w:trPr>
          <w:trHeight w:val="758"/>
        </w:trPr>
        <w:tc>
          <w:tcPr>
            <w:tcW w:w="3528" w:type="dxa"/>
            <w:vAlign w:val="center"/>
          </w:tcPr>
          <w:p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Revaluation increases / (decreases) recognised in the Surplus/Deficit on the Provision of Services</w:t>
            </w:r>
          </w:p>
        </w:tc>
        <w:tc>
          <w:tcPr>
            <w:tcW w:w="948" w:type="dxa"/>
            <w:shd w:val="clear" w:color="auto" w:fill="auto"/>
            <w:vAlign w:val="center"/>
          </w:tcPr>
          <w:p w:rsidR="00E1548C" w:rsidRPr="00D16CC2" w:rsidRDefault="00F54867" w:rsidP="00F54867">
            <w:pPr>
              <w:tabs>
                <w:tab w:val="left" w:pos="0"/>
              </w:tabs>
              <w:snapToGrid w:val="0"/>
              <w:jc w:val="right"/>
              <w:rPr>
                <w:rFonts w:asciiTheme="minorHAnsi" w:hAnsiTheme="minorHAnsi" w:cstheme="minorHAnsi"/>
                <w:sz w:val="20"/>
              </w:rPr>
            </w:pPr>
            <w:r>
              <w:rPr>
                <w:rFonts w:asciiTheme="minorHAnsi" w:hAnsiTheme="minorHAnsi" w:cstheme="minorHAnsi"/>
                <w:sz w:val="20"/>
              </w:rPr>
              <w:t>626</w:t>
            </w:r>
          </w:p>
        </w:tc>
        <w:tc>
          <w:tcPr>
            <w:tcW w:w="1028"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6"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6" w:type="dxa"/>
            <w:shd w:val="clear" w:color="auto" w:fill="auto"/>
            <w:vAlign w:val="center"/>
          </w:tcPr>
          <w:p w:rsidR="00E1548C" w:rsidRPr="00D16CC2" w:rsidRDefault="00F54867" w:rsidP="00F54867">
            <w:pPr>
              <w:tabs>
                <w:tab w:val="left" w:pos="0"/>
              </w:tabs>
              <w:snapToGrid w:val="0"/>
              <w:jc w:val="right"/>
              <w:rPr>
                <w:rFonts w:asciiTheme="minorHAnsi" w:hAnsiTheme="minorHAnsi" w:cstheme="minorHAnsi"/>
                <w:sz w:val="20"/>
              </w:rPr>
            </w:pPr>
            <w:r>
              <w:rPr>
                <w:rFonts w:asciiTheme="minorHAnsi" w:hAnsiTheme="minorHAnsi" w:cstheme="minorHAnsi"/>
                <w:sz w:val="20"/>
              </w:rPr>
              <w:t>450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29" w:type="dxa"/>
            <w:shd w:val="clear" w:color="auto" w:fill="auto"/>
            <w:vAlign w:val="center"/>
          </w:tcPr>
          <w:p w:rsidR="00E1548C" w:rsidRPr="00D16CC2" w:rsidRDefault="0030631B"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w:t>
            </w:r>
            <w:r w:rsidR="00E1548C">
              <w:rPr>
                <w:rFonts w:asciiTheme="minorHAnsi" w:hAnsiTheme="minorHAnsi" w:cstheme="minorHAnsi"/>
                <w:b/>
                <w:bCs/>
                <w:sz w:val="20"/>
              </w:rPr>
              <w:t>0</w:t>
            </w:r>
            <w:r>
              <w:rPr>
                <w:rFonts w:asciiTheme="minorHAnsi" w:hAnsiTheme="minorHAnsi" w:cstheme="minorHAnsi"/>
                <w:b/>
                <w:bCs/>
                <w:sz w:val="20"/>
              </w:rPr>
              <w:t>76</w:t>
            </w:r>
          </w:p>
        </w:tc>
      </w:tr>
      <w:tr w:rsidR="00E1548C" w:rsidRPr="00D16CC2" w:rsidTr="00A953A4">
        <w:trPr>
          <w:trHeight w:val="247"/>
        </w:trPr>
        <w:tc>
          <w:tcPr>
            <w:tcW w:w="3528" w:type="dxa"/>
            <w:vAlign w:val="center"/>
          </w:tcPr>
          <w:p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Derecognition – disposals</w:t>
            </w:r>
          </w:p>
        </w:tc>
        <w:tc>
          <w:tcPr>
            <w:tcW w:w="948"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28"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w:t>
            </w:r>
            <w:r>
              <w:rPr>
                <w:rFonts w:asciiTheme="minorHAnsi" w:hAnsiTheme="minorHAnsi" w:cstheme="minorHAnsi"/>
                <w:sz w:val="20"/>
              </w:rPr>
              <w:t>22</w:t>
            </w:r>
            <w:r w:rsidRPr="00D16CC2">
              <w:rPr>
                <w:rFonts w:asciiTheme="minorHAnsi" w:hAnsiTheme="minorHAnsi" w:cstheme="minorHAnsi"/>
                <w:sz w:val="20"/>
              </w:rPr>
              <w:t>)</w:t>
            </w:r>
          </w:p>
        </w:tc>
        <w:tc>
          <w:tcPr>
            <w:tcW w:w="846"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6"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1129"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b/>
                <w:bCs/>
                <w:sz w:val="20"/>
              </w:rPr>
            </w:pPr>
            <w:r w:rsidRPr="00D16CC2">
              <w:rPr>
                <w:rFonts w:asciiTheme="minorHAnsi" w:hAnsiTheme="minorHAnsi" w:cstheme="minorHAnsi"/>
                <w:b/>
                <w:bCs/>
                <w:sz w:val="20"/>
              </w:rPr>
              <w:t>(2</w:t>
            </w:r>
            <w:r>
              <w:rPr>
                <w:rFonts w:asciiTheme="minorHAnsi" w:hAnsiTheme="minorHAnsi" w:cstheme="minorHAnsi"/>
                <w:b/>
                <w:bCs/>
                <w:sz w:val="20"/>
              </w:rPr>
              <w:t>2</w:t>
            </w:r>
            <w:r w:rsidRPr="00D16CC2">
              <w:rPr>
                <w:rFonts w:asciiTheme="minorHAnsi" w:hAnsiTheme="minorHAnsi" w:cstheme="minorHAnsi"/>
                <w:b/>
                <w:bCs/>
                <w:sz w:val="20"/>
              </w:rPr>
              <w:t>)</w:t>
            </w:r>
          </w:p>
        </w:tc>
      </w:tr>
      <w:tr w:rsidR="00E1548C" w:rsidRPr="00D16CC2" w:rsidTr="00A953A4">
        <w:trPr>
          <w:trHeight w:val="247"/>
        </w:trPr>
        <w:tc>
          <w:tcPr>
            <w:tcW w:w="3528" w:type="dxa"/>
            <w:vAlign w:val="center"/>
          </w:tcPr>
          <w:p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Other reclassifications – transfers</w:t>
            </w:r>
          </w:p>
        </w:tc>
        <w:tc>
          <w:tcPr>
            <w:tcW w:w="948"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(217)</w:t>
            </w:r>
          </w:p>
        </w:tc>
        <w:tc>
          <w:tcPr>
            <w:tcW w:w="1028"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217</w:t>
            </w:r>
          </w:p>
        </w:tc>
        <w:tc>
          <w:tcPr>
            <w:tcW w:w="846"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46"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29" w:type="dxa"/>
            <w:shd w:val="clear" w:color="auto" w:fill="auto"/>
            <w:vAlign w:val="center"/>
          </w:tcPr>
          <w:p w:rsidR="00E1548C" w:rsidRPr="00D16CC2" w:rsidRDefault="00E1548C"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E1548C" w:rsidRPr="00D16CC2" w:rsidTr="00A953A4">
        <w:trPr>
          <w:trHeight w:val="409"/>
        </w:trPr>
        <w:tc>
          <w:tcPr>
            <w:tcW w:w="3528" w:type="dxa"/>
            <w:shd w:val="clear" w:color="auto" w:fill="EEECE1" w:themeFill="background2"/>
            <w:vAlign w:val="center"/>
          </w:tcPr>
          <w:p w:rsidR="00E1548C" w:rsidRPr="00D16CC2" w:rsidRDefault="00E1548C" w:rsidP="00E1548C">
            <w:pPr>
              <w:tabs>
                <w:tab w:val="left" w:pos="0"/>
              </w:tabs>
              <w:snapToGrid w:val="0"/>
              <w:rPr>
                <w:rFonts w:asciiTheme="minorHAnsi" w:hAnsiTheme="minorHAnsi" w:cstheme="minorHAnsi"/>
                <w:b/>
                <w:sz w:val="20"/>
              </w:rPr>
            </w:pPr>
            <w:r>
              <w:rPr>
                <w:rFonts w:asciiTheme="minorHAnsi" w:hAnsiTheme="minorHAnsi" w:cstheme="minorHAnsi"/>
                <w:b/>
                <w:bCs/>
                <w:sz w:val="20"/>
              </w:rPr>
              <w:t>31 March 2020</w:t>
            </w:r>
          </w:p>
        </w:tc>
        <w:tc>
          <w:tcPr>
            <w:tcW w:w="948" w:type="dxa"/>
            <w:tcBorders>
              <w:top w:val="single" w:sz="4" w:space="0" w:color="000000"/>
              <w:bottom w:val="double" w:sz="4" w:space="0" w:color="auto"/>
            </w:tcBorders>
            <w:shd w:val="clear" w:color="auto" w:fill="EEECE1" w:themeFill="background2"/>
            <w:vAlign w:val="center"/>
          </w:tcPr>
          <w:p w:rsidR="00E1548C" w:rsidRPr="00D16CC2" w:rsidRDefault="00E1548C" w:rsidP="00E1548C">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11</w:t>
            </w:r>
            <w:r>
              <w:rPr>
                <w:rFonts w:asciiTheme="minorHAnsi" w:hAnsiTheme="minorHAnsi" w:cstheme="minorHAnsi"/>
                <w:b/>
                <w:sz w:val="20"/>
              </w:rPr>
              <w:t>9</w:t>
            </w:r>
            <w:r w:rsidRPr="00D16CC2">
              <w:rPr>
                <w:rFonts w:asciiTheme="minorHAnsi" w:hAnsiTheme="minorHAnsi" w:cstheme="minorHAnsi"/>
                <w:b/>
                <w:sz w:val="20"/>
              </w:rPr>
              <w:t>,</w:t>
            </w:r>
            <w:r>
              <w:rPr>
                <w:rFonts w:asciiTheme="minorHAnsi" w:hAnsiTheme="minorHAnsi" w:cstheme="minorHAnsi"/>
                <w:b/>
                <w:sz w:val="20"/>
              </w:rPr>
              <w:t>085</w:t>
            </w:r>
          </w:p>
        </w:tc>
        <w:tc>
          <w:tcPr>
            <w:tcW w:w="1028" w:type="dxa"/>
            <w:tcBorders>
              <w:top w:val="single" w:sz="4" w:space="0" w:color="000000"/>
              <w:bottom w:val="double" w:sz="4" w:space="0" w:color="auto"/>
            </w:tcBorders>
            <w:shd w:val="clear" w:color="auto" w:fill="EEECE1" w:themeFill="background2"/>
            <w:vAlign w:val="center"/>
          </w:tcPr>
          <w:p w:rsidR="00E1548C" w:rsidRPr="00D16CC2" w:rsidRDefault="00E1548C" w:rsidP="00E1548C">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13,</w:t>
            </w:r>
            <w:r>
              <w:rPr>
                <w:rFonts w:asciiTheme="minorHAnsi" w:hAnsiTheme="minorHAnsi" w:cstheme="minorHAnsi"/>
                <w:b/>
                <w:sz w:val="20"/>
              </w:rPr>
              <w:t>918</w:t>
            </w:r>
          </w:p>
        </w:tc>
        <w:tc>
          <w:tcPr>
            <w:tcW w:w="846" w:type="dxa"/>
            <w:tcBorders>
              <w:top w:val="single" w:sz="4" w:space="0" w:color="000000"/>
              <w:bottom w:val="double" w:sz="4" w:space="0" w:color="auto"/>
            </w:tcBorders>
            <w:shd w:val="clear" w:color="auto" w:fill="EEECE1" w:themeFill="background2"/>
            <w:vAlign w:val="center"/>
          </w:tcPr>
          <w:p w:rsidR="00E1548C" w:rsidRPr="00D16CC2" w:rsidRDefault="00E1548C" w:rsidP="00E1548C">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4,500</w:t>
            </w:r>
          </w:p>
        </w:tc>
        <w:tc>
          <w:tcPr>
            <w:tcW w:w="847" w:type="dxa"/>
            <w:tcBorders>
              <w:top w:val="single" w:sz="4" w:space="0" w:color="000000"/>
              <w:bottom w:val="double" w:sz="4" w:space="0" w:color="auto"/>
            </w:tcBorders>
            <w:shd w:val="clear" w:color="auto" w:fill="EEECE1" w:themeFill="background2"/>
            <w:vAlign w:val="center"/>
          </w:tcPr>
          <w:p w:rsidR="00E1548C" w:rsidRPr="00D16CC2" w:rsidRDefault="00E1548C" w:rsidP="00E1548C">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28</w:t>
            </w:r>
          </w:p>
        </w:tc>
        <w:tc>
          <w:tcPr>
            <w:tcW w:w="846" w:type="dxa"/>
            <w:tcBorders>
              <w:top w:val="single" w:sz="4" w:space="0" w:color="000000"/>
              <w:bottom w:val="double" w:sz="4" w:space="0" w:color="auto"/>
            </w:tcBorders>
            <w:shd w:val="clear" w:color="auto" w:fill="EEECE1" w:themeFill="background2"/>
            <w:vAlign w:val="center"/>
          </w:tcPr>
          <w:p w:rsidR="00E1548C" w:rsidRPr="00D16CC2" w:rsidRDefault="00E1548C"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6</w:t>
            </w:r>
            <w:r w:rsidRPr="00D16CC2">
              <w:rPr>
                <w:rFonts w:asciiTheme="minorHAnsi" w:hAnsiTheme="minorHAnsi" w:cstheme="minorHAnsi"/>
                <w:b/>
                <w:sz w:val="20"/>
              </w:rPr>
              <w:t>,</w:t>
            </w:r>
            <w:r>
              <w:rPr>
                <w:rFonts w:asciiTheme="minorHAnsi" w:hAnsiTheme="minorHAnsi" w:cstheme="minorHAnsi"/>
                <w:b/>
                <w:sz w:val="20"/>
              </w:rPr>
              <w:t>078</w:t>
            </w:r>
          </w:p>
        </w:tc>
        <w:tc>
          <w:tcPr>
            <w:tcW w:w="847" w:type="dxa"/>
            <w:tcBorders>
              <w:top w:val="single" w:sz="4" w:space="0" w:color="000000"/>
              <w:bottom w:val="double" w:sz="4" w:space="0" w:color="auto"/>
            </w:tcBorders>
            <w:shd w:val="clear" w:color="auto" w:fill="EEECE1" w:themeFill="background2"/>
            <w:vAlign w:val="center"/>
          </w:tcPr>
          <w:p w:rsidR="00E1548C" w:rsidRPr="00D16CC2" w:rsidRDefault="00E1548C"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235</w:t>
            </w:r>
          </w:p>
        </w:tc>
        <w:tc>
          <w:tcPr>
            <w:tcW w:w="1129" w:type="dxa"/>
            <w:tcBorders>
              <w:top w:val="single" w:sz="4" w:space="0" w:color="000000"/>
              <w:bottom w:val="double" w:sz="4" w:space="0" w:color="auto"/>
            </w:tcBorders>
            <w:shd w:val="clear" w:color="auto" w:fill="EEECE1" w:themeFill="background2"/>
            <w:vAlign w:val="center"/>
          </w:tcPr>
          <w:p w:rsidR="00E1548C" w:rsidRPr="00D16CC2" w:rsidRDefault="00E1548C" w:rsidP="00E1548C">
            <w:pPr>
              <w:tabs>
                <w:tab w:val="left" w:pos="0"/>
              </w:tabs>
              <w:snapToGrid w:val="0"/>
              <w:jc w:val="right"/>
              <w:rPr>
                <w:rFonts w:asciiTheme="minorHAnsi" w:hAnsiTheme="minorHAnsi" w:cstheme="minorHAnsi"/>
                <w:b/>
                <w:bCs/>
                <w:sz w:val="20"/>
              </w:rPr>
            </w:pPr>
            <w:r w:rsidRPr="00D16CC2">
              <w:rPr>
                <w:rFonts w:asciiTheme="minorHAnsi" w:hAnsiTheme="minorHAnsi" w:cstheme="minorHAnsi"/>
                <w:b/>
                <w:bCs/>
                <w:sz w:val="20"/>
              </w:rPr>
              <w:t>1</w:t>
            </w:r>
            <w:r>
              <w:rPr>
                <w:rFonts w:asciiTheme="minorHAnsi" w:hAnsiTheme="minorHAnsi" w:cstheme="minorHAnsi"/>
                <w:b/>
                <w:bCs/>
                <w:sz w:val="20"/>
              </w:rPr>
              <w:t>43</w:t>
            </w:r>
            <w:r w:rsidRPr="00D16CC2">
              <w:rPr>
                <w:rFonts w:asciiTheme="minorHAnsi" w:hAnsiTheme="minorHAnsi" w:cstheme="minorHAnsi"/>
                <w:b/>
                <w:bCs/>
                <w:sz w:val="20"/>
              </w:rPr>
              <w:t>,</w:t>
            </w:r>
            <w:r>
              <w:rPr>
                <w:rFonts w:asciiTheme="minorHAnsi" w:hAnsiTheme="minorHAnsi" w:cstheme="minorHAnsi"/>
                <w:b/>
                <w:bCs/>
                <w:sz w:val="20"/>
              </w:rPr>
              <w:t>844</w:t>
            </w:r>
          </w:p>
        </w:tc>
      </w:tr>
    </w:tbl>
    <w:p w:rsidR="00D35F48" w:rsidRPr="00D16CC2" w:rsidRDefault="00D35F48" w:rsidP="00636598">
      <w:pPr>
        <w:tabs>
          <w:tab w:val="left" w:pos="0"/>
        </w:tabs>
        <w:jc w:val="both"/>
        <w:rPr>
          <w:rFonts w:asciiTheme="minorHAnsi" w:hAnsiTheme="minorHAnsi" w:cstheme="minorHAnsi"/>
          <w:b/>
          <w:bCs/>
          <w:sz w:val="22"/>
          <w:szCs w:val="22"/>
        </w:rPr>
      </w:pPr>
    </w:p>
    <w:tbl>
      <w:tblPr>
        <w:tblW w:w="10065" w:type="dxa"/>
        <w:tblInd w:w="-459" w:type="dxa"/>
        <w:tblLayout w:type="fixed"/>
        <w:tblLook w:val="0000" w:firstRow="0" w:lastRow="0" w:firstColumn="0" w:lastColumn="0" w:noHBand="0" w:noVBand="0"/>
      </w:tblPr>
      <w:tblGrid>
        <w:gridCol w:w="3544"/>
        <w:gridCol w:w="952"/>
        <w:gridCol w:w="810"/>
        <w:gridCol w:w="223"/>
        <w:gridCol w:w="587"/>
        <w:gridCol w:w="405"/>
        <w:gridCol w:w="405"/>
        <w:gridCol w:w="304"/>
        <w:gridCol w:w="141"/>
        <w:gridCol w:w="365"/>
        <w:gridCol w:w="486"/>
        <w:gridCol w:w="850"/>
        <w:gridCol w:w="993"/>
      </w:tblGrid>
      <w:tr w:rsidR="00636598" w:rsidRPr="00D16CC2" w:rsidTr="002B4062">
        <w:tc>
          <w:tcPr>
            <w:tcW w:w="3544" w:type="dxa"/>
            <w:vAlign w:val="center"/>
          </w:tcPr>
          <w:p w:rsidR="00636598" w:rsidRPr="00D16CC2" w:rsidRDefault="008B1C48" w:rsidP="00CA335D">
            <w:pPr>
              <w:tabs>
                <w:tab w:val="left" w:pos="0"/>
              </w:tabs>
              <w:snapToGrid w:val="0"/>
              <w:rPr>
                <w:rFonts w:asciiTheme="minorHAnsi" w:hAnsiTheme="minorHAnsi" w:cstheme="minorHAnsi"/>
                <w:b/>
                <w:bCs/>
                <w:sz w:val="20"/>
              </w:rPr>
            </w:pPr>
            <w:r w:rsidRPr="00D16CC2">
              <w:rPr>
                <w:rFonts w:asciiTheme="minorHAnsi" w:hAnsiTheme="minorHAnsi" w:cstheme="minorHAnsi"/>
                <w:b/>
                <w:bCs/>
                <w:sz w:val="20"/>
              </w:rPr>
              <w:t>Movements in depreciation and impairment</w:t>
            </w:r>
          </w:p>
        </w:tc>
        <w:tc>
          <w:tcPr>
            <w:tcW w:w="952" w:type="dxa"/>
            <w:vAlign w:val="center"/>
          </w:tcPr>
          <w:p w:rsidR="00636598" w:rsidRPr="00D16CC2" w:rsidRDefault="00636598" w:rsidP="00CA335D">
            <w:pPr>
              <w:tabs>
                <w:tab w:val="left" w:pos="0"/>
              </w:tabs>
              <w:snapToGrid w:val="0"/>
              <w:jc w:val="right"/>
              <w:rPr>
                <w:rFonts w:asciiTheme="minorHAnsi" w:hAnsiTheme="minorHAnsi" w:cstheme="minorHAnsi"/>
                <w:sz w:val="20"/>
              </w:rPr>
            </w:pPr>
          </w:p>
        </w:tc>
        <w:tc>
          <w:tcPr>
            <w:tcW w:w="810" w:type="dxa"/>
            <w:vAlign w:val="center"/>
          </w:tcPr>
          <w:p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2"/>
            <w:vAlign w:val="center"/>
          </w:tcPr>
          <w:p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2"/>
            <w:vAlign w:val="center"/>
          </w:tcPr>
          <w:p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3"/>
            <w:vAlign w:val="center"/>
          </w:tcPr>
          <w:p w:rsidR="00636598" w:rsidRPr="00D16CC2" w:rsidRDefault="00636598" w:rsidP="00CA335D">
            <w:pPr>
              <w:tabs>
                <w:tab w:val="left" w:pos="0"/>
              </w:tabs>
              <w:snapToGrid w:val="0"/>
              <w:jc w:val="right"/>
              <w:rPr>
                <w:rFonts w:asciiTheme="minorHAnsi" w:hAnsiTheme="minorHAnsi" w:cstheme="minorHAnsi"/>
                <w:sz w:val="20"/>
              </w:rPr>
            </w:pPr>
          </w:p>
        </w:tc>
        <w:tc>
          <w:tcPr>
            <w:tcW w:w="1336" w:type="dxa"/>
            <w:gridSpan w:val="2"/>
            <w:vAlign w:val="center"/>
          </w:tcPr>
          <w:p w:rsidR="00636598" w:rsidRPr="00D16CC2" w:rsidRDefault="00636598" w:rsidP="00CA335D">
            <w:pPr>
              <w:tabs>
                <w:tab w:val="left" w:pos="0"/>
              </w:tabs>
              <w:snapToGrid w:val="0"/>
              <w:jc w:val="right"/>
              <w:rPr>
                <w:rFonts w:asciiTheme="minorHAnsi" w:hAnsiTheme="minorHAnsi" w:cstheme="minorHAnsi"/>
                <w:sz w:val="20"/>
              </w:rPr>
            </w:pPr>
          </w:p>
        </w:tc>
        <w:tc>
          <w:tcPr>
            <w:tcW w:w="993" w:type="dxa"/>
            <w:vAlign w:val="center"/>
          </w:tcPr>
          <w:p w:rsidR="00636598" w:rsidRPr="00D16CC2" w:rsidRDefault="00636598" w:rsidP="00CA335D">
            <w:pPr>
              <w:tabs>
                <w:tab w:val="left" w:pos="0"/>
              </w:tabs>
              <w:snapToGrid w:val="0"/>
              <w:jc w:val="right"/>
              <w:rPr>
                <w:rFonts w:asciiTheme="minorHAnsi" w:hAnsiTheme="minorHAnsi" w:cstheme="minorHAnsi"/>
                <w:b/>
                <w:bCs/>
                <w:sz w:val="20"/>
              </w:rPr>
            </w:pPr>
          </w:p>
        </w:tc>
      </w:tr>
      <w:tr w:rsidR="009A6D4C" w:rsidRPr="00D16CC2" w:rsidTr="002B4062">
        <w:trPr>
          <w:trHeight w:val="389"/>
        </w:trPr>
        <w:tc>
          <w:tcPr>
            <w:tcW w:w="3544" w:type="dxa"/>
            <w:shd w:val="clear" w:color="auto" w:fill="EEECE1" w:themeFill="background2"/>
            <w:vAlign w:val="center"/>
          </w:tcPr>
          <w:p w:rsidR="009A6D4C" w:rsidRPr="00D16CC2" w:rsidRDefault="009A6D4C" w:rsidP="009A6D4C">
            <w:pPr>
              <w:tabs>
                <w:tab w:val="left" w:pos="0"/>
              </w:tabs>
              <w:snapToGrid w:val="0"/>
              <w:rPr>
                <w:rFonts w:asciiTheme="minorHAnsi" w:hAnsiTheme="minorHAnsi" w:cstheme="minorHAnsi"/>
                <w:b/>
                <w:sz w:val="20"/>
              </w:rPr>
            </w:pPr>
            <w:r w:rsidRPr="00D16CC2">
              <w:rPr>
                <w:rFonts w:asciiTheme="minorHAnsi" w:hAnsiTheme="minorHAnsi" w:cstheme="minorHAnsi"/>
                <w:b/>
                <w:sz w:val="20"/>
              </w:rPr>
              <w:t>1 April 201</w:t>
            </w:r>
            <w:r>
              <w:rPr>
                <w:rFonts w:asciiTheme="minorHAnsi" w:hAnsiTheme="minorHAnsi" w:cstheme="minorHAnsi"/>
                <w:b/>
                <w:sz w:val="20"/>
              </w:rPr>
              <w:t>8</w:t>
            </w:r>
          </w:p>
        </w:tc>
        <w:tc>
          <w:tcPr>
            <w:tcW w:w="952" w:type="dxa"/>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(2,136)</w:t>
            </w:r>
          </w:p>
        </w:tc>
        <w:tc>
          <w:tcPr>
            <w:tcW w:w="1033" w:type="dxa"/>
            <w:gridSpan w:val="2"/>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(6,191)</w:t>
            </w:r>
          </w:p>
        </w:tc>
        <w:tc>
          <w:tcPr>
            <w:tcW w:w="992" w:type="dxa"/>
            <w:gridSpan w:val="2"/>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(2,883)</w:t>
            </w:r>
          </w:p>
        </w:tc>
        <w:tc>
          <w:tcPr>
            <w:tcW w:w="850" w:type="dxa"/>
            <w:gridSpan w:val="3"/>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0</w:t>
            </w:r>
          </w:p>
        </w:tc>
        <w:tc>
          <w:tcPr>
            <w:tcW w:w="851" w:type="dxa"/>
            <w:gridSpan w:val="2"/>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(20)</w:t>
            </w:r>
          </w:p>
        </w:tc>
        <w:tc>
          <w:tcPr>
            <w:tcW w:w="850" w:type="dxa"/>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0</w:t>
            </w:r>
          </w:p>
        </w:tc>
        <w:tc>
          <w:tcPr>
            <w:tcW w:w="993" w:type="dxa"/>
            <w:shd w:val="clear" w:color="auto" w:fill="EEECE1" w:themeFill="background2"/>
            <w:vAlign w:val="center"/>
          </w:tcPr>
          <w:p w:rsidR="009A6D4C" w:rsidRPr="00D16CC2" w:rsidRDefault="009A6D4C" w:rsidP="00E84159">
            <w:pPr>
              <w:tabs>
                <w:tab w:val="left" w:pos="0"/>
              </w:tabs>
              <w:snapToGrid w:val="0"/>
              <w:ind w:right="-108"/>
              <w:jc w:val="right"/>
              <w:rPr>
                <w:rFonts w:asciiTheme="minorHAnsi" w:hAnsiTheme="minorHAnsi" w:cstheme="minorHAnsi"/>
                <w:b/>
                <w:bCs/>
                <w:sz w:val="20"/>
              </w:rPr>
            </w:pPr>
            <w:r w:rsidRPr="00D16CC2">
              <w:rPr>
                <w:rFonts w:asciiTheme="minorHAnsi" w:hAnsiTheme="minorHAnsi" w:cstheme="minorHAnsi"/>
                <w:b/>
                <w:bCs/>
                <w:sz w:val="20"/>
              </w:rPr>
              <w:t>(11,230)</w:t>
            </w:r>
          </w:p>
        </w:tc>
      </w:tr>
      <w:tr w:rsidR="009A6D4C" w:rsidRPr="00D16CC2" w:rsidTr="002B4062">
        <w:trPr>
          <w:trHeight w:val="201"/>
        </w:trPr>
        <w:tc>
          <w:tcPr>
            <w:tcW w:w="3544" w:type="dxa"/>
            <w:vAlign w:val="center"/>
          </w:tcPr>
          <w:p w:rsidR="009A6D4C" w:rsidRPr="00D16CC2" w:rsidRDefault="009A6D4C" w:rsidP="0029581F">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vAlign w:val="center"/>
          </w:tcPr>
          <w:p w:rsidR="009A6D4C" w:rsidRPr="00D16CC2" w:rsidRDefault="009A6D4C" w:rsidP="00E84159">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(1,261)</w:t>
            </w:r>
          </w:p>
        </w:tc>
        <w:tc>
          <w:tcPr>
            <w:tcW w:w="1033" w:type="dxa"/>
            <w:gridSpan w:val="2"/>
            <w:vAlign w:val="center"/>
          </w:tcPr>
          <w:p w:rsidR="009A6D4C" w:rsidRPr="00D16CC2" w:rsidRDefault="009A6D4C" w:rsidP="00E84159">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(1,072)</w:t>
            </w:r>
          </w:p>
        </w:tc>
        <w:tc>
          <w:tcPr>
            <w:tcW w:w="992" w:type="dxa"/>
            <w:gridSpan w:val="2"/>
            <w:vAlign w:val="center"/>
          </w:tcPr>
          <w:p w:rsidR="009A6D4C" w:rsidRPr="00D16CC2" w:rsidRDefault="009A6D4C" w:rsidP="00E84159">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(239)</w:t>
            </w:r>
          </w:p>
        </w:tc>
        <w:tc>
          <w:tcPr>
            <w:tcW w:w="850" w:type="dxa"/>
            <w:gridSpan w:val="3"/>
            <w:vAlign w:val="center"/>
          </w:tcPr>
          <w:p w:rsidR="009A6D4C" w:rsidRPr="00D16CC2" w:rsidRDefault="009A6D4C" w:rsidP="00E84159">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51" w:type="dxa"/>
            <w:gridSpan w:val="2"/>
            <w:vAlign w:val="center"/>
          </w:tcPr>
          <w:p w:rsidR="009A6D4C" w:rsidRPr="00D16CC2" w:rsidRDefault="009A6D4C" w:rsidP="00E84159">
            <w:pPr>
              <w:tabs>
                <w:tab w:val="left" w:pos="0"/>
              </w:tabs>
              <w:snapToGrid w:val="0"/>
              <w:jc w:val="right"/>
              <w:rPr>
                <w:rFonts w:asciiTheme="minorHAnsi" w:hAnsiTheme="minorHAnsi" w:cstheme="minorHAnsi"/>
                <w:i/>
                <w:sz w:val="20"/>
              </w:rPr>
            </w:pPr>
            <w:r w:rsidRPr="00D16CC2">
              <w:rPr>
                <w:rFonts w:asciiTheme="minorHAnsi" w:hAnsiTheme="minorHAnsi" w:cstheme="minorHAnsi"/>
                <w:sz w:val="20"/>
              </w:rPr>
              <w:t>(5)</w:t>
            </w:r>
          </w:p>
        </w:tc>
        <w:tc>
          <w:tcPr>
            <w:tcW w:w="850" w:type="dxa"/>
            <w:vAlign w:val="center"/>
          </w:tcPr>
          <w:p w:rsidR="009A6D4C" w:rsidRPr="00D16CC2" w:rsidRDefault="009A6D4C" w:rsidP="00E84159">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93" w:type="dxa"/>
            <w:vAlign w:val="center"/>
          </w:tcPr>
          <w:p w:rsidR="009A6D4C" w:rsidRPr="00D16CC2" w:rsidRDefault="009A6D4C" w:rsidP="00E84159">
            <w:pPr>
              <w:tabs>
                <w:tab w:val="left" w:pos="0"/>
              </w:tabs>
              <w:snapToGrid w:val="0"/>
              <w:jc w:val="right"/>
              <w:rPr>
                <w:rFonts w:asciiTheme="minorHAnsi" w:hAnsiTheme="minorHAnsi" w:cstheme="minorHAnsi"/>
                <w:b/>
                <w:bCs/>
                <w:sz w:val="20"/>
              </w:rPr>
            </w:pPr>
            <w:r w:rsidRPr="00D16CC2">
              <w:rPr>
                <w:rFonts w:asciiTheme="minorHAnsi" w:hAnsiTheme="minorHAnsi" w:cstheme="minorHAnsi"/>
                <w:b/>
                <w:bCs/>
                <w:sz w:val="20"/>
              </w:rPr>
              <w:t>(2,577)</w:t>
            </w:r>
          </w:p>
        </w:tc>
      </w:tr>
      <w:tr w:rsidR="009A6D4C" w:rsidRPr="00D16CC2" w:rsidTr="002B4062">
        <w:tc>
          <w:tcPr>
            <w:tcW w:w="3544" w:type="dxa"/>
            <w:vAlign w:val="center"/>
          </w:tcPr>
          <w:p w:rsidR="009A6D4C" w:rsidRPr="00D16CC2" w:rsidRDefault="009A6D4C" w:rsidP="0029581F">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written out to the Revaluation Reserve</w:t>
            </w:r>
          </w:p>
        </w:tc>
        <w:tc>
          <w:tcPr>
            <w:tcW w:w="952" w:type="dxa"/>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1,418</w:t>
            </w:r>
          </w:p>
        </w:tc>
        <w:tc>
          <w:tcPr>
            <w:tcW w:w="1033" w:type="dxa"/>
            <w:gridSpan w:val="2"/>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2"/>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20</w:t>
            </w:r>
          </w:p>
        </w:tc>
        <w:tc>
          <w:tcPr>
            <w:tcW w:w="850" w:type="dxa"/>
            <w:gridSpan w:val="3"/>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2"/>
            <w:vAlign w:val="center"/>
          </w:tcPr>
          <w:p w:rsidR="009A6D4C" w:rsidRPr="00D16CC2" w:rsidRDefault="009A6D4C" w:rsidP="00E84159">
            <w:pPr>
              <w:tabs>
                <w:tab w:val="left" w:pos="0"/>
              </w:tabs>
              <w:snapToGrid w:val="0"/>
              <w:jc w:val="right"/>
              <w:rPr>
                <w:rFonts w:asciiTheme="minorHAnsi" w:hAnsiTheme="minorHAnsi" w:cstheme="minorHAnsi"/>
                <w:i/>
                <w:sz w:val="20"/>
              </w:rPr>
            </w:pPr>
            <w:r>
              <w:rPr>
                <w:rFonts w:asciiTheme="minorHAnsi" w:hAnsiTheme="minorHAnsi" w:cstheme="minorHAnsi"/>
                <w:sz w:val="20"/>
              </w:rPr>
              <w:t>0</w:t>
            </w:r>
          </w:p>
        </w:tc>
        <w:tc>
          <w:tcPr>
            <w:tcW w:w="850" w:type="dxa"/>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vAlign w:val="center"/>
          </w:tcPr>
          <w:p w:rsidR="009A6D4C" w:rsidRPr="00D16CC2" w:rsidRDefault="009A6D4C"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1,438</w:t>
            </w:r>
          </w:p>
        </w:tc>
      </w:tr>
      <w:tr w:rsidR="009A6D4C" w:rsidRPr="00D16CC2" w:rsidTr="002B4062">
        <w:tc>
          <w:tcPr>
            <w:tcW w:w="3544" w:type="dxa"/>
            <w:vAlign w:val="center"/>
          </w:tcPr>
          <w:p w:rsidR="009A6D4C" w:rsidRPr="00D16CC2" w:rsidRDefault="009A6D4C" w:rsidP="0029581F">
            <w:pPr>
              <w:tabs>
                <w:tab w:val="left" w:pos="0"/>
              </w:tabs>
              <w:snapToGrid w:val="0"/>
              <w:rPr>
                <w:rFonts w:asciiTheme="minorHAnsi" w:hAnsiTheme="minorHAnsi" w:cstheme="minorHAnsi"/>
                <w:sz w:val="20"/>
              </w:rPr>
            </w:pPr>
            <w:r w:rsidRPr="00D16CC2">
              <w:rPr>
                <w:rFonts w:asciiTheme="minorHAnsi" w:hAnsiTheme="minorHAnsi" w:cstheme="minorHAnsi"/>
                <w:sz w:val="20"/>
              </w:rPr>
              <w:t>Derecognition – disposals</w:t>
            </w:r>
          </w:p>
        </w:tc>
        <w:tc>
          <w:tcPr>
            <w:tcW w:w="952" w:type="dxa"/>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24</w:t>
            </w:r>
          </w:p>
        </w:tc>
        <w:tc>
          <w:tcPr>
            <w:tcW w:w="1033" w:type="dxa"/>
            <w:gridSpan w:val="2"/>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48</w:t>
            </w:r>
          </w:p>
        </w:tc>
        <w:tc>
          <w:tcPr>
            <w:tcW w:w="992" w:type="dxa"/>
            <w:gridSpan w:val="2"/>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3"/>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2"/>
            <w:vAlign w:val="center"/>
          </w:tcPr>
          <w:p w:rsidR="009A6D4C" w:rsidRPr="00D16CC2" w:rsidRDefault="009A6D4C" w:rsidP="00E84159">
            <w:pPr>
              <w:tabs>
                <w:tab w:val="left" w:pos="0"/>
              </w:tabs>
              <w:snapToGrid w:val="0"/>
              <w:jc w:val="right"/>
              <w:rPr>
                <w:rFonts w:asciiTheme="minorHAnsi" w:hAnsiTheme="minorHAnsi" w:cstheme="minorHAnsi"/>
                <w:i/>
                <w:sz w:val="20"/>
              </w:rPr>
            </w:pPr>
            <w:r>
              <w:rPr>
                <w:rFonts w:asciiTheme="minorHAnsi" w:hAnsiTheme="minorHAnsi" w:cstheme="minorHAnsi"/>
                <w:sz w:val="20"/>
              </w:rPr>
              <w:t>0</w:t>
            </w:r>
          </w:p>
        </w:tc>
        <w:tc>
          <w:tcPr>
            <w:tcW w:w="850" w:type="dxa"/>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vAlign w:val="center"/>
          </w:tcPr>
          <w:p w:rsidR="009A6D4C" w:rsidRPr="00D16CC2" w:rsidRDefault="009A6D4C"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72</w:t>
            </w:r>
          </w:p>
        </w:tc>
      </w:tr>
      <w:tr w:rsidR="009A6D4C" w:rsidRPr="00D16CC2" w:rsidTr="002B4062">
        <w:tc>
          <w:tcPr>
            <w:tcW w:w="3544" w:type="dxa"/>
            <w:vAlign w:val="center"/>
          </w:tcPr>
          <w:p w:rsidR="009A6D4C" w:rsidRPr="00D16CC2" w:rsidRDefault="009A6D4C" w:rsidP="0029581F">
            <w:pPr>
              <w:tabs>
                <w:tab w:val="left" w:pos="0"/>
              </w:tabs>
              <w:snapToGrid w:val="0"/>
              <w:rPr>
                <w:rFonts w:asciiTheme="minorHAnsi" w:hAnsiTheme="minorHAnsi" w:cstheme="minorHAnsi"/>
                <w:sz w:val="20"/>
              </w:rPr>
            </w:pPr>
            <w:r w:rsidRPr="00D16CC2">
              <w:rPr>
                <w:rFonts w:asciiTheme="minorHAnsi" w:hAnsiTheme="minorHAnsi" w:cstheme="minorHAnsi"/>
                <w:sz w:val="20"/>
              </w:rPr>
              <w:t>Reclassifications – transfers</w:t>
            </w:r>
          </w:p>
        </w:tc>
        <w:tc>
          <w:tcPr>
            <w:tcW w:w="952" w:type="dxa"/>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2"/>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2"/>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3"/>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2"/>
            <w:vAlign w:val="center"/>
          </w:tcPr>
          <w:p w:rsidR="009A6D4C" w:rsidRPr="00D16CC2" w:rsidRDefault="009A6D4C" w:rsidP="00E84159">
            <w:pPr>
              <w:tabs>
                <w:tab w:val="left" w:pos="0"/>
              </w:tabs>
              <w:snapToGrid w:val="0"/>
              <w:jc w:val="right"/>
              <w:rPr>
                <w:rFonts w:asciiTheme="minorHAnsi" w:hAnsiTheme="minorHAnsi" w:cstheme="minorHAnsi"/>
                <w:i/>
                <w:sz w:val="20"/>
              </w:rPr>
            </w:pPr>
            <w:r>
              <w:rPr>
                <w:rFonts w:asciiTheme="minorHAnsi" w:hAnsiTheme="minorHAnsi" w:cstheme="minorHAnsi"/>
                <w:sz w:val="20"/>
              </w:rPr>
              <w:t>0</w:t>
            </w:r>
          </w:p>
        </w:tc>
        <w:tc>
          <w:tcPr>
            <w:tcW w:w="850" w:type="dxa"/>
            <w:vAlign w:val="center"/>
          </w:tcPr>
          <w:p w:rsidR="009A6D4C" w:rsidRPr="00D16CC2" w:rsidRDefault="009A6D4C"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vAlign w:val="center"/>
          </w:tcPr>
          <w:p w:rsidR="009A6D4C" w:rsidRPr="00D16CC2" w:rsidRDefault="009A6D4C"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9A6D4C" w:rsidRPr="00D16CC2" w:rsidTr="002B4062">
        <w:trPr>
          <w:trHeight w:val="391"/>
        </w:trPr>
        <w:tc>
          <w:tcPr>
            <w:tcW w:w="3544" w:type="dxa"/>
            <w:shd w:val="clear" w:color="auto" w:fill="EEECE1" w:themeFill="background2"/>
            <w:vAlign w:val="center"/>
          </w:tcPr>
          <w:p w:rsidR="009A6D4C" w:rsidRPr="00D16CC2" w:rsidRDefault="009A6D4C" w:rsidP="009A6D4C">
            <w:pPr>
              <w:tabs>
                <w:tab w:val="left" w:pos="0"/>
              </w:tabs>
              <w:snapToGrid w:val="0"/>
              <w:rPr>
                <w:rFonts w:asciiTheme="minorHAnsi" w:hAnsiTheme="minorHAnsi" w:cstheme="minorHAnsi"/>
                <w:b/>
                <w:bCs/>
                <w:sz w:val="20"/>
              </w:rPr>
            </w:pPr>
            <w:r w:rsidRPr="00D16CC2">
              <w:rPr>
                <w:rFonts w:asciiTheme="minorHAnsi" w:hAnsiTheme="minorHAnsi" w:cstheme="minorHAnsi"/>
                <w:b/>
                <w:bCs/>
                <w:sz w:val="20"/>
              </w:rPr>
              <w:t>At 31 March 201</w:t>
            </w:r>
            <w:r>
              <w:rPr>
                <w:rFonts w:asciiTheme="minorHAnsi" w:hAnsiTheme="minorHAnsi" w:cstheme="minorHAnsi"/>
                <w:b/>
                <w:bCs/>
                <w:sz w:val="20"/>
              </w:rPr>
              <w:t>9</w:t>
            </w:r>
          </w:p>
        </w:tc>
        <w:tc>
          <w:tcPr>
            <w:tcW w:w="952" w:type="dxa"/>
            <w:tcBorders>
              <w:top w:val="single" w:sz="4" w:space="0" w:color="000000"/>
              <w:bottom w:val="double" w:sz="4" w:space="0" w:color="000000"/>
            </w:tcBorders>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(1,955)</w:t>
            </w:r>
          </w:p>
        </w:tc>
        <w:tc>
          <w:tcPr>
            <w:tcW w:w="1033" w:type="dxa"/>
            <w:gridSpan w:val="2"/>
            <w:tcBorders>
              <w:top w:val="single" w:sz="4" w:space="0" w:color="000000"/>
              <w:bottom w:val="double" w:sz="4" w:space="0" w:color="000000"/>
            </w:tcBorders>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(7,215)</w:t>
            </w:r>
          </w:p>
        </w:tc>
        <w:tc>
          <w:tcPr>
            <w:tcW w:w="992" w:type="dxa"/>
            <w:gridSpan w:val="2"/>
            <w:tcBorders>
              <w:top w:val="single" w:sz="4" w:space="0" w:color="000000"/>
              <w:bottom w:val="double" w:sz="4" w:space="0" w:color="000000"/>
            </w:tcBorders>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(3,102)</w:t>
            </w:r>
          </w:p>
        </w:tc>
        <w:tc>
          <w:tcPr>
            <w:tcW w:w="850" w:type="dxa"/>
            <w:gridSpan w:val="3"/>
            <w:tcBorders>
              <w:top w:val="single" w:sz="4" w:space="0" w:color="000000"/>
              <w:bottom w:val="double" w:sz="4" w:space="0" w:color="000000"/>
            </w:tcBorders>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0</w:t>
            </w:r>
          </w:p>
        </w:tc>
        <w:tc>
          <w:tcPr>
            <w:tcW w:w="851" w:type="dxa"/>
            <w:gridSpan w:val="2"/>
            <w:tcBorders>
              <w:top w:val="single" w:sz="4" w:space="0" w:color="000000"/>
              <w:bottom w:val="double" w:sz="4" w:space="0" w:color="000000"/>
            </w:tcBorders>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(25)</w:t>
            </w:r>
          </w:p>
        </w:tc>
        <w:tc>
          <w:tcPr>
            <w:tcW w:w="850" w:type="dxa"/>
            <w:tcBorders>
              <w:top w:val="single" w:sz="4" w:space="0" w:color="000000"/>
              <w:bottom w:val="double" w:sz="4" w:space="0" w:color="000000"/>
            </w:tcBorders>
            <w:shd w:val="clear" w:color="auto" w:fill="EEECE1" w:themeFill="background2"/>
            <w:vAlign w:val="center"/>
          </w:tcPr>
          <w:p w:rsidR="009A6D4C" w:rsidRPr="00D16CC2" w:rsidRDefault="009A6D4C"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0</w:t>
            </w:r>
          </w:p>
        </w:tc>
        <w:tc>
          <w:tcPr>
            <w:tcW w:w="993" w:type="dxa"/>
            <w:tcBorders>
              <w:top w:val="single" w:sz="4" w:space="0" w:color="000000"/>
              <w:bottom w:val="double" w:sz="4" w:space="0" w:color="000000"/>
            </w:tcBorders>
            <w:shd w:val="clear" w:color="auto" w:fill="EEECE1" w:themeFill="background2"/>
            <w:vAlign w:val="center"/>
          </w:tcPr>
          <w:p w:rsidR="009A6D4C" w:rsidRPr="00D16CC2" w:rsidRDefault="009A6D4C" w:rsidP="00E84159">
            <w:pPr>
              <w:tabs>
                <w:tab w:val="left" w:pos="0"/>
              </w:tabs>
              <w:snapToGrid w:val="0"/>
              <w:ind w:right="-108"/>
              <w:jc w:val="right"/>
              <w:rPr>
                <w:rFonts w:asciiTheme="minorHAnsi" w:hAnsiTheme="minorHAnsi" w:cstheme="minorHAnsi"/>
                <w:b/>
                <w:bCs/>
                <w:sz w:val="20"/>
              </w:rPr>
            </w:pPr>
            <w:r w:rsidRPr="00D16CC2">
              <w:rPr>
                <w:rFonts w:asciiTheme="minorHAnsi" w:hAnsiTheme="minorHAnsi" w:cstheme="minorHAnsi"/>
                <w:b/>
                <w:bCs/>
                <w:sz w:val="20"/>
              </w:rPr>
              <w:t>(12,297)</w:t>
            </w:r>
          </w:p>
        </w:tc>
      </w:tr>
      <w:tr w:rsidR="00376763" w:rsidRPr="00056656" w:rsidTr="002B4062">
        <w:trPr>
          <w:trHeight w:val="201"/>
        </w:trPr>
        <w:tc>
          <w:tcPr>
            <w:tcW w:w="3544" w:type="dxa"/>
            <w:vAlign w:val="center"/>
          </w:tcPr>
          <w:p w:rsidR="00376763" w:rsidRPr="00D16CC2" w:rsidRDefault="00376763" w:rsidP="002350AF">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shd w:val="clear" w:color="auto" w:fill="auto"/>
            <w:vAlign w:val="center"/>
          </w:tcPr>
          <w:p w:rsidR="00376763" w:rsidRPr="00D16CC2" w:rsidRDefault="00376763" w:rsidP="007F78B0">
            <w:pPr>
              <w:tabs>
                <w:tab w:val="left" w:pos="0"/>
              </w:tabs>
              <w:snapToGrid w:val="0"/>
              <w:jc w:val="right"/>
              <w:rPr>
                <w:rFonts w:asciiTheme="minorHAnsi" w:hAnsiTheme="minorHAnsi" w:cstheme="minorHAnsi"/>
                <w:sz w:val="20"/>
              </w:rPr>
            </w:pPr>
            <w:r>
              <w:rPr>
                <w:rFonts w:asciiTheme="minorHAnsi" w:hAnsiTheme="minorHAnsi" w:cstheme="minorHAnsi"/>
                <w:sz w:val="20"/>
              </w:rPr>
              <w:t>(1,833)</w:t>
            </w:r>
          </w:p>
        </w:tc>
        <w:tc>
          <w:tcPr>
            <w:tcW w:w="1033" w:type="dxa"/>
            <w:gridSpan w:val="2"/>
            <w:shd w:val="clear" w:color="auto" w:fill="auto"/>
            <w:vAlign w:val="center"/>
          </w:tcPr>
          <w:p w:rsidR="00376763" w:rsidRPr="00D16CC2"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(1,138)</w:t>
            </w:r>
          </w:p>
        </w:tc>
        <w:tc>
          <w:tcPr>
            <w:tcW w:w="992" w:type="dxa"/>
            <w:gridSpan w:val="2"/>
            <w:shd w:val="clear" w:color="auto" w:fill="auto"/>
            <w:vAlign w:val="center"/>
          </w:tcPr>
          <w:p w:rsidR="00376763" w:rsidRPr="00D16CC2"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(246)</w:t>
            </w:r>
          </w:p>
        </w:tc>
        <w:tc>
          <w:tcPr>
            <w:tcW w:w="709" w:type="dxa"/>
            <w:gridSpan w:val="2"/>
            <w:shd w:val="clear" w:color="auto" w:fill="auto"/>
            <w:vAlign w:val="center"/>
          </w:tcPr>
          <w:p w:rsidR="00376763" w:rsidRPr="00D16CC2"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rsidR="00376763" w:rsidRPr="00D16CC2"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(5)</w:t>
            </w:r>
          </w:p>
        </w:tc>
        <w:tc>
          <w:tcPr>
            <w:tcW w:w="850" w:type="dxa"/>
            <w:shd w:val="clear" w:color="auto" w:fill="auto"/>
            <w:vAlign w:val="center"/>
          </w:tcPr>
          <w:p w:rsidR="00376763" w:rsidRPr="00D16CC2" w:rsidRDefault="00224B64"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shd w:val="clear" w:color="auto" w:fill="auto"/>
            <w:vAlign w:val="center"/>
          </w:tcPr>
          <w:p w:rsidR="00376763" w:rsidRPr="00056656" w:rsidRDefault="00376763" w:rsidP="007F78B0">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 xml:space="preserve"> (3,222)</w:t>
            </w:r>
          </w:p>
        </w:tc>
      </w:tr>
      <w:tr w:rsidR="00376763" w:rsidRPr="00056656" w:rsidTr="002B4062">
        <w:tc>
          <w:tcPr>
            <w:tcW w:w="3544" w:type="dxa"/>
            <w:vAlign w:val="center"/>
          </w:tcPr>
          <w:p w:rsidR="00376763" w:rsidRPr="00056656" w:rsidRDefault="00376763"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Depreciation written out to the Revaluation Reserve</w:t>
            </w:r>
          </w:p>
        </w:tc>
        <w:tc>
          <w:tcPr>
            <w:tcW w:w="952" w:type="dxa"/>
            <w:shd w:val="clear" w:color="auto" w:fill="auto"/>
            <w:vAlign w:val="center"/>
          </w:tcPr>
          <w:p w:rsidR="00376763" w:rsidRPr="00056656" w:rsidRDefault="00376763" w:rsidP="00F54867">
            <w:pPr>
              <w:tabs>
                <w:tab w:val="left" w:pos="0"/>
              </w:tabs>
              <w:snapToGrid w:val="0"/>
              <w:jc w:val="right"/>
              <w:rPr>
                <w:rFonts w:asciiTheme="minorHAnsi" w:hAnsiTheme="minorHAnsi" w:cstheme="minorHAnsi"/>
                <w:sz w:val="20"/>
              </w:rPr>
            </w:pPr>
            <w:r>
              <w:rPr>
                <w:rFonts w:asciiTheme="minorHAnsi" w:hAnsiTheme="minorHAnsi" w:cstheme="minorHAnsi"/>
                <w:sz w:val="20"/>
              </w:rPr>
              <w:t>1,</w:t>
            </w:r>
            <w:r w:rsidR="00F54867">
              <w:rPr>
                <w:rFonts w:asciiTheme="minorHAnsi" w:hAnsiTheme="minorHAnsi" w:cstheme="minorHAnsi"/>
                <w:sz w:val="20"/>
              </w:rPr>
              <w:t>318</w:t>
            </w:r>
          </w:p>
        </w:tc>
        <w:tc>
          <w:tcPr>
            <w:tcW w:w="1033" w:type="dxa"/>
            <w:gridSpan w:val="2"/>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2"/>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2"/>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shd w:val="clear" w:color="auto" w:fill="auto"/>
            <w:vAlign w:val="center"/>
          </w:tcPr>
          <w:p w:rsidR="00376763" w:rsidRPr="00056656" w:rsidRDefault="00F54867" w:rsidP="00F54867">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1,318</w:t>
            </w:r>
          </w:p>
        </w:tc>
      </w:tr>
      <w:tr w:rsidR="00F54867" w:rsidRPr="00056656" w:rsidTr="002B4062">
        <w:tc>
          <w:tcPr>
            <w:tcW w:w="3544" w:type="dxa"/>
            <w:vAlign w:val="center"/>
          </w:tcPr>
          <w:p w:rsidR="00F54867" w:rsidRPr="00056656" w:rsidRDefault="00F54867" w:rsidP="002350AF">
            <w:pPr>
              <w:tabs>
                <w:tab w:val="left" w:pos="0"/>
              </w:tabs>
              <w:snapToGrid w:val="0"/>
              <w:rPr>
                <w:rFonts w:asciiTheme="minorHAnsi" w:hAnsiTheme="minorHAnsi" w:cstheme="minorHAnsi"/>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shd w:val="clear" w:color="auto" w:fill="auto"/>
            <w:vAlign w:val="center"/>
          </w:tcPr>
          <w:p w:rsidR="00F54867" w:rsidRDefault="00F5486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385</w:t>
            </w:r>
          </w:p>
        </w:tc>
        <w:tc>
          <w:tcPr>
            <w:tcW w:w="1033" w:type="dxa"/>
            <w:gridSpan w:val="2"/>
            <w:shd w:val="clear" w:color="auto" w:fill="auto"/>
            <w:vAlign w:val="center"/>
          </w:tcPr>
          <w:p w:rsidR="00F54867" w:rsidRDefault="00F5486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2"/>
            <w:shd w:val="clear" w:color="auto" w:fill="auto"/>
            <w:vAlign w:val="center"/>
          </w:tcPr>
          <w:p w:rsidR="00F54867" w:rsidRDefault="00F5486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2"/>
            <w:shd w:val="clear" w:color="auto" w:fill="auto"/>
            <w:vAlign w:val="center"/>
          </w:tcPr>
          <w:p w:rsidR="00F54867" w:rsidRDefault="00F5486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rsidR="00F54867" w:rsidRDefault="00F5486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shd w:val="clear" w:color="auto" w:fill="auto"/>
            <w:vAlign w:val="center"/>
          </w:tcPr>
          <w:p w:rsidR="00F54867" w:rsidRDefault="00F54867" w:rsidP="002753F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shd w:val="clear" w:color="auto" w:fill="auto"/>
            <w:vAlign w:val="center"/>
          </w:tcPr>
          <w:p w:rsidR="00F54867" w:rsidRDefault="00F54867"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385</w:t>
            </w:r>
          </w:p>
        </w:tc>
      </w:tr>
      <w:tr w:rsidR="00376763" w:rsidRPr="00056656" w:rsidTr="002B4062">
        <w:tc>
          <w:tcPr>
            <w:tcW w:w="3544" w:type="dxa"/>
            <w:vAlign w:val="center"/>
          </w:tcPr>
          <w:p w:rsidR="00376763" w:rsidRPr="00056656" w:rsidRDefault="00376763"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Derecognition – disposals</w:t>
            </w:r>
          </w:p>
        </w:tc>
        <w:tc>
          <w:tcPr>
            <w:tcW w:w="952" w:type="dxa"/>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2"/>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17</w:t>
            </w:r>
          </w:p>
        </w:tc>
        <w:tc>
          <w:tcPr>
            <w:tcW w:w="992" w:type="dxa"/>
            <w:gridSpan w:val="2"/>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2"/>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shd w:val="clear" w:color="auto" w:fill="auto"/>
            <w:vAlign w:val="center"/>
          </w:tcPr>
          <w:p w:rsidR="00376763" w:rsidRPr="00056656" w:rsidRDefault="00376763" w:rsidP="002753F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17</w:t>
            </w:r>
          </w:p>
        </w:tc>
      </w:tr>
      <w:tr w:rsidR="00376763" w:rsidRPr="00056656" w:rsidTr="002B4062">
        <w:tc>
          <w:tcPr>
            <w:tcW w:w="3544" w:type="dxa"/>
            <w:vAlign w:val="center"/>
          </w:tcPr>
          <w:p w:rsidR="00376763" w:rsidRPr="00056656" w:rsidRDefault="00376763"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Reclassifications – transfers</w:t>
            </w:r>
          </w:p>
        </w:tc>
        <w:tc>
          <w:tcPr>
            <w:tcW w:w="952" w:type="dxa"/>
            <w:shd w:val="clear" w:color="auto" w:fill="auto"/>
            <w:vAlign w:val="center"/>
          </w:tcPr>
          <w:p w:rsidR="00376763" w:rsidRPr="00056656" w:rsidRDefault="0037676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2"/>
            <w:shd w:val="clear" w:color="auto" w:fill="auto"/>
            <w:vAlign w:val="center"/>
          </w:tcPr>
          <w:p w:rsidR="00376763" w:rsidRPr="00056656" w:rsidRDefault="0012781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2"/>
            <w:shd w:val="clear" w:color="auto" w:fill="auto"/>
            <w:vAlign w:val="center"/>
          </w:tcPr>
          <w:p w:rsidR="00376763" w:rsidRPr="00056656" w:rsidRDefault="0012781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2"/>
            <w:shd w:val="clear" w:color="auto" w:fill="auto"/>
            <w:vAlign w:val="center"/>
          </w:tcPr>
          <w:p w:rsidR="00376763" w:rsidRPr="00056656" w:rsidRDefault="0012781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rsidR="00376763" w:rsidRPr="00056656" w:rsidRDefault="0012781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shd w:val="clear" w:color="auto" w:fill="auto"/>
            <w:vAlign w:val="center"/>
          </w:tcPr>
          <w:p w:rsidR="00376763" w:rsidRPr="00056656" w:rsidRDefault="00127817"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shd w:val="clear" w:color="auto" w:fill="auto"/>
            <w:vAlign w:val="center"/>
          </w:tcPr>
          <w:p w:rsidR="00376763" w:rsidRPr="00056656" w:rsidRDefault="00127817"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376763" w:rsidRPr="00056656" w:rsidTr="002B4062">
        <w:trPr>
          <w:trHeight w:val="391"/>
        </w:trPr>
        <w:tc>
          <w:tcPr>
            <w:tcW w:w="3544" w:type="dxa"/>
            <w:shd w:val="clear" w:color="auto" w:fill="EEECE1" w:themeFill="background2"/>
            <w:vAlign w:val="center"/>
          </w:tcPr>
          <w:p w:rsidR="00376763" w:rsidRPr="00056656" w:rsidRDefault="00376763" w:rsidP="009A6D4C">
            <w:pPr>
              <w:tabs>
                <w:tab w:val="left" w:pos="0"/>
              </w:tabs>
              <w:snapToGrid w:val="0"/>
              <w:rPr>
                <w:rFonts w:asciiTheme="minorHAnsi" w:hAnsiTheme="minorHAnsi" w:cstheme="minorHAnsi"/>
                <w:b/>
                <w:bCs/>
                <w:sz w:val="20"/>
              </w:rPr>
            </w:pPr>
            <w:r>
              <w:rPr>
                <w:rFonts w:asciiTheme="minorHAnsi" w:hAnsiTheme="minorHAnsi" w:cstheme="minorHAnsi"/>
                <w:b/>
                <w:bCs/>
                <w:sz w:val="20"/>
              </w:rPr>
              <w:t>At 31 March 2020</w:t>
            </w:r>
          </w:p>
        </w:tc>
        <w:tc>
          <w:tcPr>
            <w:tcW w:w="952" w:type="dxa"/>
            <w:tcBorders>
              <w:top w:val="single" w:sz="4" w:space="0" w:color="000000"/>
              <w:bottom w:val="single" w:sz="4" w:space="0" w:color="auto"/>
            </w:tcBorders>
            <w:shd w:val="clear" w:color="auto" w:fill="EEECE1" w:themeFill="background2"/>
            <w:vAlign w:val="center"/>
          </w:tcPr>
          <w:p w:rsidR="00376763" w:rsidRPr="00D16CC2" w:rsidRDefault="00376763" w:rsidP="0099453A">
            <w:pPr>
              <w:tabs>
                <w:tab w:val="left" w:pos="0"/>
              </w:tabs>
              <w:snapToGrid w:val="0"/>
              <w:jc w:val="right"/>
              <w:rPr>
                <w:rFonts w:asciiTheme="minorHAnsi" w:hAnsiTheme="minorHAnsi" w:cstheme="minorHAnsi"/>
                <w:b/>
                <w:sz w:val="20"/>
              </w:rPr>
            </w:pPr>
            <w:r>
              <w:rPr>
                <w:rFonts w:asciiTheme="minorHAnsi" w:hAnsiTheme="minorHAnsi" w:cstheme="minorHAnsi"/>
                <w:b/>
                <w:sz w:val="20"/>
              </w:rPr>
              <w:t>(2,08</w:t>
            </w:r>
            <w:r w:rsidR="0099453A">
              <w:rPr>
                <w:rFonts w:asciiTheme="minorHAnsi" w:hAnsiTheme="minorHAnsi" w:cstheme="minorHAnsi"/>
                <w:b/>
                <w:sz w:val="20"/>
              </w:rPr>
              <w:t>5</w:t>
            </w:r>
            <w:r>
              <w:rPr>
                <w:rFonts w:asciiTheme="minorHAnsi" w:hAnsiTheme="minorHAnsi" w:cstheme="minorHAnsi"/>
                <w:b/>
                <w:sz w:val="20"/>
              </w:rPr>
              <w:t>)</w:t>
            </w:r>
          </w:p>
        </w:tc>
        <w:tc>
          <w:tcPr>
            <w:tcW w:w="1033" w:type="dxa"/>
            <w:gridSpan w:val="2"/>
            <w:tcBorders>
              <w:top w:val="single" w:sz="4" w:space="0" w:color="000000"/>
              <w:bottom w:val="single" w:sz="4" w:space="0" w:color="auto"/>
            </w:tcBorders>
            <w:shd w:val="clear" w:color="auto" w:fill="EEECE1" w:themeFill="background2"/>
            <w:vAlign w:val="center"/>
          </w:tcPr>
          <w:p w:rsidR="00376763" w:rsidRPr="00D16CC2" w:rsidRDefault="00376763"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(8,336)</w:t>
            </w:r>
          </w:p>
        </w:tc>
        <w:tc>
          <w:tcPr>
            <w:tcW w:w="992" w:type="dxa"/>
            <w:gridSpan w:val="2"/>
            <w:tcBorders>
              <w:top w:val="single" w:sz="4" w:space="0" w:color="000000"/>
              <w:bottom w:val="single" w:sz="4" w:space="0" w:color="auto"/>
            </w:tcBorders>
            <w:shd w:val="clear" w:color="auto" w:fill="EEECE1" w:themeFill="background2"/>
            <w:vAlign w:val="center"/>
          </w:tcPr>
          <w:p w:rsidR="00376763" w:rsidRPr="00D16CC2" w:rsidRDefault="00376763"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(3,348)</w:t>
            </w:r>
          </w:p>
        </w:tc>
        <w:tc>
          <w:tcPr>
            <w:tcW w:w="709" w:type="dxa"/>
            <w:gridSpan w:val="2"/>
            <w:tcBorders>
              <w:top w:val="single" w:sz="4" w:space="0" w:color="000000"/>
              <w:bottom w:val="single" w:sz="4" w:space="0" w:color="auto"/>
            </w:tcBorders>
            <w:shd w:val="clear" w:color="auto" w:fill="EEECE1" w:themeFill="background2"/>
            <w:vAlign w:val="center"/>
          </w:tcPr>
          <w:p w:rsidR="00376763" w:rsidRPr="00D16CC2" w:rsidRDefault="00376763"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2" w:type="dxa"/>
            <w:gridSpan w:val="3"/>
            <w:tcBorders>
              <w:top w:val="single" w:sz="4" w:space="0" w:color="000000"/>
              <w:bottom w:val="single" w:sz="4" w:space="0" w:color="auto"/>
            </w:tcBorders>
            <w:shd w:val="clear" w:color="auto" w:fill="EEECE1" w:themeFill="background2"/>
            <w:vAlign w:val="center"/>
          </w:tcPr>
          <w:p w:rsidR="00376763" w:rsidRPr="00D16CC2" w:rsidRDefault="00376763"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(30)</w:t>
            </w:r>
          </w:p>
        </w:tc>
        <w:tc>
          <w:tcPr>
            <w:tcW w:w="850" w:type="dxa"/>
            <w:tcBorders>
              <w:top w:val="single" w:sz="4" w:space="0" w:color="000000"/>
              <w:bottom w:val="single" w:sz="4" w:space="0" w:color="auto"/>
            </w:tcBorders>
            <w:shd w:val="clear" w:color="auto" w:fill="EEECE1" w:themeFill="background2"/>
            <w:vAlign w:val="center"/>
          </w:tcPr>
          <w:p w:rsidR="00376763" w:rsidRPr="00D16CC2" w:rsidRDefault="00224B64"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3" w:type="dxa"/>
            <w:tcBorders>
              <w:top w:val="single" w:sz="4" w:space="0" w:color="000000"/>
              <w:bottom w:val="single" w:sz="4" w:space="0" w:color="auto"/>
            </w:tcBorders>
            <w:shd w:val="clear" w:color="auto" w:fill="EEECE1" w:themeFill="background2"/>
            <w:vAlign w:val="center"/>
          </w:tcPr>
          <w:p w:rsidR="00376763" w:rsidRPr="00D16CC2" w:rsidRDefault="00376763" w:rsidP="0099453A">
            <w:pPr>
              <w:tabs>
                <w:tab w:val="left" w:pos="0"/>
              </w:tabs>
              <w:snapToGrid w:val="0"/>
              <w:ind w:right="-108"/>
              <w:jc w:val="right"/>
              <w:rPr>
                <w:rFonts w:asciiTheme="minorHAnsi" w:hAnsiTheme="minorHAnsi" w:cstheme="minorHAnsi"/>
                <w:b/>
                <w:bCs/>
                <w:sz w:val="20"/>
              </w:rPr>
            </w:pPr>
            <w:r>
              <w:rPr>
                <w:rFonts w:asciiTheme="minorHAnsi" w:hAnsiTheme="minorHAnsi" w:cstheme="minorHAnsi"/>
                <w:b/>
                <w:bCs/>
                <w:sz w:val="20"/>
              </w:rPr>
              <w:t>(13,79</w:t>
            </w:r>
            <w:r w:rsidR="0099453A">
              <w:rPr>
                <w:rFonts w:asciiTheme="minorHAnsi" w:hAnsiTheme="minorHAnsi" w:cstheme="minorHAnsi"/>
                <w:b/>
                <w:bCs/>
                <w:sz w:val="20"/>
              </w:rPr>
              <w:t>9</w:t>
            </w:r>
            <w:r>
              <w:rPr>
                <w:rFonts w:asciiTheme="minorHAnsi" w:hAnsiTheme="minorHAnsi" w:cstheme="minorHAnsi"/>
                <w:b/>
                <w:bCs/>
                <w:sz w:val="20"/>
              </w:rPr>
              <w:t>)</w:t>
            </w:r>
          </w:p>
        </w:tc>
      </w:tr>
      <w:tr w:rsidR="00376763" w:rsidRPr="00056656" w:rsidTr="002B4062">
        <w:tc>
          <w:tcPr>
            <w:tcW w:w="3544" w:type="dxa"/>
            <w:vAlign w:val="bottom"/>
          </w:tcPr>
          <w:p w:rsidR="00376763" w:rsidRPr="00056656" w:rsidRDefault="00376763" w:rsidP="002350AF">
            <w:pPr>
              <w:tabs>
                <w:tab w:val="left" w:pos="0"/>
              </w:tabs>
              <w:snapToGrid w:val="0"/>
              <w:rPr>
                <w:rFonts w:asciiTheme="minorHAnsi" w:hAnsiTheme="minorHAnsi" w:cstheme="minorHAnsi"/>
                <w:b/>
                <w:bCs/>
                <w:sz w:val="20"/>
              </w:rPr>
            </w:pPr>
          </w:p>
        </w:tc>
        <w:tc>
          <w:tcPr>
            <w:tcW w:w="952" w:type="dxa"/>
            <w:tcBorders>
              <w:top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1033" w:type="dxa"/>
            <w:gridSpan w:val="2"/>
            <w:tcBorders>
              <w:top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992" w:type="dxa"/>
            <w:gridSpan w:val="2"/>
            <w:tcBorders>
              <w:top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709" w:type="dxa"/>
            <w:gridSpan w:val="2"/>
            <w:tcBorders>
              <w:top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992" w:type="dxa"/>
            <w:gridSpan w:val="3"/>
            <w:tcBorders>
              <w:top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850" w:type="dxa"/>
            <w:tcBorders>
              <w:top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993" w:type="dxa"/>
            <w:tcBorders>
              <w:top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r>
      <w:tr w:rsidR="00376763" w:rsidRPr="00056656" w:rsidTr="002B4062">
        <w:tc>
          <w:tcPr>
            <w:tcW w:w="3544" w:type="dxa"/>
            <w:vAlign w:val="bottom"/>
          </w:tcPr>
          <w:p w:rsidR="00376763" w:rsidRPr="00056656" w:rsidRDefault="00376763" w:rsidP="002350AF">
            <w:pPr>
              <w:tabs>
                <w:tab w:val="left" w:pos="0"/>
              </w:tabs>
              <w:snapToGrid w:val="0"/>
              <w:rPr>
                <w:rFonts w:asciiTheme="minorHAnsi" w:hAnsiTheme="minorHAnsi" w:cstheme="minorHAnsi"/>
                <w:b/>
                <w:bCs/>
                <w:sz w:val="20"/>
              </w:rPr>
            </w:pPr>
            <w:r w:rsidRPr="00056656">
              <w:rPr>
                <w:rFonts w:asciiTheme="minorHAnsi" w:hAnsiTheme="minorHAnsi" w:cstheme="minorHAnsi"/>
                <w:b/>
                <w:bCs/>
                <w:sz w:val="20"/>
              </w:rPr>
              <w:t>Net Book Value</w:t>
            </w:r>
          </w:p>
        </w:tc>
        <w:tc>
          <w:tcPr>
            <w:tcW w:w="952" w:type="dxa"/>
            <w:tcBorders>
              <w:bottom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1033" w:type="dxa"/>
            <w:gridSpan w:val="2"/>
            <w:tcBorders>
              <w:bottom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992" w:type="dxa"/>
            <w:gridSpan w:val="2"/>
            <w:tcBorders>
              <w:bottom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709" w:type="dxa"/>
            <w:gridSpan w:val="2"/>
            <w:tcBorders>
              <w:bottom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992" w:type="dxa"/>
            <w:gridSpan w:val="3"/>
            <w:tcBorders>
              <w:bottom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850" w:type="dxa"/>
            <w:tcBorders>
              <w:bottom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c>
          <w:tcPr>
            <w:tcW w:w="993" w:type="dxa"/>
            <w:tcBorders>
              <w:bottom w:val="single" w:sz="4" w:space="0" w:color="auto"/>
            </w:tcBorders>
          </w:tcPr>
          <w:p w:rsidR="00376763" w:rsidRPr="00D16CC2" w:rsidRDefault="00376763" w:rsidP="00E84159">
            <w:pPr>
              <w:tabs>
                <w:tab w:val="left" w:pos="0"/>
              </w:tabs>
              <w:snapToGrid w:val="0"/>
              <w:jc w:val="right"/>
              <w:rPr>
                <w:rFonts w:asciiTheme="minorHAnsi" w:hAnsiTheme="minorHAnsi" w:cstheme="minorHAnsi"/>
                <w:b/>
                <w:bCs/>
                <w:sz w:val="20"/>
              </w:rPr>
            </w:pPr>
          </w:p>
        </w:tc>
      </w:tr>
      <w:tr w:rsidR="00376763" w:rsidRPr="00056656" w:rsidTr="002B4062">
        <w:trPr>
          <w:trHeight w:val="287"/>
        </w:trPr>
        <w:tc>
          <w:tcPr>
            <w:tcW w:w="3544" w:type="dxa"/>
            <w:shd w:val="clear" w:color="auto" w:fill="EEECE1" w:themeFill="background2"/>
            <w:vAlign w:val="center"/>
          </w:tcPr>
          <w:p w:rsidR="00376763" w:rsidRPr="00F87F98" w:rsidRDefault="00376763" w:rsidP="009A6D4C">
            <w:pPr>
              <w:tabs>
                <w:tab w:val="left" w:pos="0"/>
              </w:tabs>
              <w:snapToGrid w:val="0"/>
              <w:rPr>
                <w:rFonts w:asciiTheme="minorHAnsi" w:hAnsiTheme="minorHAnsi" w:cstheme="minorHAnsi"/>
                <w:sz w:val="20"/>
              </w:rPr>
            </w:pPr>
            <w:r w:rsidRPr="00F87F98">
              <w:rPr>
                <w:rFonts w:asciiTheme="minorHAnsi" w:hAnsiTheme="minorHAnsi" w:cstheme="minorHAnsi"/>
                <w:sz w:val="20"/>
              </w:rPr>
              <w:t>At 31 March 201</w:t>
            </w:r>
            <w:r>
              <w:rPr>
                <w:rFonts w:asciiTheme="minorHAnsi" w:hAnsiTheme="minorHAnsi" w:cstheme="minorHAnsi"/>
                <w:sz w:val="20"/>
              </w:rPr>
              <w:t>9</w:t>
            </w:r>
          </w:p>
        </w:tc>
        <w:tc>
          <w:tcPr>
            <w:tcW w:w="952" w:type="dxa"/>
            <w:tcBorders>
              <w:top w:val="single" w:sz="4" w:space="0" w:color="auto"/>
            </w:tcBorders>
            <w:shd w:val="clear" w:color="auto" w:fill="EEECE1" w:themeFill="background2"/>
            <w:vAlign w:val="center"/>
          </w:tcPr>
          <w:p w:rsidR="00376763" w:rsidRPr="00D16CC2" w:rsidRDefault="00376763" w:rsidP="00E84159">
            <w:pPr>
              <w:snapToGrid w:val="0"/>
              <w:jc w:val="right"/>
              <w:rPr>
                <w:rFonts w:asciiTheme="minorHAnsi" w:hAnsiTheme="minorHAnsi" w:cstheme="minorHAnsi"/>
                <w:b/>
                <w:sz w:val="20"/>
              </w:rPr>
            </w:pPr>
            <w:r w:rsidRPr="00D16CC2">
              <w:rPr>
                <w:rFonts w:asciiTheme="minorHAnsi" w:hAnsiTheme="minorHAnsi" w:cstheme="minorHAnsi"/>
                <w:b/>
                <w:sz w:val="20"/>
              </w:rPr>
              <w:t>114,787</w:t>
            </w:r>
          </w:p>
        </w:tc>
        <w:tc>
          <w:tcPr>
            <w:tcW w:w="1033" w:type="dxa"/>
            <w:gridSpan w:val="2"/>
            <w:tcBorders>
              <w:top w:val="single" w:sz="4" w:space="0" w:color="auto"/>
            </w:tcBorders>
            <w:shd w:val="clear" w:color="auto" w:fill="EEECE1" w:themeFill="background2"/>
            <w:vAlign w:val="center"/>
          </w:tcPr>
          <w:p w:rsidR="00376763" w:rsidRPr="00D16CC2" w:rsidRDefault="00376763" w:rsidP="00E84159">
            <w:pPr>
              <w:snapToGrid w:val="0"/>
              <w:jc w:val="right"/>
              <w:rPr>
                <w:rFonts w:asciiTheme="minorHAnsi" w:hAnsiTheme="minorHAnsi" w:cstheme="minorHAnsi"/>
                <w:b/>
                <w:sz w:val="20"/>
              </w:rPr>
            </w:pPr>
            <w:r w:rsidRPr="00D16CC2">
              <w:rPr>
                <w:rFonts w:asciiTheme="minorHAnsi" w:hAnsiTheme="minorHAnsi" w:cstheme="minorHAnsi"/>
                <w:b/>
                <w:sz w:val="20"/>
              </w:rPr>
              <w:t>5,855</w:t>
            </w:r>
          </w:p>
        </w:tc>
        <w:tc>
          <w:tcPr>
            <w:tcW w:w="992" w:type="dxa"/>
            <w:gridSpan w:val="2"/>
            <w:tcBorders>
              <w:top w:val="single" w:sz="4" w:space="0" w:color="auto"/>
            </w:tcBorders>
            <w:shd w:val="clear" w:color="auto" w:fill="EEECE1" w:themeFill="background2"/>
            <w:vAlign w:val="center"/>
          </w:tcPr>
          <w:p w:rsidR="00376763" w:rsidRPr="00D16CC2" w:rsidRDefault="00376763" w:rsidP="00E84159">
            <w:pPr>
              <w:snapToGrid w:val="0"/>
              <w:jc w:val="right"/>
              <w:rPr>
                <w:rFonts w:asciiTheme="minorHAnsi" w:hAnsiTheme="minorHAnsi" w:cstheme="minorHAnsi"/>
                <w:b/>
                <w:sz w:val="20"/>
              </w:rPr>
            </w:pPr>
            <w:r w:rsidRPr="00D16CC2">
              <w:rPr>
                <w:rFonts w:asciiTheme="minorHAnsi" w:hAnsiTheme="minorHAnsi" w:cstheme="minorHAnsi"/>
                <w:b/>
                <w:sz w:val="20"/>
              </w:rPr>
              <w:t>1,398</w:t>
            </w:r>
          </w:p>
        </w:tc>
        <w:tc>
          <w:tcPr>
            <w:tcW w:w="709" w:type="dxa"/>
            <w:gridSpan w:val="2"/>
            <w:tcBorders>
              <w:top w:val="single" w:sz="4" w:space="0" w:color="auto"/>
            </w:tcBorders>
            <w:shd w:val="clear" w:color="auto" w:fill="EEECE1" w:themeFill="background2"/>
            <w:vAlign w:val="center"/>
          </w:tcPr>
          <w:p w:rsidR="00376763" w:rsidRPr="00D16CC2" w:rsidRDefault="00376763" w:rsidP="00E84159">
            <w:pPr>
              <w:snapToGrid w:val="0"/>
              <w:jc w:val="right"/>
              <w:rPr>
                <w:rFonts w:asciiTheme="minorHAnsi" w:hAnsiTheme="minorHAnsi" w:cstheme="minorHAnsi"/>
                <w:b/>
                <w:sz w:val="20"/>
              </w:rPr>
            </w:pPr>
            <w:r w:rsidRPr="00D16CC2">
              <w:rPr>
                <w:rFonts w:asciiTheme="minorHAnsi" w:hAnsiTheme="minorHAnsi" w:cstheme="minorHAnsi"/>
                <w:b/>
                <w:sz w:val="20"/>
              </w:rPr>
              <w:t>28</w:t>
            </w:r>
          </w:p>
        </w:tc>
        <w:tc>
          <w:tcPr>
            <w:tcW w:w="992" w:type="dxa"/>
            <w:gridSpan w:val="3"/>
            <w:tcBorders>
              <w:top w:val="single" w:sz="4" w:space="0" w:color="auto"/>
            </w:tcBorders>
            <w:shd w:val="clear" w:color="auto" w:fill="EEECE1" w:themeFill="background2"/>
            <w:vAlign w:val="center"/>
          </w:tcPr>
          <w:p w:rsidR="00376763" w:rsidRPr="00D16CC2" w:rsidRDefault="00376763" w:rsidP="00E84159">
            <w:pPr>
              <w:snapToGrid w:val="0"/>
              <w:jc w:val="right"/>
              <w:rPr>
                <w:rFonts w:asciiTheme="minorHAnsi" w:hAnsiTheme="minorHAnsi" w:cstheme="minorHAnsi"/>
                <w:b/>
                <w:sz w:val="20"/>
              </w:rPr>
            </w:pPr>
            <w:r w:rsidRPr="00D16CC2">
              <w:rPr>
                <w:rFonts w:asciiTheme="minorHAnsi" w:hAnsiTheme="minorHAnsi" w:cstheme="minorHAnsi"/>
                <w:b/>
                <w:sz w:val="20"/>
              </w:rPr>
              <w:t>3,143</w:t>
            </w:r>
          </w:p>
        </w:tc>
        <w:tc>
          <w:tcPr>
            <w:tcW w:w="850" w:type="dxa"/>
            <w:tcBorders>
              <w:top w:val="single" w:sz="4" w:space="0" w:color="auto"/>
            </w:tcBorders>
            <w:shd w:val="clear" w:color="auto" w:fill="EEECE1" w:themeFill="background2"/>
            <w:vAlign w:val="center"/>
          </w:tcPr>
          <w:p w:rsidR="00376763" w:rsidRPr="00D16CC2" w:rsidRDefault="00376763" w:rsidP="00E84159">
            <w:pPr>
              <w:snapToGrid w:val="0"/>
              <w:jc w:val="right"/>
              <w:rPr>
                <w:rFonts w:asciiTheme="minorHAnsi" w:hAnsiTheme="minorHAnsi" w:cstheme="minorHAnsi"/>
                <w:b/>
                <w:sz w:val="20"/>
              </w:rPr>
            </w:pPr>
            <w:r w:rsidRPr="00D16CC2">
              <w:rPr>
                <w:rFonts w:asciiTheme="minorHAnsi" w:hAnsiTheme="minorHAnsi" w:cstheme="minorHAnsi"/>
                <w:b/>
                <w:sz w:val="20"/>
              </w:rPr>
              <w:t>0</w:t>
            </w:r>
          </w:p>
        </w:tc>
        <w:tc>
          <w:tcPr>
            <w:tcW w:w="993" w:type="dxa"/>
            <w:tcBorders>
              <w:top w:val="single" w:sz="4" w:space="0" w:color="auto"/>
            </w:tcBorders>
            <w:shd w:val="clear" w:color="auto" w:fill="EEECE1" w:themeFill="background2"/>
            <w:vAlign w:val="center"/>
          </w:tcPr>
          <w:p w:rsidR="00376763" w:rsidRPr="00D16CC2" w:rsidRDefault="00376763" w:rsidP="00E84159">
            <w:pPr>
              <w:snapToGrid w:val="0"/>
              <w:jc w:val="right"/>
              <w:rPr>
                <w:rFonts w:asciiTheme="minorHAnsi" w:hAnsiTheme="minorHAnsi" w:cstheme="minorHAnsi"/>
                <w:b/>
                <w:bCs/>
                <w:sz w:val="20"/>
              </w:rPr>
            </w:pPr>
            <w:r w:rsidRPr="00D16CC2">
              <w:rPr>
                <w:rFonts w:asciiTheme="minorHAnsi" w:hAnsiTheme="minorHAnsi" w:cstheme="minorHAnsi"/>
                <w:b/>
                <w:bCs/>
                <w:sz w:val="20"/>
              </w:rPr>
              <w:t>125,211</w:t>
            </w:r>
          </w:p>
        </w:tc>
      </w:tr>
      <w:tr w:rsidR="00376763" w:rsidRPr="00056656" w:rsidTr="002B4062">
        <w:trPr>
          <w:trHeight w:val="241"/>
        </w:trPr>
        <w:tc>
          <w:tcPr>
            <w:tcW w:w="3544" w:type="dxa"/>
            <w:shd w:val="clear" w:color="auto" w:fill="EEECE1" w:themeFill="background2"/>
            <w:vAlign w:val="center"/>
          </w:tcPr>
          <w:p w:rsidR="00376763" w:rsidRPr="00C9777D" w:rsidRDefault="00376763" w:rsidP="009A6D4C">
            <w:pPr>
              <w:tabs>
                <w:tab w:val="left" w:pos="0"/>
              </w:tabs>
              <w:snapToGrid w:val="0"/>
              <w:rPr>
                <w:rFonts w:asciiTheme="minorHAnsi" w:hAnsiTheme="minorHAnsi" w:cstheme="minorHAnsi"/>
                <w:sz w:val="20"/>
              </w:rPr>
            </w:pPr>
            <w:r w:rsidRPr="00C9777D">
              <w:rPr>
                <w:rFonts w:asciiTheme="minorHAnsi" w:hAnsiTheme="minorHAnsi" w:cstheme="minorHAnsi"/>
                <w:sz w:val="20"/>
              </w:rPr>
              <w:t>At 31 March 20</w:t>
            </w:r>
            <w:r>
              <w:rPr>
                <w:rFonts w:asciiTheme="minorHAnsi" w:hAnsiTheme="minorHAnsi" w:cstheme="minorHAnsi"/>
                <w:sz w:val="20"/>
              </w:rPr>
              <w:t>20</w:t>
            </w:r>
          </w:p>
        </w:tc>
        <w:tc>
          <w:tcPr>
            <w:tcW w:w="952" w:type="dxa"/>
            <w:tcBorders>
              <w:bottom w:val="single" w:sz="4" w:space="0" w:color="auto"/>
            </w:tcBorders>
            <w:shd w:val="clear" w:color="auto" w:fill="EEECE1" w:themeFill="background2"/>
            <w:vAlign w:val="center"/>
          </w:tcPr>
          <w:p w:rsidR="00376763" w:rsidRPr="00D16CC2" w:rsidRDefault="0099453A" w:rsidP="0029174B">
            <w:pPr>
              <w:tabs>
                <w:tab w:val="left" w:pos="0"/>
              </w:tabs>
              <w:snapToGrid w:val="0"/>
              <w:jc w:val="right"/>
              <w:rPr>
                <w:rFonts w:asciiTheme="minorHAnsi" w:hAnsiTheme="minorHAnsi" w:cstheme="minorHAnsi"/>
                <w:b/>
                <w:sz w:val="20"/>
              </w:rPr>
            </w:pPr>
            <w:r>
              <w:rPr>
                <w:rFonts w:asciiTheme="minorHAnsi" w:hAnsiTheme="minorHAnsi" w:cstheme="minorHAnsi"/>
                <w:b/>
                <w:sz w:val="20"/>
              </w:rPr>
              <w:t>117,000</w:t>
            </w:r>
          </w:p>
        </w:tc>
        <w:tc>
          <w:tcPr>
            <w:tcW w:w="1033" w:type="dxa"/>
            <w:gridSpan w:val="2"/>
            <w:tcBorders>
              <w:bottom w:val="single" w:sz="4" w:space="0" w:color="auto"/>
            </w:tcBorders>
            <w:shd w:val="clear" w:color="auto" w:fill="EEECE1" w:themeFill="background2"/>
            <w:vAlign w:val="center"/>
          </w:tcPr>
          <w:p w:rsidR="00376763" w:rsidRPr="00D16CC2" w:rsidRDefault="00AE7C74"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5,582</w:t>
            </w:r>
          </w:p>
        </w:tc>
        <w:tc>
          <w:tcPr>
            <w:tcW w:w="992" w:type="dxa"/>
            <w:gridSpan w:val="2"/>
            <w:tcBorders>
              <w:bottom w:val="single" w:sz="4" w:space="0" w:color="auto"/>
            </w:tcBorders>
            <w:shd w:val="clear" w:color="auto" w:fill="EEECE1" w:themeFill="background2"/>
            <w:vAlign w:val="center"/>
          </w:tcPr>
          <w:p w:rsidR="00376763" w:rsidRPr="00D16CC2" w:rsidRDefault="00AE7C74"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1,152</w:t>
            </w:r>
          </w:p>
        </w:tc>
        <w:tc>
          <w:tcPr>
            <w:tcW w:w="709" w:type="dxa"/>
            <w:gridSpan w:val="2"/>
            <w:tcBorders>
              <w:bottom w:val="single" w:sz="4" w:space="0" w:color="auto"/>
            </w:tcBorders>
            <w:shd w:val="clear" w:color="auto" w:fill="EEECE1" w:themeFill="background2"/>
            <w:vAlign w:val="center"/>
          </w:tcPr>
          <w:p w:rsidR="00376763" w:rsidRPr="00D16CC2" w:rsidRDefault="00AE7C74"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28</w:t>
            </w:r>
          </w:p>
        </w:tc>
        <w:tc>
          <w:tcPr>
            <w:tcW w:w="992" w:type="dxa"/>
            <w:gridSpan w:val="3"/>
            <w:tcBorders>
              <w:bottom w:val="single" w:sz="4" w:space="0" w:color="auto"/>
            </w:tcBorders>
            <w:shd w:val="clear" w:color="auto" w:fill="EEECE1" w:themeFill="background2"/>
            <w:vAlign w:val="center"/>
          </w:tcPr>
          <w:p w:rsidR="00376763" w:rsidRPr="00D16CC2" w:rsidRDefault="00AE7C74"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6,048</w:t>
            </w:r>
          </w:p>
        </w:tc>
        <w:tc>
          <w:tcPr>
            <w:tcW w:w="850" w:type="dxa"/>
            <w:tcBorders>
              <w:bottom w:val="single" w:sz="4" w:space="0" w:color="auto"/>
            </w:tcBorders>
            <w:shd w:val="clear" w:color="auto" w:fill="EEECE1" w:themeFill="background2"/>
            <w:vAlign w:val="center"/>
          </w:tcPr>
          <w:p w:rsidR="00376763" w:rsidRPr="00D16CC2" w:rsidRDefault="00AE7C74"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235</w:t>
            </w:r>
          </w:p>
        </w:tc>
        <w:tc>
          <w:tcPr>
            <w:tcW w:w="993" w:type="dxa"/>
            <w:tcBorders>
              <w:bottom w:val="single" w:sz="4" w:space="0" w:color="auto"/>
            </w:tcBorders>
            <w:shd w:val="clear" w:color="auto" w:fill="EEECE1" w:themeFill="background2"/>
            <w:vAlign w:val="center"/>
          </w:tcPr>
          <w:p w:rsidR="00376763" w:rsidRPr="00D16CC2" w:rsidRDefault="00AE7C74" w:rsidP="0029174B">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130,</w:t>
            </w:r>
            <w:r w:rsidR="0099453A">
              <w:rPr>
                <w:rFonts w:asciiTheme="minorHAnsi" w:hAnsiTheme="minorHAnsi" w:cstheme="minorHAnsi"/>
                <w:b/>
                <w:bCs/>
                <w:sz w:val="20"/>
              </w:rPr>
              <w:t>045</w:t>
            </w:r>
          </w:p>
        </w:tc>
      </w:tr>
    </w:tbl>
    <w:p w:rsidR="00D35F48" w:rsidRDefault="00D35F48" w:rsidP="002A6761">
      <w:pPr>
        <w:tabs>
          <w:tab w:val="left" w:pos="0"/>
        </w:tabs>
        <w:jc w:val="both"/>
        <w:rPr>
          <w:rFonts w:asciiTheme="minorHAnsi" w:hAnsiTheme="minorHAnsi" w:cstheme="minorHAnsi"/>
          <w:b/>
          <w:bCs/>
          <w:sz w:val="22"/>
          <w:szCs w:val="22"/>
        </w:rPr>
      </w:pPr>
    </w:p>
    <w:p w:rsidR="002A6761" w:rsidRPr="0068094B" w:rsidRDefault="002A6761" w:rsidP="002A6761">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lastRenderedPageBreak/>
        <w:t>Depreciation</w:t>
      </w:r>
    </w:p>
    <w:p w:rsidR="002A6761" w:rsidRPr="0068094B" w:rsidRDefault="002A6761" w:rsidP="002A6761">
      <w:pPr>
        <w:tabs>
          <w:tab w:val="left" w:pos="0"/>
        </w:tabs>
        <w:jc w:val="both"/>
        <w:rPr>
          <w:rFonts w:asciiTheme="minorHAnsi" w:hAnsiTheme="minorHAnsi" w:cstheme="minorHAnsi"/>
          <w:sz w:val="22"/>
          <w:szCs w:val="22"/>
        </w:rPr>
      </w:pPr>
    </w:p>
    <w:p w:rsidR="002A6761" w:rsidRPr="0068094B" w:rsidRDefault="00B37095" w:rsidP="002A6761">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Non-current</w:t>
      </w:r>
      <w:r w:rsidR="002A6761" w:rsidRPr="0068094B">
        <w:rPr>
          <w:rFonts w:asciiTheme="minorHAnsi" w:hAnsiTheme="minorHAnsi" w:cstheme="minorHAnsi"/>
          <w:sz w:val="22"/>
          <w:szCs w:val="22"/>
        </w:rPr>
        <w:t xml:space="preserve"> assets other than land are depreciated on a straight-line basis over their useful economic lives as identified in the table below, except where the </w:t>
      </w:r>
      <w:r w:rsidR="00E16274" w:rsidRPr="0068094B">
        <w:rPr>
          <w:rFonts w:asciiTheme="minorHAnsi" w:hAnsiTheme="minorHAnsi" w:cstheme="minorHAnsi"/>
          <w:sz w:val="22"/>
          <w:szCs w:val="22"/>
        </w:rPr>
        <w:t>Council</w:t>
      </w:r>
      <w:r w:rsidR="002A6761" w:rsidRPr="0068094B">
        <w:rPr>
          <w:rFonts w:asciiTheme="minorHAnsi" w:hAnsiTheme="minorHAnsi" w:cstheme="minorHAnsi"/>
          <w:sz w:val="22"/>
          <w:szCs w:val="22"/>
        </w:rPr>
        <w:t xml:space="preserve"> believes that the useful life is so long as to make the depreciation immaterial.</w:t>
      </w:r>
    </w:p>
    <w:p w:rsidR="00575076" w:rsidRPr="0068094B" w:rsidRDefault="00575076" w:rsidP="002A6761">
      <w:pPr>
        <w:tabs>
          <w:tab w:val="left" w:pos="0"/>
        </w:tabs>
        <w:jc w:val="both"/>
        <w:rPr>
          <w:rFonts w:asciiTheme="minorHAnsi" w:hAnsiTheme="minorHAnsi" w:cstheme="minorHAnsi"/>
          <w:sz w:val="22"/>
          <w:szCs w:val="22"/>
        </w:rPr>
      </w:pPr>
    </w:p>
    <w:p w:rsidR="002A6761" w:rsidRPr="0068094B" w:rsidRDefault="002A6761" w:rsidP="002A6761">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Capital Commitments</w:t>
      </w:r>
    </w:p>
    <w:p w:rsidR="002A6761" w:rsidRPr="0068094B" w:rsidRDefault="002A6761" w:rsidP="002A6761">
      <w:pPr>
        <w:tabs>
          <w:tab w:val="left" w:pos="0"/>
        </w:tabs>
        <w:jc w:val="both"/>
        <w:rPr>
          <w:rFonts w:asciiTheme="minorHAnsi" w:hAnsiTheme="minorHAnsi" w:cstheme="minorHAnsi"/>
          <w:sz w:val="22"/>
          <w:szCs w:val="22"/>
        </w:rPr>
      </w:pPr>
    </w:p>
    <w:p w:rsidR="00C859A3" w:rsidRPr="005E698E" w:rsidRDefault="00C859A3" w:rsidP="00AD42BD">
      <w:pPr>
        <w:pStyle w:val="PlainText"/>
        <w:widowControl w:val="0"/>
        <w:tabs>
          <w:tab w:val="left" w:pos="0"/>
        </w:tabs>
        <w:rPr>
          <w:rFonts w:asciiTheme="minorHAnsi" w:hAnsiTheme="minorHAnsi" w:cstheme="minorHAnsi"/>
          <w:sz w:val="22"/>
          <w:szCs w:val="22"/>
        </w:rPr>
      </w:pPr>
      <w:r w:rsidRPr="00E45A81">
        <w:rPr>
          <w:rFonts w:asciiTheme="minorHAnsi" w:hAnsiTheme="minorHAnsi" w:cstheme="minorHAnsi"/>
          <w:sz w:val="22"/>
          <w:szCs w:val="22"/>
        </w:rPr>
        <w:t xml:space="preserve">At 31 March 2020 the council </w:t>
      </w:r>
      <w:r w:rsidR="00E45A81" w:rsidRPr="00DD5BA3">
        <w:rPr>
          <w:rFonts w:asciiTheme="minorHAnsi" w:hAnsiTheme="minorHAnsi" w:cstheme="minorHAnsi"/>
          <w:sz w:val="22"/>
          <w:szCs w:val="22"/>
        </w:rPr>
        <w:t xml:space="preserve">does </w:t>
      </w:r>
      <w:r w:rsidR="00711AF6" w:rsidRPr="00DD5BA3">
        <w:rPr>
          <w:rFonts w:asciiTheme="minorHAnsi" w:hAnsiTheme="minorHAnsi" w:cstheme="minorHAnsi"/>
          <w:sz w:val="22"/>
          <w:szCs w:val="22"/>
        </w:rPr>
        <w:t xml:space="preserve">not </w:t>
      </w:r>
      <w:r w:rsidRPr="00DD5BA3">
        <w:rPr>
          <w:rFonts w:asciiTheme="minorHAnsi" w:hAnsiTheme="minorHAnsi" w:cstheme="minorHAnsi"/>
          <w:sz w:val="22"/>
          <w:szCs w:val="22"/>
        </w:rPr>
        <w:t>ha</w:t>
      </w:r>
      <w:r w:rsidR="00E45A81" w:rsidRPr="00DD5BA3">
        <w:rPr>
          <w:rFonts w:asciiTheme="minorHAnsi" w:hAnsiTheme="minorHAnsi" w:cstheme="minorHAnsi"/>
          <w:sz w:val="22"/>
          <w:szCs w:val="22"/>
        </w:rPr>
        <w:t>ve</w:t>
      </w:r>
      <w:r w:rsidR="00E45A81" w:rsidRPr="00E45A81">
        <w:rPr>
          <w:rFonts w:asciiTheme="minorHAnsi" w:hAnsiTheme="minorHAnsi" w:cstheme="minorHAnsi"/>
          <w:sz w:val="22"/>
          <w:szCs w:val="22"/>
        </w:rPr>
        <w:t xml:space="preserve"> any material capital commitments</w:t>
      </w:r>
      <w:r w:rsidRPr="00E45A81">
        <w:rPr>
          <w:rFonts w:asciiTheme="minorHAnsi" w:hAnsiTheme="minorHAnsi" w:cstheme="minorHAnsi"/>
          <w:sz w:val="22"/>
          <w:szCs w:val="22"/>
        </w:rPr>
        <w:t>.</w:t>
      </w:r>
    </w:p>
    <w:p w:rsidR="00722204" w:rsidRPr="005E698E" w:rsidRDefault="00722204" w:rsidP="00AD42BD">
      <w:pPr>
        <w:pStyle w:val="PlainText"/>
        <w:widowControl w:val="0"/>
        <w:tabs>
          <w:tab w:val="left" w:pos="0"/>
        </w:tabs>
        <w:rPr>
          <w:rFonts w:asciiTheme="minorHAnsi" w:hAnsiTheme="minorHAnsi" w:cstheme="minorHAnsi"/>
          <w:sz w:val="22"/>
          <w:szCs w:val="22"/>
        </w:rPr>
      </w:pPr>
    </w:p>
    <w:p w:rsidR="002A6761" w:rsidRPr="0068094B" w:rsidRDefault="002A6761" w:rsidP="002A6761">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Revaluations</w:t>
      </w:r>
      <w:r w:rsidR="00CB3647" w:rsidRPr="0068094B">
        <w:rPr>
          <w:rFonts w:asciiTheme="minorHAnsi" w:hAnsiTheme="minorHAnsi" w:cstheme="minorHAnsi"/>
          <w:b/>
          <w:bCs/>
          <w:color w:val="000000"/>
          <w:sz w:val="22"/>
          <w:szCs w:val="22"/>
        </w:rPr>
        <w:t xml:space="preserve"> and asset lives</w:t>
      </w:r>
    </w:p>
    <w:p w:rsidR="002A6761" w:rsidRPr="0068094B" w:rsidRDefault="002A6761" w:rsidP="002A6761">
      <w:pPr>
        <w:widowControl/>
        <w:tabs>
          <w:tab w:val="left" w:pos="0"/>
        </w:tabs>
        <w:autoSpaceDE w:val="0"/>
        <w:rPr>
          <w:rFonts w:asciiTheme="minorHAnsi" w:hAnsiTheme="minorHAnsi" w:cstheme="minorHAnsi"/>
          <w:color w:val="000000"/>
          <w:sz w:val="22"/>
          <w:szCs w:val="22"/>
        </w:rPr>
      </w:pPr>
    </w:p>
    <w:p w:rsidR="00D34330" w:rsidRPr="0068094B" w:rsidRDefault="002A6761" w:rsidP="002A6761">
      <w:pPr>
        <w:tabs>
          <w:tab w:val="left" w:pos="0"/>
        </w:tabs>
        <w:rPr>
          <w:rFonts w:asciiTheme="minorHAnsi" w:hAnsiTheme="minorHAnsi" w:cstheme="minorHAnsi"/>
          <w:sz w:val="22"/>
          <w:szCs w:val="22"/>
        </w:rPr>
      </w:pPr>
      <w:r w:rsidRPr="002D021D">
        <w:rPr>
          <w:rFonts w:asciiTheme="minorHAnsi" w:hAnsiTheme="minorHAnsi" w:cstheme="minorHAnsi"/>
          <w:sz w:val="22"/>
          <w:szCs w:val="22"/>
        </w:rPr>
        <w:t xml:space="preserve">Valuations of land and buildings were carried out </w:t>
      </w:r>
      <w:r w:rsidR="00A23F83">
        <w:rPr>
          <w:rFonts w:asciiTheme="minorHAnsi" w:hAnsiTheme="minorHAnsi" w:cstheme="minorHAnsi"/>
          <w:sz w:val="22"/>
          <w:szCs w:val="22"/>
        </w:rPr>
        <w:t xml:space="preserve">by the Council’s in-house valuer </w:t>
      </w:r>
      <w:r w:rsidRPr="002D021D">
        <w:rPr>
          <w:rFonts w:asciiTheme="minorHAnsi" w:hAnsiTheme="minorHAnsi" w:cstheme="minorHAnsi"/>
          <w:sz w:val="22"/>
          <w:szCs w:val="22"/>
        </w:rPr>
        <w:t>in accordance with the methodologies and</w:t>
      </w:r>
      <w:r w:rsidRPr="0068094B">
        <w:rPr>
          <w:rFonts w:asciiTheme="minorHAnsi" w:hAnsiTheme="minorHAnsi" w:cstheme="minorHAnsi"/>
          <w:sz w:val="22"/>
          <w:szCs w:val="22"/>
        </w:rPr>
        <w:t xml:space="preserve"> bases for estimation set out in the professional standards of the Royal Insti</w:t>
      </w:r>
      <w:r w:rsidR="005F6263" w:rsidRPr="0068094B">
        <w:rPr>
          <w:rFonts w:asciiTheme="minorHAnsi" w:hAnsiTheme="minorHAnsi" w:cstheme="minorHAnsi"/>
          <w:sz w:val="22"/>
          <w:szCs w:val="22"/>
        </w:rPr>
        <w:t xml:space="preserve">tution of Chartered Surveyors. </w:t>
      </w:r>
      <w:r w:rsidRPr="0068094B">
        <w:rPr>
          <w:rFonts w:asciiTheme="minorHAnsi" w:hAnsiTheme="minorHAnsi" w:cstheme="minorHAnsi"/>
          <w:sz w:val="22"/>
          <w:szCs w:val="22"/>
        </w:rPr>
        <w:t>Valuations of vehicles, plant, furniture and equipment are based on</w:t>
      </w:r>
      <w:r w:rsidR="00F16EA3" w:rsidRPr="0068094B">
        <w:rPr>
          <w:rFonts w:asciiTheme="minorHAnsi" w:hAnsiTheme="minorHAnsi" w:cstheme="minorHAnsi"/>
          <w:sz w:val="22"/>
          <w:szCs w:val="22"/>
        </w:rPr>
        <w:t xml:space="preserve"> depreciated historic cost</w:t>
      </w:r>
      <w:r w:rsidR="00871025">
        <w:rPr>
          <w:rFonts w:asciiTheme="minorHAnsi" w:hAnsiTheme="minorHAnsi" w:cstheme="minorHAnsi"/>
          <w:sz w:val="22"/>
          <w:szCs w:val="22"/>
        </w:rPr>
        <w:t>.</w:t>
      </w:r>
    </w:p>
    <w:p w:rsidR="006E4F1B" w:rsidRPr="0068094B" w:rsidRDefault="006E4F1B" w:rsidP="002A6761">
      <w:pPr>
        <w:tabs>
          <w:tab w:val="left" w:pos="0"/>
        </w:tabs>
        <w:rPr>
          <w:rFonts w:asciiTheme="minorHAnsi" w:hAnsiTheme="minorHAnsi" w:cstheme="minorHAnsi"/>
          <w:sz w:val="22"/>
          <w:szCs w:val="22"/>
        </w:rPr>
      </w:pPr>
    </w:p>
    <w:tbl>
      <w:tblPr>
        <w:tblW w:w="10490" w:type="dxa"/>
        <w:tblInd w:w="-743" w:type="dxa"/>
        <w:tblLayout w:type="fixed"/>
        <w:tblLook w:val="0000" w:firstRow="0" w:lastRow="0" w:firstColumn="0" w:lastColumn="0" w:noHBand="0" w:noVBand="0"/>
      </w:tblPr>
      <w:tblGrid>
        <w:gridCol w:w="567"/>
        <w:gridCol w:w="993"/>
        <w:gridCol w:w="1077"/>
        <w:gridCol w:w="1332"/>
        <w:gridCol w:w="1560"/>
        <w:gridCol w:w="1418"/>
        <w:gridCol w:w="1134"/>
        <w:gridCol w:w="1417"/>
        <w:gridCol w:w="992"/>
      </w:tblGrid>
      <w:tr w:rsidR="002A6761" w:rsidRPr="002D021D" w:rsidTr="00161567">
        <w:trPr>
          <w:gridBefore w:val="1"/>
          <w:wBefore w:w="567" w:type="dxa"/>
        </w:trPr>
        <w:tc>
          <w:tcPr>
            <w:tcW w:w="993" w:type="dxa"/>
          </w:tcPr>
          <w:p w:rsidR="002A6761" w:rsidRPr="0068094B" w:rsidRDefault="002A6761" w:rsidP="008C7A7B">
            <w:pPr>
              <w:tabs>
                <w:tab w:val="left" w:pos="0"/>
              </w:tabs>
              <w:snapToGrid w:val="0"/>
              <w:rPr>
                <w:rFonts w:asciiTheme="minorHAnsi" w:hAnsiTheme="minorHAnsi" w:cstheme="minorHAnsi"/>
                <w:sz w:val="22"/>
                <w:szCs w:val="22"/>
              </w:rPr>
            </w:pPr>
          </w:p>
        </w:tc>
        <w:tc>
          <w:tcPr>
            <w:tcW w:w="1077" w:type="dxa"/>
            <w:vAlign w:val="center"/>
          </w:tcPr>
          <w:p w:rsidR="002A6761" w:rsidRPr="00F50F7E" w:rsidRDefault="002A6761" w:rsidP="00052C83">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Land &amp; Buildings</w:t>
            </w:r>
          </w:p>
        </w:tc>
        <w:tc>
          <w:tcPr>
            <w:tcW w:w="1332" w:type="dxa"/>
            <w:vAlign w:val="center"/>
          </w:tcPr>
          <w:p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Vehicles, Plant, Furniture &amp; Equipment</w:t>
            </w:r>
          </w:p>
        </w:tc>
        <w:tc>
          <w:tcPr>
            <w:tcW w:w="1560" w:type="dxa"/>
            <w:vAlign w:val="center"/>
          </w:tcPr>
          <w:p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Infrastructure Assets</w:t>
            </w:r>
          </w:p>
        </w:tc>
        <w:tc>
          <w:tcPr>
            <w:tcW w:w="1418" w:type="dxa"/>
            <w:vAlign w:val="center"/>
          </w:tcPr>
          <w:p w:rsidR="002A6761" w:rsidRPr="00F50F7E" w:rsidRDefault="002A6761" w:rsidP="00F50F7E">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Communit</w:t>
            </w:r>
            <w:r w:rsidR="00F50F7E">
              <w:rPr>
                <w:rFonts w:asciiTheme="minorHAnsi" w:hAnsiTheme="minorHAnsi" w:cstheme="minorHAnsi"/>
                <w:b/>
                <w:sz w:val="22"/>
                <w:szCs w:val="22"/>
              </w:rPr>
              <w:t>y</w:t>
            </w:r>
            <w:r w:rsidRPr="00F50F7E">
              <w:rPr>
                <w:rFonts w:asciiTheme="minorHAnsi" w:hAnsiTheme="minorHAnsi" w:cstheme="minorHAnsi"/>
                <w:b/>
                <w:sz w:val="22"/>
                <w:szCs w:val="22"/>
              </w:rPr>
              <w:t xml:space="preserve"> Assets</w:t>
            </w:r>
          </w:p>
        </w:tc>
        <w:tc>
          <w:tcPr>
            <w:tcW w:w="1134" w:type="dxa"/>
            <w:vAlign w:val="center"/>
          </w:tcPr>
          <w:p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Surplus Assets</w:t>
            </w:r>
          </w:p>
        </w:tc>
        <w:tc>
          <w:tcPr>
            <w:tcW w:w="1417" w:type="dxa"/>
            <w:vAlign w:val="center"/>
          </w:tcPr>
          <w:p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Assets under Construction</w:t>
            </w:r>
          </w:p>
        </w:tc>
        <w:tc>
          <w:tcPr>
            <w:tcW w:w="992" w:type="dxa"/>
            <w:vAlign w:val="center"/>
          </w:tcPr>
          <w:p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Total</w:t>
            </w:r>
          </w:p>
        </w:tc>
      </w:tr>
      <w:tr w:rsidR="00CB3647" w:rsidRPr="002D021D" w:rsidTr="00161567">
        <w:tc>
          <w:tcPr>
            <w:tcW w:w="1560" w:type="dxa"/>
            <w:gridSpan w:val="2"/>
            <w:shd w:val="clear" w:color="auto" w:fill="auto"/>
          </w:tcPr>
          <w:p w:rsidR="00CB3647" w:rsidRPr="00F50F7E" w:rsidRDefault="00F50F7E" w:rsidP="008C7A7B">
            <w:pPr>
              <w:tabs>
                <w:tab w:val="left" w:pos="0"/>
              </w:tabs>
              <w:snapToGrid w:val="0"/>
              <w:rPr>
                <w:rFonts w:asciiTheme="minorHAnsi" w:hAnsiTheme="minorHAnsi" w:cstheme="minorHAnsi"/>
                <w:sz w:val="18"/>
                <w:szCs w:val="18"/>
              </w:rPr>
            </w:pPr>
            <w:r w:rsidRPr="00F50F7E">
              <w:rPr>
                <w:rFonts w:asciiTheme="minorHAnsi" w:hAnsiTheme="minorHAnsi" w:cstheme="minorHAnsi"/>
                <w:sz w:val="18"/>
                <w:szCs w:val="18"/>
              </w:rPr>
              <w:t xml:space="preserve">Remaining </w:t>
            </w:r>
            <w:r w:rsidR="00261770" w:rsidRPr="00F50F7E">
              <w:rPr>
                <w:rFonts w:asciiTheme="minorHAnsi" w:hAnsiTheme="minorHAnsi" w:cstheme="minorHAnsi"/>
                <w:sz w:val="18"/>
                <w:szCs w:val="18"/>
              </w:rPr>
              <w:t>Useful Life (Years)</w:t>
            </w:r>
          </w:p>
        </w:tc>
        <w:tc>
          <w:tcPr>
            <w:tcW w:w="1077" w:type="dxa"/>
            <w:shd w:val="clear" w:color="auto" w:fill="auto"/>
            <w:vAlign w:val="center"/>
          </w:tcPr>
          <w:p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65</w:t>
            </w:r>
            <w:r w:rsidR="00261770" w:rsidRPr="00F50F7E">
              <w:rPr>
                <w:rFonts w:asciiTheme="minorHAnsi" w:hAnsiTheme="minorHAnsi" w:cstheme="minorHAnsi"/>
                <w:sz w:val="18"/>
                <w:szCs w:val="18"/>
              </w:rPr>
              <w:t xml:space="preserve"> </w:t>
            </w:r>
          </w:p>
        </w:tc>
        <w:tc>
          <w:tcPr>
            <w:tcW w:w="1332" w:type="dxa"/>
            <w:shd w:val="clear" w:color="auto" w:fill="auto"/>
            <w:vAlign w:val="center"/>
          </w:tcPr>
          <w:p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w:t>
            </w:r>
            <w:r w:rsidR="00CB3647" w:rsidRPr="00F50F7E">
              <w:rPr>
                <w:rFonts w:asciiTheme="minorHAnsi" w:hAnsiTheme="minorHAnsi" w:cstheme="minorHAnsi"/>
                <w:sz w:val="18"/>
                <w:szCs w:val="18"/>
              </w:rPr>
              <w:t xml:space="preserve"> </w:t>
            </w:r>
            <w:r w:rsidRPr="00F50F7E">
              <w:rPr>
                <w:rFonts w:asciiTheme="minorHAnsi" w:hAnsiTheme="minorHAnsi" w:cstheme="minorHAnsi"/>
                <w:sz w:val="18"/>
                <w:szCs w:val="18"/>
              </w:rPr>
              <w:t>45</w:t>
            </w:r>
            <w:r w:rsidR="00261770" w:rsidRPr="00F50F7E">
              <w:rPr>
                <w:rFonts w:asciiTheme="minorHAnsi" w:hAnsiTheme="minorHAnsi" w:cstheme="minorHAnsi"/>
                <w:sz w:val="18"/>
                <w:szCs w:val="18"/>
              </w:rPr>
              <w:t xml:space="preserve"> </w:t>
            </w:r>
          </w:p>
        </w:tc>
        <w:tc>
          <w:tcPr>
            <w:tcW w:w="1560" w:type="dxa"/>
            <w:shd w:val="clear" w:color="auto" w:fill="auto"/>
            <w:vAlign w:val="center"/>
          </w:tcPr>
          <w:p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4</w:t>
            </w:r>
            <w:r w:rsidR="00261770" w:rsidRPr="00F50F7E">
              <w:rPr>
                <w:rFonts w:asciiTheme="minorHAnsi" w:hAnsiTheme="minorHAnsi" w:cstheme="minorHAnsi"/>
                <w:sz w:val="18"/>
                <w:szCs w:val="18"/>
              </w:rPr>
              <w:t>5</w:t>
            </w:r>
          </w:p>
        </w:tc>
        <w:tc>
          <w:tcPr>
            <w:tcW w:w="1418" w:type="dxa"/>
            <w:shd w:val="clear" w:color="auto" w:fill="auto"/>
            <w:vAlign w:val="center"/>
          </w:tcPr>
          <w:p w:rsidR="00CB3647" w:rsidRPr="00F50F7E" w:rsidRDefault="00261770" w:rsidP="005004DB">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988</w:t>
            </w:r>
          </w:p>
        </w:tc>
        <w:tc>
          <w:tcPr>
            <w:tcW w:w="1134" w:type="dxa"/>
            <w:shd w:val="clear" w:color="auto" w:fill="auto"/>
            <w:vAlign w:val="center"/>
          </w:tcPr>
          <w:p w:rsidR="00CB3647" w:rsidRPr="00F50F7E" w:rsidRDefault="00CB3647" w:rsidP="008C7A7B">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w:t>
            </w:r>
          </w:p>
        </w:tc>
        <w:tc>
          <w:tcPr>
            <w:tcW w:w="1417" w:type="dxa"/>
            <w:shd w:val="clear" w:color="auto" w:fill="auto"/>
            <w:vAlign w:val="center"/>
          </w:tcPr>
          <w:p w:rsidR="00CB3647" w:rsidRPr="00F50F7E" w:rsidRDefault="00CB3647" w:rsidP="008C7A7B">
            <w:pPr>
              <w:pStyle w:val="FootnoteText"/>
              <w:tabs>
                <w:tab w:val="left" w:pos="0"/>
              </w:tabs>
              <w:snapToGrid w:val="0"/>
              <w:jc w:val="right"/>
              <w:rPr>
                <w:rFonts w:asciiTheme="minorHAnsi" w:hAnsiTheme="minorHAnsi" w:cstheme="minorHAnsi"/>
                <w:sz w:val="22"/>
                <w:szCs w:val="22"/>
              </w:rPr>
            </w:pPr>
            <w:r w:rsidRPr="00F50F7E">
              <w:rPr>
                <w:rFonts w:asciiTheme="minorHAnsi" w:hAnsiTheme="minorHAnsi" w:cstheme="minorHAnsi"/>
                <w:sz w:val="22"/>
                <w:szCs w:val="22"/>
              </w:rPr>
              <w:t>-</w:t>
            </w:r>
          </w:p>
        </w:tc>
        <w:tc>
          <w:tcPr>
            <w:tcW w:w="992" w:type="dxa"/>
            <w:shd w:val="clear" w:color="auto" w:fill="auto"/>
            <w:vAlign w:val="center"/>
          </w:tcPr>
          <w:p w:rsidR="00CB3647" w:rsidRPr="002D021D" w:rsidRDefault="00CB3647" w:rsidP="008C7A7B">
            <w:pPr>
              <w:pStyle w:val="FootnoteText"/>
              <w:tabs>
                <w:tab w:val="left" w:pos="0"/>
              </w:tabs>
              <w:snapToGrid w:val="0"/>
              <w:jc w:val="right"/>
              <w:rPr>
                <w:rFonts w:asciiTheme="minorHAnsi" w:hAnsiTheme="minorHAnsi" w:cstheme="minorHAnsi"/>
                <w:b/>
                <w:sz w:val="22"/>
                <w:szCs w:val="22"/>
              </w:rPr>
            </w:pPr>
          </w:p>
        </w:tc>
      </w:tr>
      <w:tr w:rsidR="005004DB" w:rsidRPr="002D021D" w:rsidTr="00161567">
        <w:tc>
          <w:tcPr>
            <w:tcW w:w="1560" w:type="dxa"/>
            <w:gridSpan w:val="2"/>
            <w:shd w:val="clear" w:color="auto" w:fill="auto"/>
          </w:tcPr>
          <w:p w:rsidR="005004DB" w:rsidRPr="00CD4DB7" w:rsidRDefault="005004DB" w:rsidP="008C7A7B">
            <w:pPr>
              <w:tabs>
                <w:tab w:val="left" w:pos="0"/>
              </w:tabs>
              <w:snapToGrid w:val="0"/>
              <w:rPr>
                <w:rFonts w:asciiTheme="minorHAnsi" w:hAnsiTheme="minorHAnsi" w:cstheme="minorHAnsi"/>
                <w:b/>
                <w:sz w:val="22"/>
                <w:szCs w:val="22"/>
                <w:shd w:val="clear" w:color="auto" w:fill="FFFF00"/>
              </w:rPr>
            </w:pPr>
          </w:p>
        </w:tc>
        <w:tc>
          <w:tcPr>
            <w:tcW w:w="1077" w:type="dxa"/>
            <w:tcBorders>
              <w:bottom w:val="single" w:sz="4" w:space="0" w:color="000000"/>
            </w:tcBorders>
            <w:shd w:val="clear" w:color="auto" w:fill="auto"/>
            <w:vAlign w:val="center"/>
          </w:tcPr>
          <w:p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332" w:type="dxa"/>
            <w:tcBorders>
              <w:bottom w:val="single" w:sz="4" w:space="0" w:color="000000"/>
            </w:tcBorders>
            <w:shd w:val="clear" w:color="auto" w:fill="auto"/>
            <w:vAlign w:val="center"/>
          </w:tcPr>
          <w:p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560" w:type="dxa"/>
            <w:tcBorders>
              <w:bottom w:val="single" w:sz="4" w:space="0" w:color="000000"/>
            </w:tcBorders>
            <w:shd w:val="clear" w:color="auto" w:fill="auto"/>
            <w:vAlign w:val="center"/>
          </w:tcPr>
          <w:p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418" w:type="dxa"/>
            <w:tcBorders>
              <w:bottom w:val="single" w:sz="4" w:space="0" w:color="000000"/>
            </w:tcBorders>
            <w:shd w:val="clear" w:color="auto" w:fill="auto"/>
            <w:vAlign w:val="center"/>
          </w:tcPr>
          <w:p w:rsidR="005004DB" w:rsidRPr="00F50F7E" w:rsidRDefault="005004DB" w:rsidP="005004D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134" w:type="dxa"/>
            <w:tcBorders>
              <w:bottom w:val="single" w:sz="4" w:space="0" w:color="000000"/>
            </w:tcBorders>
            <w:shd w:val="clear" w:color="auto" w:fill="auto"/>
            <w:vAlign w:val="center"/>
          </w:tcPr>
          <w:p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417" w:type="dxa"/>
            <w:tcBorders>
              <w:bottom w:val="single" w:sz="4" w:space="0" w:color="000000"/>
            </w:tcBorders>
            <w:shd w:val="clear" w:color="auto" w:fill="auto"/>
            <w:vAlign w:val="center"/>
          </w:tcPr>
          <w:p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992" w:type="dxa"/>
            <w:tcBorders>
              <w:bottom w:val="single" w:sz="4" w:space="0" w:color="000000"/>
            </w:tcBorders>
            <w:shd w:val="clear" w:color="auto" w:fill="auto"/>
            <w:vAlign w:val="center"/>
          </w:tcPr>
          <w:p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r>
      <w:tr w:rsidR="005004DB" w:rsidRPr="002D021D" w:rsidTr="00161567">
        <w:tc>
          <w:tcPr>
            <w:tcW w:w="1560" w:type="dxa"/>
            <w:gridSpan w:val="2"/>
          </w:tcPr>
          <w:p w:rsidR="005004DB" w:rsidRPr="002D021D" w:rsidRDefault="005004DB" w:rsidP="00404B33">
            <w:pPr>
              <w:tabs>
                <w:tab w:val="left" w:pos="0"/>
              </w:tabs>
              <w:snapToGrid w:val="0"/>
              <w:jc w:val="right"/>
              <w:rPr>
                <w:rFonts w:asciiTheme="minorHAnsi" w:hAnsiTheme="minorHAnsi" w:cstheme="minorHAnsi"/>
                <w:sz w:val="22"/>
                <w:szCs w:val="22"/>
              </w:rPr>
            </w:pPr>
            <w:r w:rsidRPr="002D021D">
              <w:rPr>
                <w:rFonts w:asciiTheme="minorHAnsi" w:hAnsiTheme="minorHAnsi" w:cstheme="minorHAnsi"/>
                <w:sz w:val="22"/>
                <w:szCs w:val="22"/>
              </w:rPr>
              <w:t>Carried at historic cost</w:t>
            </w:r>
          </w:p>
        </w:tc>
        <w:tc>
          <w:tcPr>
            <w:tcW w:w="1077" w:type="dxa"/>
            <w:tcBorders>
              <w:top w:val="single" w:sz="4" w:space="0" w:color="000000"/>
            </w:tcBorders>
            <w:vAlign w:val="center"/>
          </w:tcPr>
          <w:p w:rsidR="005004DB" w:rsidRPr="002D021D" w:rsidRDefault="005004DB" w:rsidP="002C5536">
            <w:pPr>
              <w:tabs>
                <w:tab w:val="left" w:pos="0"/>
              </w:tabs>
              <w:snapToGrid w:val="0"/>
              <w:jc w:val="right"/>
              <w:rPr>
                <w:rFonts w:asciiTheme="minorHAnsi" w:hAnsiTheme="minorHAnsi" w:cstheme="minorHAnsi"/>
                <w:sz w:val="22"/>
                <w:szCs w:val="22"/>
              </w:rPr>
            </w:pPr>
            <w:r w:rsidRPr="002D021D">
              <w:rPr>
                <w:rFonts w:asciiTheme="minorHAnsi" w:hAnsiTheme="minorHAnsi" w:cstheme="minorHAnsi"/>
                <w:sz w:val="22"/>
                <w:szCs w:val="22"/>
              </w:rPr>
              <w:t>0</w:t>
            </w:r>
          </w:p>
        </w:tc>
        <w:tc>
          <w:tcPr>
            <w:tcW w:w="1332" w:type="dxa"/>
            <w:tcBorders>
              <w:top w:val="single" w:sz="4" w:space="0" w:color="000000"/>
            </w:tcBorders>
            <w:vAlign w:val="center"/>
          </w:tcPr>
          <w:p w:rsidR="005004DB" w:rsidRPr="00C9777D" w:rsidRDefault="005004DB" w:rsidP="00E26C7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5,582</w:t>
            </w:r>
          </w:p>
        </w:tc>
        <w:tc>
          <w:tcPr>
            <w:tcW w:w="1560" w:type="dxa"/>
            <w:tcBorders>
              <w:top w:val="single" w:sz="4" w:space="0" w:color="000000"/>
            </w:tcBorders>
            <w:vAlign w:val="center"/>
          </w:tcPr>
          <w:p w:rsidR="005004DB" w:rsidRPr="00C9777D" w:rsidRDefault="005004DB" w:rsidP="004D778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1,152</w:t>
            </w:r>
          </w:p>
        </w:tc>
        <w:tc>
          <w:tcPr>
            <w:tcW w:w="1418" w:type="dxa"/>
            <w:tcBorders>
              <w:top w:val="single" w:sz="4" w:space="0" w:color="000000"/>
            </w:tcBorders>
            <w:vAlign w:val="center"/>
          </w:tcPr>
          <w:p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28</w:t>
            </w:r>
          </w:p>
        </w:tc>
        <w:tc>
          <w:tcPr>
            <w:tcW w:w="1134" w:type="dxa"/>
            <w:tcBorders>
              <w:top w:val="single" w:sz="4" w:space="0" w:color="000000"/>
            </w:tcBorders>
            <w:vAlign w:val="center"/>
          </w:tcPr>
          <w:p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417" w:type="dxa"/>
            <w:tcBorders>
              <w:top w:val="single" w:sz="4" w:space="0" w:color="000000"/>
            </w:tcBorders>
            <w:vAlign w:val="center"/>
          </w:tcPr>
          <w:p w:rsidR="005004DB" w:rsidRPr="00C9777D" w:rsidRDefault="005004DB" w:rsidP="00E26C7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235</w:t>
            </w:r>
          </w:p>
        </w:tc>
        <w:tc>
          <w:tcPr>
            <w:tcW w:w="992" w:type="dxa"/>
            <w:tcBorders>
              <w:top w:val="single" w:sz="4" w:space="0" w:color="000000"/>
            </w:tcBorders>
            <w:shd w:val="clear" w:color="auto" w:fill="auto"/>
            <w:vAlign w:val="center"/>
          </w:tcPr>
          <w:p w:rsidR="005004DB" w:rsidRPr="00C9777D" w:rsidRDefault="005004DB" w:rsidP="00BF3D5E">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6,997</w:t>
            </w:r>
          </w:p>
        </w:tc>
      </w:tr>
      <w:tr w:rsidR="005004DB" w:rsidRPr="002D021D" w:rsidTr="00161567">
        <w:trPr>
          <w:trHeight w:val="289"/>
        </w:trPr>
        <w:tc>
          <w:tcPr>
            <w:tcW w:w="1560" w:type="dxa"/>
            <w:gridSpan w:val="2"/>
          </w:tcPr>
          <w:p w:rsidR="005004DB" w:rsidRPr="002D021D" w:rsidRDefault="005004DB" w:rsidP="00404B33">
            <w:pPr>
              <w:tabs>
                <w:tab w:val="left" w:pos="0"/>
              </w:tabs>
              <w:snapToGrid w:val="0"/>
              <w:jc w:val="right"/>
              <w:rPr>
                <w:rFonts w:asciiTheme="minorHAnsi" w:hAnsiTheme="minorHAnsi" w:cstheme="minorHAnsi"/>
                <w:sz w:val="22"/>
                <w:szCs w:val="22"/>
                <w:shd w:val="clear" w:color="auto" w:fill="FFFF00"/>
              </w:rPr>
            </w:pPr>
            <w:r w:rsidRPr="002D021D">
              <w:rPr>
                <w:rFonts w:asciiTheme="minorHAnsi" w:hAnsiTheme="minorHAnsi" w:cstheme="minorHAnsi"/>
                <w:sz w:val="22"/>
                <w:szCs w:val="22"/>
              </w:rPr>
              <w:t>Valued at fair value as at:</w:t>
            </w:r>
          </w:p>
        </w:tc>
        <w:tc>
          <w:tcPr>
            <w:tcW w:w="1077" w:type="dxa"/>
            <w:vAlign w:val="center"/>
          </w:tcPr>
          <w:p w:rsidR="005004DB" w:rsidRPr="002D021D" w:rsidRDefault="005004DB" w:rsidP="002C5536">
            <w:pPr>
              <w:tabs>
                <w:tab w:val="left" w:pos="0"/>
              </w:tabs>
              <w:snapToGrid w:val="0"/>
              <w:jc w:val="right"/>
              <w:rPr>
                <w:rFonts w:asciiTheme="minorHAnsi" w:hAnsiTheme="minorHAnsi" w:cstheme="minorHAnsi"/>
                <w:sz w:val="22"/>
                <w:szCs w:val="22"/>
              </w:rPr>
            </w:pPr>
          </w:p>
        </w:tc>
        <w:tc>
          <w:tcPr>
            <w:tcW w:w="1332"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560"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418"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134"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417"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992" w:type="dxa"/>
            <w:vAlign w:val="center"/>
          </w:tcPr>
          <w:p w:rsidR="005004DB" w:rsidRPr="00C9777D" w:rsidRDefault="005004DB" w:rsidP="002C5536">
            <w:pPr>
              <w:tabs>
                <w:tab w:val="left" w:pos="0"/>
              </w:tabs>
              <w:snapToGrid w:val="0"/>
              <w:jc w:val="right"/>
              <w:rPr>
                <w:rFonts w:asciiTheme="minorHAnsi" w:hAnsiTheme="minorHAnsi" w:cstheme="minorHAnsi"/>
                <w:b/>
                <w:sz w:val="22"/>
                <w:szCs w:val="22"/>
              </w:rPr>
            </w:pPr>
          </w:p>
        </w:tc>
      </w:tr>
      <w:tr w:rsidR="005004DB" w:rsidRPr="00691EB2" w:rsidTr="00161567">
        <w:tc>
          <w:tcPr>
            <w:tcW w:w="1560" w:type="dxa"/>
            <w:gridSpan w:val="2"/>
            <w:shd w:val="clear" w:color="auto" w:fill="auto"/>
          </w:tcPr>
          <w:p w:rsidR="005004DB" w:rsidRDefault="005004DB" w:rsidP="004D778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2019-20</w:t>
            </w:r>
          </w:p>
        </w:tc>
        <w:tc>
          <w:tcPr>
            <w:tcW w:w="1077" w:type="dxa"/>
            <w:shd w:val="clear" w:color="auto" w:fill="auto"/>
            <w:vAlign w:val="center"/>
          </w:tcPr>
          <w:p w:rsidR="005004DB" w:rsidRPr="00D16CC2" w:rsidRDefault="005004DB" w:rsidP="004D778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8</w:t>
            </w:r>
            <w:r>
              <w:rPr>
                <w:rFonts w:asciiTheme="minorHAnsi" w:hAnsiTheme="minorHAnsi" w:cstheme="minorHAnsi"/>
                <w:sz w:val="22"/>
                <w:szCs w:val="22"/>
              </w:rPr>
              <w:t>9</w:t>
            </w:r>
            <w:r w:rsidR="00133122">
              <w:rPr>
                <w:rFonts w:asciiTheme="minorHAnsi" w:hAnsiTheme="minorHAnsi" w:cstheme="minorHAnsi"/>
                <w:sz w:val="22"/>
                <w:szCs w:val="22"/>
              </w:rPr>
              <w:t>,560</w:t>
            </w:r>
          </w:p>
        </w:tc>
        <w:tc>
          <w:tcPr>
            <w:tcW w:w="1332"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560"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8"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vAlign w:val="center"/>
          </w:tcPr>
          <w:p w:rsidR="005004DB" w:rsidRPr="00D16CC2" w:rsidRDefault="005004DB" w:rsidP="00BF3D5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5,140</w:t>
            </w:r>
          </w:p>
        </w:tc>
        <w:tc>
          <w:tcPr>
            <w:tcW w:w="1417"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rsidR="005004DB" w:rsidRPr="00D16CC2" w:rsidRDefault="005004DB" w:rsidP="003A4BA9">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94,700</w:t>
            </w:r>
          </w:p>
        </w:tc>
      </w:tr>
      <w:tr w:rsidR="005004DB" w:rsidRPr="00691EB2" w:rsidTr="00161567">
        <w:tc>
          <w:tcPr>
            <w:tcW w:w="1560" w:type="dxa"/>
            <w:gridSpan w:val="2"/>
            <w:shd w:val="clear" w:color="auto" w:fill="auto"/>
          </w:tcPr>
          <w:p w:rsidR="005004DB" w:rsidRPr="00C9777D" w:rsidRDefault="005004DB" w:rsidP="002D021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2018-19</w:t>
            </w:r>
          </w:p>
        </w:tc>
        <w:tc>
          <w:tcPr>
            <w:tcW w:w="1077" w:type="dxa"/>
            <w:shd w:val="clear" w:color="auto" w:fill="auto"/>
            <w:vAlign w:val="center"/>
          </w:tcPr>
          <w:p w:rsidR="005004DB" w:rsidRPr="00D16CC2" w:rsidRDefault="005004DB" w:rsidP="0032155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13,706</w:t>
            </w:r>
          </w:p>
        </w:tc>
        <w:tc>
          <w:tcPr>
            <w:tcW w:w="1332"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560"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8"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vAlign w:val="center"/>
          </w:tcPr>
          <w:p w:rsidR="005004DB" w:rsidRPr="00D16CC2" w:rsidRDefault="005004DB" w:rsidP="002D021D">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7"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rsidR="005004DB" w:rsidRPr="00D16CC2" w:rsidRDefault="005004DB" w:rsidP="003A4BA9">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13,706</w:t>
            </w:r>
          </w:p>
        </w:tc>
      </w:tr>
      <w:tr w:rsidR="005004DB" w:rsidRPr="00C9777D" w:rsidTr="00161567">
        <w:tc>
          <w:tcPr>
            <w:tcW w:w="1560" w:type="dxa"/>
            <w:gridSpan w:val="2"/>
            <w:shd w:val="clear" w:color="auto" w:fill="auto"/>
          </w:tcPr>
          <w:p w:rsidR="005004DB" w:rsidRPr="00C9777D" w:rsidRDefault="005004DB" w:rsidP="002D021D">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2017-18</w:t>
            </w:r>
          </w:p>
        </w:tc>
        <w:tc>
          <w:tcPr>
            <w:tcW w:w="1077" w:type="dxa"/>
            <w:shd w:val="clear" w:color="auto" w:fill="auto"/>
            <w:vAlign w:val="center"/>
          </w:tcPr>
          <w:p w:rsidR="005004DB" w:rsidRPr="00D16CC2" w:rsidRDefault="005004DB" w:rsidP="00691EB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4,655</w:t>
            </w:r>
          </w:p>
        </w:tc>
        <w:tc>
          <w:tcPr>
            <w:tcW w:w="1332"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560"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8"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134" w:type="dxa"/>
            <w:shd w:val="clear" w:color="auto" w:fill="auto"/>
            <w:vAlign w:val="center"/>
          </w:tcPr>
          <w:p w:rsidR="005004DB" w:rsidRPr="00D16CC2" w:rsidRDefault="005004DB" w:rsidP="00E26C78">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838</w:t>
            </w:r>
          </w:p>
        </w:tc>
        <w:tc>
          <w:tcPr>
            <w:tcW w:w="1417" w:type="dxa"/>
            <w:shd w:val="clear" w:color="auto" w:fill="auto"/>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992" w:type="dxa"/>
            <w:shd w:val="clear" w:color="auto" w:fill="auto"/>
            <w:vAlign w:val="center"/>
          </w:tcPr>
          <w:p w:rsidR="005004DB" w:rsidRPr="00D16CC2" w:rsidRDefault="005004DB" w:rsidP="00E26C7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5,493</w:t>
            </w:r>
          </w:p>
        </w:tc>
      </w:tr>
      <w:tr w:rsidR="005004DB" w:rsidRPr="00C9777D" w:rsidTr="00161567">
        <w:tc>
          <w:tcPr>
            <w:tcW w:w="1560" w:type="dxa"/>
            <w:gridSpan w:val="2"/>
          </w:tcPr>
          <w:p w:rsidR="005004DB" w:rsidRPr="00C9777D" w:rsidRDefault="005004DB" w:rsidP="002D021D">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2016-17</w:t>
            </w:r>
          </w:p>
        </w:tc>
        <w:tc>
          <w:tcPr>
            <w:tcW w:w="1077" w:type="dxa"/>
            <w:vAlign w:val="center"/>
          </w:tcPr>
          <w:p w:rsidR="005004DB" w:rsidRPr="00D16CC2" w:rsidRDefault="005004DB" w:rsidP="00E26C7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6,485</w:t>
            </w:r>
          </w:p>
        </w:tc>
        <w:tc>
          <w:tcPr>
            <w:tcW w:w="1332" w:type="dxa"/>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560" w:type="dxa"/>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8" w:type="dxa"/>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134" w:type="dxa"/>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7" w:type="dxa"/>
            <w:vAlign w:val="center"/>
          </w:tcPr>
          <w:p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992" w:type="dxa"/>
            <w:vAlign w:val="center"/>
          </w:tcPr>
          <w:p w:rsidR="005004DB" w:rsidRPr="00D16CC2" w:rsidRDefault="005004DB" w:rsidP="00BF3D5E">
            <w:pPr>
              <w:tabs>
                <w:tab w:val="left" w:pos="0"/>
              </w:tabs>
              <w:snapToGrid w:val="0"/>
              <w:jc w:val="right"/>
              <w:rPr>
                <w:rFonts w:asciiTheme="minorHAnsi" w:hAnsiTheme="minorHAnsi" w:cstheme="minorHAnsi"/>
                <w:b/>
                <w:sz w:val="22"/>
                <w:szCs w:val="22"/>
              </w:rPr>
            </w:pPr>
            <w:r w:rsidRPr="00D16CC2">
              <w:rPr>
                <w:rFonts w:asciiTheme="minorHAnsi" w:hAnsiTheme="minorHAnsi" w:cstheme="minorHAnsi"/>
                <w:b/>
                <w:sz w:val="22"/>
                <w:szCs w:val="22"/>
              </w:rPr>
              <w:t>6,</w:t>
            </w:r>
            <w:r>
              <w:rPr>
                <w:rFonts w:asciiTheme="minorHAnsi" w:hAnsiTheme="minorHAnsi" w:cstheme="minorHAnsi"/>
                <w:b/>
                <w:sz w:val="22"/>
                <w:szCs w:val="22"/>
              </w:rPr>
              <w:t>485</w:t>
            </w:r>
          </w:p>
        </w:tc>
      </w:tr>
      <w:tr w:rsidR="005004DB" w:rsidRPr="00C9777D" w:rsidTr="00161567">
        <w:tc>
          <w:tcPr>
            <w:tcW w:w="1560" w:type="dxa"/>
            <w:gridSpan w:val="2"/>
          </w:tcPr>
          <w:p w:rsidR="005004DB" w:rsidRPr="00C9777D" w:rsidRDefault="005004DB" w:rsidP="002D021D">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2015-16</w:t>
            </w:r>
          </w:p>
        </w:tc>
        <w:tc>
          <w:tcPr>
            <w:tcW w:w="1077" w:type="dxa"/>
            <w:vAlign w:val="center"/>
          </w:tcPr>
          <w:p w:rsidR="005004DB" w:rsidRPr="00C9777D" w:rsidRDefault="005004DB" w:rsidP="00E26C7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2,594</w:t>
            </w:r>
          </w:p>
        </w:tc>
        <w:tc>
          <w:tcPr>
            <w:tcW w:w="1332"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560"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418"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134" w:type="dxa"/>
            <w:vAlign w:val="center"/>
          </w:tcPr>
          <w:p w:rsidR="005004DB" w:rsidRPr="00C9777D" w:rsidRDefault="005004DB" w:rsidP="00BF3D5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70</w:t>
            </w:r>
          </w:p>
        </w:tc>
        <w:tc>
          <w:tcPr>
            <w:tcW w:w="1417"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992" w:type="dxa"/>
            <w:vAlign w:val="center"/>
          </w:tcPr>
          <w:p w:rsidR="005004DB" w:rsidRPr="00C9777D" w:rsidRDefault="005004DB" w:rsidP="00E26C7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2,664</w:t>
            </w:r>
          </w:p>
        </w:tc>
      </w:tr>
      <w:tr w:rsidR="005004DB" w:rsidRPr="00C9777D" w:rsidTr="00161567">
        <w:tc>
          <w:tcPr>
            <w:tcW w:w="1560" w:type="dxa"/>
            <w:gridSpan w:val="2"/>
            <w:vAlign w:val="center"/>
          </w:tcPr>
          <w:p w:rsidR="005004DB" w:rsidRPr="00C9777D" w:rsidRDefault="005004DB" w:rsidP="002C5536">
            <w:pPr>
              <w:tabs>
                <w:tab w:val="left" w:pos="0"/>
              </w:tabs>
              <w:snapToGrid w:val="0"/>
              <w:rPr>
                <w:rFonts w:asciiTheme="minorHAnsi" w:hAnsiTheme="minorHAnsi" w:cstheme="minorHAnsi"/>
                <w:sz w:val="22"/>
                <w:szCs w:val="22"/>
              </w:rPr>
            </w:pPr>
          </w:p>
        </w:tc>
        <w:tc>
          <w:tcPr>
            <w:tcW w:w="1077"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332"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560"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418"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134"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1417" w:type="dxa"/>
            <w:vAlign w:val="center"/>
          </w:tcPr>
          <w:p w:rsidR="005004DB" w:rsidRPr="00C9777D" w:rsidRDefault="005004DB" w:rsidP="002C5536">
            <w:pPr>
              <w:tabs>
                <w:tab w:val="left" w:pos="0"/>
              </w:tabs>
              <w:snapToGrid w:val="0"/>
              <w:jc w:val="right"/>
              <w:rPr>
                <w:rFonts w:asciiTheme="minorHAnsi" w:hAnsiTheme="minorHAnsi" w:cstheme="minorHAnsi"/>
                <w:sz w:val="22"/>
                <w:szCs w:val="22"/>
              </w:rPr>
            </w:pPr>
          </w:p>
        </w:tc>
        <w:tc>
          <w:tcPr>
            <w:tcW w:w="992" w:type="dxa"/>
            <w:vAlign w:val="center"/>
          </w:tcPr>
          <w:p w:rsidR="005004DB" w:rsidRPr="00C9777D" w:rsidRDefault="005004DB" w:rsidP="002C5536">
            <w:pPr>
              <w:tabs>
                <w:tab w:val="left" w:pos="0"/>
              </w:tabs>
              <w:snapToGrid w:val="0"/>
              <w:jc w:val="right"/>
              <w:rPr>
                <w:rFonts w:asciiTheme="minorHAnsi" w:hAnsiTheme="minorHAnsi" w:cstheme="minorHAnsi"/>
                <w:b/>
                <w:sz w:val="22"/>
                <w:szCs w:val="22"/>
              </w:rPr>
            </w:pPr>
          </w:p>
        </w:tc>
      </w:tr>
      <w:tr w:rsidR="005004DB" w:rsidRPr="0068094B" w:rsidTr="00161567">
        <w:trPr>
          <w:trHeight w:val="301"/>
        </w:trPr>
        <w:tc>
          <w:tcPr>
            <w:tcW w:w="1560" w:type="dxa"/>
            <w:gridSpan w:val="2"/>
            <w:shd w:val="clear" w:color="auto" w:fill="auto"/>
            <w:vAlign w:val="center"/>
          </w:tcPr>
          <w:p w:rsidR="005004DB" w:rsidRPr="00C9777D" w:rsidRDefault="005004DB" w:rsidP="00404B33">
            <w:pPr>
              <w:tabs>
                <w:tab w:val="left" w:pos="0"/>
              </w:tabs>
              <w:snapToGrid w:val="0"/>
              <w:jc w:val="right"/>
              <w:rPr>
                <w:rFonts w:asciiTheme="minorHAnsi" w:hAnsiTheme="minorHAnsi" w:cstheme="minorHAnsi"/>
                <w:b/>
                <w:sz w:val="22"/>
                <w:szCs w:val="22"/>
              </w:rPr>
            </w:pPr>
            <w:r w:rsidRPr="00C9777D">
              <w:rPr>
                <w:rFonts w:asciiTheme="minorHAnsi" w:hAnsiTheme="minorHAnsi" w:cstheme="minorHAnsi"/>
                <w:b/>
                <w:sz w:val="22"/>
                <w:szCs w:val="22"/>
              </w:rPr>
              <w:t>Total</w:t>
            </w:r>
          </w:p>
        </w:tc>
        <w:tc>
          <w:tcPr>
            <w:tcW w:w="1077" w:type="dxa"/>
            <w:tcBorders>
              <w:top w:val="single" w:sz="4" w:space="0" w:color="000000"/>
              <w:bottom w:val="double" w:sz="4" w:space="0" w:color="000000"/>
            </w:tcBorders>
            <w:shd w:val="clear" w:color="auto" w:fill="D9D9D9" w:themeFill="background1" w:themeFillShade="D9"/>
            <w:vAlign w:val="center"/>
          </w:tcPr>
          <w:p w:rsidR="005004DB" w:rsidRPr="00D16CC2" w:rsidRDefault="005004DB" w:rsidP="004D7786">
            <w:pPr>
              <w:tabs>
                <w:tab w:val="left" w:pos="0"/>
              </w:tabs>
              <w:snapToGrid w:val="0"/>
              <w:jc w:val="right"/>
              <w:rPr>
                <w:rFonts w:asciiTheme="minorHAnsi" w:hAnsiTheme="minorHAnsi" w:cstheme="minorHAnsi"/>
                <w:b/>
                <w:sz w:val="22"/>
                <w:szCs w:val="22"/>
              </w:rPr>
            </w:pPr>
            <w:r w:rsidRPr="00D16CC2">
              <w:rPr>
                <w:rFonts w:asciiTheme="minorHAnsi" w:hAnsiTheme="minorHAnsi" w:cstheme="minorHAnsi"/>
                <w:b/>
                <w:sz w:val="22"/>
                <w:szCs w:val="22"/>
              </w:rPr>
              <w:t>11</w:t>
            </w:r>
            <w:r>
              <w:rPr>
                <w:rFonts w:asciiTheme="minorHAnsi" w:hAnsiTheme="minorHAnsi" w:cstheme="minorHAnsi"/>
                <w:b/>
                <w:sz w:val="22"/>
                <w:szCs w:val="22"/>
              </w:rPr>
              <w:t>7,000</w:t>
            </w:r>
          </w:p>
        </w:tc>
        <w:tc>
          <w:tcPr>
            <w:tcW w:w="1332" w:type="dxa"/>
            <w:tcBorders>
              <w:top w:val="single" w:sz="4" w:space="0" w:color="000000"/>
              <w:bottom w:val="double" w:sz="4" w:space="0" w:color="000000"/>
            </w:tcBorders>
            <w:shd w:val="clear" w:color="auto" w:fill="D9D9D9" w:themeFill="background1" w:themeFillShade="D9"/>
            <w:vAlign w:val="center"/>
          </w:tcPr>
          <w:p w:rsidR="005004DB" w:rsidRPr="00D16CC2" w:rsidRDefault="005004DB" w:rsidP="00E26C7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5,582</w:t>
            </w:r>
          </w:p>
        </w:tc>
        <w:tc>
          <w:tcPr>
            <w:tcW w:w="1560" w:type="dxa"/>
            <w:tcBorders>
              <w:top w:val="single" w:sz="4" w:space="0" w:color="000000"/>
              <w:bottom w:val="double" w:sz="4" w:space="0" w:color="000000"/>
            </w:tcBorders>
            <w:shd w:val="clear" w:color="auto" w:fill="D9D9D9" w:themeFill="background1" w:themeFillShade="D9"/>
            <w:vAlign w:val="center"/>
          </w:tcPr>
          <w:p w:rsidR="005004DB" w:rsidRPr="00C9777D" w:rsidRDefault="005004DB" w:rsidP="00E26C7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1,152</w:t>
            </w:r>
          </w:p>
        </w:tc>
        <w:tc>
          <w:tcPr>
            <w:tcW w:w="1418" w:type="dxa"/>
            <w:tcBorders>
              <w:top w:val="single" w:sz="4" w:space="0" w:color="000000"/>
              <w:bottom w:val="double" w:sz="4" w:space="0" w:color="000000"/>
            </w:tcBorders>
            <w:shd w:val="clear" w:color="auto" w:fill="D9D9D9" w:themeFill="background1" w:themeFillShade="D9"/>
            <w:vAlign w:val="center"/>
          </w:tcPr>
          <w:p w:rsidR="005004DB" w:rsidRPr="00C9777D" w:rsidRDefault="005004DB" w:rsidP="002C5536">
            <w:pPr>
              <w:tabs>
                <w:tab w:val="left" w:pos="0"/>
              </w:tabs>
              <w:snapToGrid w:val="0"/>
              <w:jc w:val="right"/>
              <w:rPr>
                <w:rFonts w:asciiTheme="minorHAnsi" w:hAnsiTheme="minorHAnsi" w:cstheme="minorHAnsi"/>
                <w:b/>
                <w:sz w:val="22"/>
                <w:szCs w:val="22"/>
              </w:rPr>
            </w:pPr>
            <w:r w:rsidRPr="00C9777D">
              <w:rPr>
                <w:rFonts w:asciiTheme="minorHAnsi" w:hAnsiTheme="minorHAnsi" w:cstheme="minorHAnsi"/>
                <w:b/>
                <w:sz w:val="22"/>
                <w:szCs w:val="22"/>
              </w:rPr>
              <w:t>28</w:t>
            </w:r>
          </w:p>
        </w:tc>
        <w:tc>
          <w:tcPr>
            <w:tcW w:w="1134" w:type="dxa"/>
            <w:tcBorders>
              <w:top w:val="single" w:sz="4" w:space="0" w:color="000000"/>
              <w:bottom w:val="double" w:sz="4" w:space="0" w:color="000000"/>
            </w:tcBorders>
            <w:shd w:val="clear" w:color="auto" w:fill="D9D9D9" w:themeFill="background1" w:themeFillShade="D9"/>
            <w:vAlign w:val="center"/>
          </w:tcPr>
          <w:p w:rsidR="005004DB" w:rsidRPr="00C9777D" w:rsidRDefault="005004DB" w:rsidP="004D7786">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6,048</w:t>
            </w:r>
          </w:p>
        </w:tc>
        <w:tc>
          <w:tcPr>
            <w:tcW w:w="1417" w:type="dxa"/>
            <w:tcBorders>
              <w:top w:val="single" w:sz="4" w:space="0" w:color="000000"/>
              <w:bottom w:val="double" w:sz="4" w:space="0" w:color="000000"/>
            </w:tcBorders>
            <w:shd w:val="clear" w:color="auto" w:fill="D9D9D9" w:themeFill="background1" w:themeFillShade="D9"/>
            <w:vAlign w:val="center"/>
          </w:tcPr>
          <w:p w:rsidR="005004DB" w:rsidRPr="00C9777D" w:rsidRDefault="005004DB" w:rsidP="004D7786">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235</w:t>
            </w:r>
          </w:p>
        </w:tc>
        <w:tc>
          <w:tcPr>
            <w:tcW w:w="992" w:type="dxa"/>
            <w:tcBorders>
              <w:top w:val="single" w:sz="4" w:space="0" w:color="000000"/>
              <w:bottom w:val="double" w:sz="4" w:space="0" w:color="000000"/>
            </w:tcBorders>
            <w:shd w:val="clear" w:color="auto" w:fill="D9D9D9" w:themeFill="background1" w:themeFillShade="D9"/>
            <w:vAlign w:val="center"/>
          </w:tcPr>
          <w:p w:rsidR="005004DB" w:rsidRPr="0068094B" w:rsidRDefault="005004DB" w:rsidP="004236B0">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130,045</w:t>
            </w:r>
          </w:p>
        </w:tc>
      </w:tr>
    </w:tbl>
    <w:p w:rsidR="00A86D86" w:rsidRPr="0068094B" w:rsidRDefault="00A86D86" w:rsidP="002A6761">
      <w:pPr>
        <w:tabs>
          <w:tab w:val="left" w:pos="0"/>
        </w:tabs>
        <w:jc w:val="both"/>
        <w:rPr>
          <w:rFonts w:asciiTheme="minorHAnsi" w:hAnsiTheme="minorHAnsi" w:cstheme="minorHAnsi"/>
          <w:b/>
          <w:bCs/>
          <w:sz w:val="22"/>
          <w:szCs w:val="22"/>
        </w:rPr>
      </w:pPr>
    </w:p>
    <w:p w:rsidR="00EB6CEB" w:rsidRDefault="00EB6CEB" w:rsidP="00EB6CEB">
      <w:pPr>
        <w:widowControl/>
        <w:suppressAutoHyphens w:val="0"/>
        <w:rPr>
          <w:rFonts w:asciiTheme="minorHAnsi" w:hAnsiTheme="minorHAnsi" w:cstheme="minorHAnsi"/>
          <w:b/>
          <w:bCs/>
          <w:sz w:val="22"/>
          <w:szCs w:val="22"/>
        </w:rPr>
      </w:pPr>
    </w:p>
    <w:p w:rsidR="005E698E" w:rsidRPr="0068094B" w:rsidRDefault="005E698E" w:rsidP="00EB6CEB">
      <w:pPr>
        <w:widowControl/>
        <w:suppressAutoHyphens w:val="0"/>
        <w:rPr>
          <w:rFonts w:asciiTheme="minorHAnsi" w:hAnsiTheme="minorHAnsi" w:cstheme="minorHAnsi"/>
          <w:b/>
          <w:bCs/>
          <w:sz w:val="22"/>
          <w:szCs w:val="22"/>
        </w:rPr>
      </w:pPr>
    </w:p>
    <w:p w:rsidR="00BD4FA6" w:rsidRPr="0068094B" w:rsidRDefault="00BD4FA6"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Investment Properties</w:t>
      </w:r>
    </w:p>
    <w:p w:rsidR="00BD4FA6" w:rsidRPr="0068094B" w:rsidRDefault="00BD4FA6" w:rsidP="00BD4FA6">
      <w:pPr>
        <w:pStyle w:val="ListParagraph"/>
        <w:tabs>
          <w:tab w:val="left" w:pos="0"/>
        </w:tabs>
        <w:jc w:val="both"/>
        <w:rPr>
          <w:rFonts w:asciiTheme="minorHAnsi" w:hAnsiTheme="minorHAnsi" w:cstheme="minorHAnsi"/>
          <w:b/>
          <w:bCs/>
          <w:szCs w:val="22"/>
        </w:rPr>
      </w:pPr>
    </w:p>
    <w:p w:rsidR="00BD4FA6" w:rsidRDefault="00BD4FA6" w:rsidP="003120B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following table summarises the movement in the fair value of investment properties over</w:t>
      </w:r>
      <w:r w:rsidR="003120B8">
        <w:rPr>
          <w:rFonts w:asciiTheme="minorHAnsi" w:hAnsiTheme="minorHAnsi" w:cstheme="minorHAnsi"/>
          <w:sz w:val="22"/>
          <w:szCs w:val="22"/>
        </w:rPr>
        <w:t xml:space="preserve"> </w:t>
      </w:r>
      <w:r w:rsidRPr="0068094B">
        <w:rPr>
          <w:rFonts w:asciiTheme="minorHAnsi" w:hAnsiTheme="minorHAnsi" w:cstheme="minorHAnsi"/>
          <w:sz w:val="22"/>
          <w:szCs w:val="22"/>
        </w:rPr>
        <w:t>the year:</w:t>
      </w:r>
    </w:p>
    <w:p w:rsidR="00266A19" w:rsidRPr="0068094B" w:rsidRDefault="00266A19" w:rsidP="00BD4FA6">
      <w:pPr>
        <w:tabs>
          <w:tab w:val="left" w:pos="0"/>
        </w:tabs>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654"/>
        <w:gridCol w:w="1654"/>
      </w:tblGrid>
      <w:tr w:rsidR="00BD4FA6" w:rsidRPr="0068094B" w:rsidTr="0044393D">
        <w:tc>
          <w:tcPr>
            <w:tcW w:w="5637" w:type="dxa"/>
          </w:tcPr>
          <w:p w:rsidR="00BD4FA6" w:rsidRPr="0068094B" w:rsidRDefault="00BD4FA6" w:rsidP="002C5536">
            <w:pPr>
              <w:pStyle w:val="PlainText"/>
              <w:tabs>
                <w:tab w:val="left" w:pos="0"/>
              </w:tabs>
              <w:autoSpaceDE w:val="0"/>
              <w:snapToGrid w:val="0"/>
              <w:rPr>
                <w:rFonts w:asciiTheme="minorHAnsi" w:hAnsiTheme="minorHAnsi" w:cstheme="minorHAnsi"/>
                <w:b/>
                <w:bCs/>
                <w:sz w:val="22"/>
                <w:szCs w:val="22"/>
              </w:rPr>
            </w:pPr>
          </w:p>
        </w:tc>
        <w:tc>
          <w:tcPr>
            <w:tcW w:w="1654" w:type="dxa"/>
            <w:vAlign w:val="center"/>
          </w:tcPr>
          <w:p w:rsidR="00BD4FA6" w:rsidRPr="00156DA9" w:rsidRDefault="00515981" w:rsidP="002C553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201</w:t>
            </w:r>
            <w:r w:rsidR="00123F46">
              <w:rPr>
                <w:rFonts w:asciiTheme="minorHAnsi" w:hAnsiTheme="minorHAnsi" w:cstheme="minorHAnsi"/>
                <w:b/>
                <w:sz w:val="22"/>
                <w:szCs w:val="22"/>
              </w:rPr>
              <w:t>8</w:t>
            </w:r>
            <w:r w:rsidRPr="00156DA9">
              <w:rPr>
                <w:rFonts w:asciiTheme="minorHAnsi" w:hAnsiTheme="minorHAnsi" w:cstheme="minorHAnsi"/>
                <w:b/>
                <w:sz w:val="22"/>
                <w:szCs w:val="22"/>
              </w:rPr>
              <w:t>-1</w:t>
            </w:r>
            <w:r w:rsidR="00123F46">
              <w:rPr>
                <w:rFonts w:asciiTheme="minorHAnsi" w:hAnsiTheme="minorHAnsi" w:cstheme="minorHAnsi"/>
                <w:b/>
                <w:sz w:val="22"/>
                <w:szCs w:val="22"/>
              </w:rPr>
              <w:t>9</w:t>
            </w:r>
          </w:p>
          <w:p w:rsidR="002E02CB" w:rsidRPr="00156DA9" w:rsidRDefault="00BD4FA6" w:rsidP="001241B6">
            <w:pPr>
              <w:pStyle w:val="PlainText"/>
              <w:tabs>
                <w:tab w:val="left" w:pos="0"/>
              </w:tabs>
              <w:autoSpaceDE w:val="0"/>
              <w:jc w:val="right"/>
              <w:rPr>
                <w:rFonts w:asciiTheme="minorHAnsi" w:hAnsiTheme="minorHAnsi" w:cstheme="minorHAnsi"/>
                <w:b/>
                <w:sz w:val="22"/>
                <w:szCs w:val="22"/>
              </w:rPr>
            </w:pPr>
            <w:r w:rsidRPr="00156DA9">
              <w:rPr>
                <w:rFonts w:asciiTheme="minorHAnsi" w:hAnsiTheme="minorHAnsi" w:cstheme="minorHAnsi"/>
                <w:b/>
                <w:sz w:val="22"/>
                <w:szCs w:val="22"/>
              </w:rPr>
              <w:t>£000</w:t>
            </w:r>
          </w:p>
        </w:tc>
        <w:tc>
          <w:tcPr>
            <w:tcW w:w="1654" w:type="dxa"/>
            <w:shd w:val="clear" w:color="auto" w:fill="D9D9D9" w:themeFill="background1" w:themeFillShade="D9"/>
            <w:vAlign w:val="center"/>
          </w:tcPr>
          <w:p w:rsidR="001241B6" w:rsidRPr="00156DA9" w:rsidRDefault="00515981" w:rsidP="001241B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201</w:t>
            </w:r>
            <w:r w:rsidR="00123F46">
              <w:rPr>
                <w:rFonts w:asciiTheme="minorHAnsi" w:hAnsiTheme="minorHAnsi" w:cstheme="minorHAnsi"/>
                <w:b/>
                <w:sz w:val="22"/>
                <w:szCs w:val="22"/>
              </w:rPr>
              <w:t>9</w:t>
            </w:r>
            <w:r w:rsidRPr="00156DA9">
              <w:rPr>
                <w:rFonts w:asciiTheme="minorHAnsi" w:hAnsiTheme="minorHAnsi" w:cstheme="minorHAnsi"/>
                <w:b/>
                <w:sz w:val="22"/>
                <w:szCs w:val="22"/>
              </w:rPr>
              <w:t>-</w:t>
            </w:r>
            <w:r w:rsidR="00123F46">
              <w:rPr>
                <w:rFonts w:asciiTheme="minorHAnsi" w:hAnsiTheme="minorHAnsi" w:cstheme="minorHAnsi"/>
                <w:b/>
                <w:sz w:val="22"/>
                <w:szCs w:val="22"/>
              </w:rPr>
              <w:t>20</w:t>
            </w:r>
          </w:p>
          <w:p w:rsidR="00BD4FA6" w:rsidRPr="00156DA9" w:rsidRDefault="00BD4FA6" w:rsidP="001241B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£000</w:t>
            </w:r>
          </w:p>
        </w:tc>
      </w:tr>
      <w:tr w:rsidR="00123F46" w:rsidRPr="0068094B" w:rsidTr="0044393D">
        <w:tc>
          <w:tcPr>
            <w:tcW w:w="5637" w:type="dxa"/>
            <w:vAlign w:val="center"/>
          </w:tcPr>
          <w:p w:rsidR="00123F46" w:rsidRPr="0068094B" w:rsidRDefault="00123F46" w:rsidP="002C5536">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Balance at start of the year</w:t>
            </w:r>
          </w:p>
        </w:tc>
        <w:tc>
          <w:tcPr>
            <w:tcW w:w="1654" w:type="dxa"/>
            <w:shd w:val="clear" w:color="auto" w:fill="auto"/>
            <w:vAlign w:val="center"/>
          </w:tcPr>
          <w:p w:rsidR="00123F46" w:rsidRPr="0068094B" w:rsidRDefault="00123F46" w:rsidP="002C5536">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11,807</w:t>
            </w:r>
          </w:p>
        </w:tc>
        <w:tc>
          <w:tcPr>
            <w:tcW w:w="1654" w:type="dxa"/>
            <w:shd w:val="clear" w:color="auto" w:fill="D9D9D9" w:themeFill="background1" w:themeFillShade="D9"/>
            <w:vAlign w:val="center"/>
          </w:tcPr>
          <w:p w:rsidR="00123F46" w:rsidRPr="0068094B" w:rsidRDefault="0068410B" w:rsidP="002C5536">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15,033</w:t>
            </w:r>
          </w:p>
        </w:tc>
      </w:tr>
      <w:tr w:rsidR="00123F46" w:rsidRPr="0068094B" w:rsidTr="0044393D">
        <w:tc>
          <w:tcPr>
            <w:tcW w:w="5637" w:type="dxa"/>
            <w:vAlign w:val="center"/>
          </w:tcPr>
          <w:p w:rsidR="00123F46" w:rsidRPr="0068094B" w:rsidRDefault="00123F46" w:rsidP="002C5536">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Additions:</w:t>
            </w:r>
          </w:p>
        </w:tc>
        <w:tc>
          <w:tcPr>
            <w:tcW w:w="1654" w:type="dxa"/>
            <w:shd w:val="clear" w:color="auto" w:fill="auto"/>
            <w:vAlign w:val="center"/>
          </w:tcPr>
          <w:p w:rsidR="00123F46" w:rsidRPr="0068094B" w:rsidRDefault="00123F46" w:rsidP="002C5536">
            <w:pPr>
              <w:pStyle w:val="PlainText"/>
              <w:tabs>
                <w:tab w:val="left" w:pos="0"/>
              </w:tabs>
              <w:autoSpaceDE w:val="0"/>
              <w:snapToGrid w:val="0"/>
              <w:jc w:val="right"/>
              <w:rPr>
                <w:rFonts w:asciiTheme="minorHAnsi" w:hAnsiTheme="minorHAnsi" w:cstheme="minorHAnsi"/>
                <w:sz w:val="22"/>
                <w:szCs w:val="22"/>
              </w:rPr>
            </w:pPr>
          </w:p>
        </w:tc>
        <w:tc>
          <w:tcPr>
            <w:tcW w:w="1654" w:type="dxa"/>
            <w:shd w:val="clear" w:color="auto" w:fill="D9D9D9" w:themeFill="background1" w:themeFillShade="D9"/>
            <w:vAlign w:val="center"/>
          </w:tcPr>
          <w:p w:rsidR="00123F46" w:rsidRPr="0068094B" w:rsidRDefault="00123F46" w:rsidP="002C5536">
            <w:pPr>
              <w:pStyle w:val="PlainText"/>
              <w:tabs>
                <w:tab w:val="left" w:pos="0"/>
              </w:tabs>
              <w:autoSpaceDE w:val="0"/>
              <w:snapToGrid w:val="0"/>
              <w:jc w:val="right"/>
              <w:rPr>
                <w:rFonts w:asciiTheme="minorHAnsi" w:hAnsiTheme="minorHAnsi" w:cstheme="minorHAnsi"/>
                <w:sz w:val="22"/>
                <w:szCs w:val="22"/>
              </w:rPr>
            </w:pPr>
          </w:p>
        </w:tc>
      </w:tr>
      <w:tr w:rsidR="00123F46" w:rsidRPr="0068094B" w:rsidTr="0044393D">
        <w:tc>
          <w:tcPr>
            <w:tcW w:w="5637" w:type="dxa"/>
            <w:vAlign w:val="center"/>
          </w:tcPr>
          <w:p w:rsidR="00123F46" w:rsidRPr="0068094B" w:rsidRDefault="00123F46" w:rsidP="007D7B32">
            <w:pPr>
              <w:pStyle w:val="PlainText"/>
              <w:numPr>
                <w:ilvl w:val="0"/>
                <w:numId w:val="25"/>
              </w:numPr>
              <w:tabs>
                <w:tab w:val="left" w:pos="0"/>
              </w:tabs>
              <w:autoSpaceDE w:val="0"/>
              <w:snapToGrid w:val="0"/>
              <w:ind w:left="0" w:firstLine="0"/>
              <w:rPr>
                <w:rFonts w:asciiTheme="minorHAnsi" w:hAnsiTheme="minorHAnsi" w:cstheme="minorHAnsi"/>
                <w:sz w:val="22"/>
                <w:szCs w:val="22"/>
              </w:rPr>
            </w:pPr>
            <w:r w:rsidRPr="0068094B">
              <w:rPr>
                <w:rFonts w:asciiTheme="minorHAnsi" w:hAnsiTheme="minorHAnsi" w:cstheme="minorHAnsi"/>
                <w:sz w:val="22"/>
                <w:szCs w:val="22"/>
              </w:rPr>
              <w:t>Purchases</w:t>
            </w:r>
          </w:p>
          <w:p w:rsidR="00123F46" w:rsidRDefault="00123F46" w:rsidP="007D7B32">
            <w:pPr>
              <w:pStyle w:val="PlainText"/>
              <w:numPr>
                <w:ilvl w:val="0"/>
                <w:numId w:val="25"/>
              </w:numPr>
              <w:tabs>
                <w:tab w:val="left" w:pos="0"/>
              </w:tabs>
              <w:autoSpaceDE w:val="0"/>
              <w:snapToGrid w:val="0"/>
              <w:ind w:left="0" w:firstLine="0"/>
              <w:rPr>
                <w:rFonts w:asciiTheme="minorHAnsi" w:hAnsiTheme="minorHAnsi" w:cstheme="minorHAnsi"/>
                <w:sz w:val="22"/>
                <w:szCs w:val="22"/>
              </w:rPr>
            </w:pPr>
            <w:r w:rsidRPr="0068094B">
              <w:rPr>
                <w:rFonts w:asciiTheme="minorHAnsi" w:hAnsiTheme="minorHAnsi" w:cstheme="minorHAnsi"/>
                <w:sz w:val="22"/>
                <w:szCs w:val="22"/>
              </w:rPr>
              <w:t>Subsequent expenditure</w:t>
            </w:r>
          </w:p>
          <w:p w:rsidR="00123F46" w:rsidRPr="0068094B" w:rsidRDefault="00123F46" w:rsidP="007D7B32">
            <w:pPr>
              <w:pStyle w:val="PlainText"/>
              <w:numPr>
                <w:ilvl w:val="0"/>
                <w:numId w:val="25"/>
              </w:numPr>
              <w:tabs>
                <w:tab w:val="left" w:pos="0"/>
              </w:tabs>
              <w:autoSpaceDE w:val="0"/>
              <w:snapToGrid w:val="0"/>
              <w:ind w:left="0" w:firstLine="0"/>
              <w:rPr>
                <w:rFonts w:asciiTheme="minorHAnsi" w:hAnsiTheme="minorHAnsi" w:cstheme="minorHAnsi"/>
                <w:sz w:val="22"/>
                <w:szCs w:val="22"/>
              </w:rPr>
            </w:pPr>
            <w:r>
              <w:rPr>
                <w:rFonts w:asciiTheme="minorHAnsi" w:hAnsiTheme="minorHAnsi" w:cstheme="minorHAnsi"/>
                <w:sz w:val="22"/>
                <w:szCs w:val="22"/>
              </w:rPr>
              <w:t>Transfer from PPE</w:t>
            </w:r>
          </w:p>
        </w:tc>
        <w:tc>
          <w:tcPr>
            <w:tcW w:w="1654" w:type="dxa"/>
            <w:shd w:val="clear" w:color="auto" w:fill="auto"/>
            <w:vAlign w:val="center"/>
          </w:tcPr>
          <w:p w:rsidR="00123F46" w:rsidRDefault="00123F46" w:rsidP="006B63F0">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rsidR="00123F46" w:rsidRDefault="00123F46" w:rsidP="006B63F0">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rsidR="00123F46" w:rsidRPr="0068094B" w:rsidRDefault="00123F46" w:rsidP="002C5536">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6</w:t>
            </w:r>
          </w:p>
        </w:tc>
        <w:tc>
          <w:tcPr>
            <w:tcW w:w="1654" w:type="dxa"/>
            <w:shd w:val="clear" w:color="auto" w:fill="D9D9D9" w:themeFill="background1" w:themeFillShade="D9"/>
            <w:vAlign w:val="center"/>
          </w:tcPr>
          <w:p w:rsidR="00123F46" w:rsidRDefault="0060024D" w:rsidP="0060024D">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rsidR="0060024D" w:rsidRDefault="0060024D" w:rsidP="0060024D">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rsidR="0060024D" w:rsidRPr="0068094B" w:rsidRDefault="0060024D" w:rsidP="0060024D">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123F46" w:rsidRPr="0068094B" w:rsidTr="0044393D">
        <w:tc>
          <w:tcPr>
            <w:tcW w:w="5637" w:type="dxa"/>
            <w:vAlign w:val="center"/>
          </w:tcPr>
          <w:p w:rsidR="00123F46" w:rsidRPr="0068094B" w:rsidRDefault="00123F46" w:rsidP="00895242">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Net gain/</w:t>
            </w:r>
            <w:r>
              <w:rPr>
                <w:rFonts w:asciiTheme="minorHAnsi" w:hAnsiTheme="minorHAnsi" w:cstheme="minorHAnsi"/>
                <w:sz w:val="22"/>
                <w:szCs w:val="22"/>
              </w:rPr>
              <w:t>(</w:t>
            </w:r>
            <w:r w:rsidRPr="0068094B">
              <w:rPr>
                <w:rFonts w:asciiTheme="minorHAnsi" w:hAnsiTheme="minorHAnsi" w:cstheme="minorHAnsi"/>
                <w:sz w:val="22"/>
                <w:szCs w:val="22"/>
              </w:rPr>
              <w:t>losses</w:t>
            </w:r>
            <w:r>
              <w:rPr>
                <w:rFonts w:asciiTheme="minorHAnsi" w:hAnsiTheme="minorHAnsi" w:cstheme="minorHAnsi"/>
                <w:sz w:val="22"/>
                <w:szCs w:val="22"/>
              </w:rPr>
              <w:t>)</w:t>
            </w:r>
            <w:r w:rsidRPr="0068094B">
              <w:rPr>
                <w:rFonts w:asciiTheme="minorHAnsi" w:hAnsiTheme="minorHAnsi" w:cstheme="minorHAnsi"/>
                <w:sz w:val="22"/>
                <w:szCs w:val="22"/>
              </w:rPr>
              <w:t xml:space="preserve"> from fair value adjustments</w:t>
            </w:r>
          </w:p>
        </w:tc>
        <w:tc>
          <w:tcPr>
            <w:tcW w:w="1654" w:type="dxa"/>
            <w:shd w:val="clear" w:color="auto" w:fill="auto"/>
            <w:vAlign w:val="center"/>
          </w:tcPr>
          <w:p w:rsidR="00123F46" w:rsidRPr="0068094B" w:rsidRDefault="00123F46">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3,220</w:t>
            </w:r>
          </w:p>
        </w:tc>
        <w:tc>
          <w:tcPr>
            <w:tcW w:w="1654" w:type="dxa"/>
            <w:shd w:val="clear" w:color="auto" w:fill="D9D9D9" w:themeFill="background1" w:themeFillShade="D9"/>
            <w:vAlign w:val="center"/>
          </w:tcPr>
          <w:p w:rsidR="00123F46" w:rsidRPr="0068094B" w:rsidRDefault="005C447C" w:rsidP="005C447C">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(1,410)</w:t>
            </w:r>
          </w:p>
        </w:tc>
      </w:tr>
      <w:tr w:rsidR="00123F46" w:rsidRPr="0068094B" w:rsidTr="0044393D">
        <w:trPr>
          <w:trHeight w:val="379"/>
        </w:trPr>
        <w:tc>
          <w:tcPr>
            <w:tcW w:w="5637" w:type="dxa"/>
            <w:vAlign w:val="center"/>
          </w:tcPr>
          <w:p w:rsidR="00123F46" w:rsidRPr="0068094B" w:rsidRDefault="00123F46" w:rsidP="002C5536">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Balance at end of the year</w:t>
            </w:r>
          </w:p>
        </w:tc>
        <w:tc>
          <w:tcPr>
            <w:tcW w:w="1654" w:type="dxa"/>
            <w:shd w:val="clear" w:color="auto" w:fill="auto"/>
            <w:vAlign w:val="center"/>
          </w:tcPr>
          <w:p w:rsidR="00123F46" w:rsidRPr="0068094B" w:rsidRDefault="00123F46" w:rsidP="007350C2">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15,033</w:t>
            </w:r>
          </w:p>
        </w:tc>
        <w:tc>
          <w:tcPr>
            <w:tcW w:w="1654" w:type="dxa"/>
            <w:shd w:val="clear" w:color="auto" w:fill="D9D9D9" w:themeFill="background1" w:themeFillShade="D9"/>
            <w:vAlign w:val="center"/>
          </w:tcPr>
          <w:p w:rsidR="00123F46" w:rsidRPr="0068094B" w:rsidRDefault="005C447C" w:rsidP="002C5536">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13,623</w:t>
            </w:r>
          </w:p>
        </w:tc>
      </w:tr>
    </w:tbl>
    <w:p w:rsidR="00BD4FA6" w:rsidRDefault="00BD4FA6" w:rsidP="00BD4FA6">
      <w:pPr>
        <w:tabs>
          <w:tab w:val="left" w:pos="0"/>
        </w:tabs>
        <w:jc w:val="both"/>
        <w:rPr>
          <w:rFonts w:asciiTheme="minorHAnsi" w:hAnsiTheme="minorHAnsi" w:cstheme="minorHAnsi"/>
          <w:b/>
          <w:bCs/>
          <w:sz w:val="22"/>
          <w:szCs w:val="22"/>
        </w:rPr>
      </w:pPr>
    </w:p>
    <w:p w:rsidR="005E698E" w:rsidRDefault="005E698E" w:rsidP="00BD4FA6">
      <w:pPr>
        <w:tabs>
          <w:tab w:val="left" w:pos="0"/>
        </w:tabs>
        <w:jc w:val="both"/>
        <w:rPr>
          <w:rFonts w:asciiTheme="minorHAnsi" w:hAnsiTheme="minorHAnsi" w:cstheme="minorHAnsi"/>
          <w:b/>
          <w:bCs/>
          <w:sz w:val="22"/>
          <w:szCs w:val="22"/>
        </w:rPr>
      </w:pPr>
    </w:p>
    <w:p w:rsidR="008F496F" w:rsidRPr="0068094B" w:rsidRDefault="008F496F" w:rsidP="00BD4FA6">
      <w:pPr>
        <w:tabs>
          <w:tab w:val="left" w:pos="0"/>
        </w:tabs>
        <w:jc w:val="both"/>
        <w:rPr>
          <w:rFonts w:asciiTheme="minorHAnsi" w:hAnsiTheme="minorHAnsi" w:cstheme="minorHAnsi"/>
          <w:b/>
          <w:bCs/>
          <w:sz w:val="22"/>
          <w:szCs w:val="22"/>
        </w:rPr>
      </w:pPr>
    </w:p>
    <w:p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lastRenderedPageBreak/>
        <w:t>Valuation Techniques Used to Arrive at Level 2 Fair Values for Investment Property</w:t>
      </w:r>
    </w:p>
    <w:p w:rsidR="00BD4FA6" w:rsidRPr="0068094B" w:rsidRDefault="00BD4FA6" w:rsidP="00BD4FA6">
      <w:pPr>
        <w:tabs>
          <w:tab w:val="left" w:pos="0"/>
        </w:tabs>
        <w:jc w:val="both"/>
        <w:rPr>
          <w:rFonts w:asciiTheme="minorHAnsi" w:hAnsiTheme="minorHAnsi" w:cstheme="minorHAnsi"/>
          <w:b/>
          <w:bCs/>
          <w:sz w:val="22"/>
          <w:szCs w:val="22"/>
        </w:rPr>
      </w:pPr>
    </w:p>
    <w:p w:rsidR="00BD4FA6" w:rsidRPr="0068094B" w:rsidRDefault="00BD4FA6" w:rsidP="00ED3B2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The Estates team at the Council use market knowledge and experience gained through managing the Council’s portfolio of Investment Properties. The Fair Value at Level 2 is determined by observable inputs</w:t>
      </w:r>
      <w:r w:rsidR="0031760C" w:rsidRPr="0068094B">
        <w:rPr>
          <w:rFonts w:asciiTheme="minorHAnsi" w:hAnsiTheme="minorHAnsi" w:cstheme="minorHAnsi"/>
          <w:bCs/>
          <w:sz w:val="22"/>
          <w:szCs w:val="22"/>
        </w:rPr>
        <w:t xml:space="preserve"> </w:t>
      </w:r>
      <w:r w:rsidR="00ED3B24" w:rsidRPr="0068094B">
        <w:rPr>
          <w:rFonts w:asciiTheme="minorHAnsi" w:hAnsiTheme="minorHAnsi" w:cstheme="minorHAnsi"/>
          <w:bCs/>
          <w:sz w:val="22"/>
          <w:szCs w:val="22"/>
        </w:rPr>
        <w:t>and</w:t>
      </w:r>
      <w:r w:rsidR="0031760C" w:rsidRPr="0068094B">
        <w:rPr>
          <w:rFonts w:asciiTheme="minorHAnsi" w:hAnsiTheme="minorHAnsi" w:cstheme="minorHAnsi"/>
          <w:bCs/>
          <w:sz w:val="22"/>
          <w:szCs w:val="22"/>
        </w:rPr>
        <w:t xml:space="preserve"> reflects the ‘Highest and Best Use’ of the asset</w:t>
      </w:r>
      <w:r w:rsidRPr="0068094B">
        <w:rPr>
          <w:rFonts w:asciiTheme="minorHAnsi" w:hAnsiTheme="minorHAnsi" w:cstheme="minorHAnsi"/>
          <w:bCs/>
          <w:sz w:val="22"/>
          <w:szCs w:val="22"/>
        </w:rPr>
        <w:t xml:space="preserve">. These include quoted prices paid for similar assets in an active market. Other techniques utilised include; analysis of existing rentals and lease periods, research into broader market rentals and yields and the covenant strength for existing tenants. </w:t>
      </w:r>
    </w:p>
    <w:p w:rsidR="00BD4FA6" w:rsidRPr="0068094B" w:rsidRDefault="00BD4FA6" w:rsidP="00ED3B24">
      <w:pPr>
        <w:tabs>
          <w:tab w:val="left" w:pos="0"/>
        </w:tabs>
        <w:rPr>
          <w:rFonts w:asciiTheme="minorHAnsi" w:hAnsiTheme="minorHAnsi" w:cstheme="minorHAnsi"/>
          <w:bCs/>
          <w:sz w:val="22"/>
          <w:szCs w:val="22"/>
        </w:rPr>
      </w:pPr>
    </w:p>
    <w:p w:rsidR="00BD4FA6" w:rsidRPr="0068094B" w:rsidRDefault="00BD4FA6" w:rsidP="00ED3B24">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There has been no change in the valuation techniques used during the year for investment properties. </w:t>
      </w:r>
    </w:p>
    <w:p w:rsidR="00BD4FA6" w:rsidRPr="0068094B" w:rsidRDefault="00BD4FA6" w:rsidP="00BD4FA6">
      <w:pPr>
        <w:tabs>
          <w:tab w:val="left" w:pos="0"/>
        </w:tabs>
        <w:jc w:val="both"/>
        <w:rPr>
          <w:rFonts w:asciiTheme="minorHAnsi" w:hAnsiTheme="minorHAnsi" w:cstheme="minorHAnsi"/>
          <w:bCs/>
          <w:sz w:val="22"/>
          <w:szCs w:val="22"/>
        </w:rPr>
      </w:pPr>
    </w:p>
    <w:p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Highest &amp; Best Use </w:t>
      </w:r>
    </w:p>
    <w:p w:rsidR="00BD4FA6" w:rsidRPr="0068094B" w:rsidRDefault="00BD4FA6" w:rsidP="00BD4FA6">
      <w:pPr>
        <w:tabs>
          <w:tab w:val="left" w:pos="0"/>
        </w:tabs>
        <w:jc w:val="both"/>
        <w:rPr>
          <w:rFonts w:asciiTheme="minorHAnsi" w:hAnsiTheme="minorHAnsi" w:cstheme="minorHAnsi"/>
          <w:bCs/>
          <w:sz w:val="22"/>
          <w:szCs w:val="22"/>
        </w:rPr>
      </w:pPr>
    </w:p>
    <w:p w:rsidR="00BD4FA6" w:rsidRPr="0068094B" w:rsidRDefault="00BD4FA6" w:rsidP="00BD4FA6">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The Fair Value of Investment Properties owned by the Council reflects the ‘Highest and Best Use’ of the asset. This can be further defined as the most probable use of the asset which is physically possible, appropriately justified, legally permissible, financially feasible and which results in the highest value of the property being valued. The highest and best use is their current use.</w:t>
      </w:r>
    </w:p>
    <w:p w:rsidR="00BD4FA6" w:rsidRPr="0068094B" w:rsidRDefault="00BD4FA6" w:rsidP="00BD4FA6">
      <w:pPr>
        <w:tabs>
          <w:tab w:val="left" w:pos="0"/>
        </w:tabs>
        <w:jc w:val="both"/>
        <w:rPr>
          <w:rFonts w:asciiTheme="minorHAnsi" w:hAnsiTheme="minorHAnsi" w:cstheme="minorHAnsi"/>
          <w:b/>
          <w:bCs/>
          <w:sz w:val="22"/>
          <w:szCs w:val="22"/>
        </w:rPr>
      </w:pPr>
    </w:p>
    <w:p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Valuers</w:t>
      </w:r>
    </w:p>
    <w:p w:rsidR="00BD4FA6" w:rsidRPr="0068094B" w:rsidRDefault="00BD4FA6" w:rsidP="00BD4FA6">
      <w:pPr>
        <w:tabs>
          <w:tab w:val="left" w:pos="0"/>
        </w:tabs>
        <w:jc w:val="both"/>
        <w:rPr>
          <w:rFonts w:asciiTheme="minorHAnsi" w:hAnsiTheme="minorHAnsi" w:cstheme="minorHAnsi"/>
          <w:b/>
          <w:bCs/>
          <w:sz w:val="22"/>
          <w:szCs w:val="22"/>
        </w:rPr>
      </w:pPr>
    </w:p>
    <w:p w:rsidR="00BD4FA6" w:rsidRPr="0068094B" w:rsidRDefault="00BD4FA6" w:rsidP="00ED3B2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 xml:space="preserve">The investment property portfolio </w:t>
      </w:r>
      <w:r w:rsidR="00515981" w:rsidRPr="0068094B">
        <w:rPr>
          <w:rFonts w:asciiTheme="minorHAnsi" w:hAnsiTheme="minorHAnsi" w:cstheme="minorHAnsi"/>
          <w:bCs/>
          <w:sz w:val="22"/>
          <w:szCs w:val="22"/>
        </w:rPr>
        <w:t>has been valued at 31 March 20</w:t>
      </w:r>
      <w:r w:rsidR="0038750E">
        <w:rPr>
          <w:rFonts w:asciiTheme="minorHAnsi" w:hAnsiTheme="minorHAnsi" w:cstheme="minorHAnsi"/>
          <w:bCs/>
          <w:sz w:val="22"/>
          <w:szCs w:val="22"/>
        </w:rPr>
        <w:t>20</w:t>
      </w:r>
      <w:r w:rsidRPr="0068094B">
        <w:rPr>
          <w:rFonts w:asciiTheme="minorHAnsi" w:hAnsiTheme="minorHAnsi" w:cstheme="minorHAnsi"/>
          <w:bCs/>
          <w:sz w:val="22"/>
          <w:szCs w:val="22"/>
        </w:rPr>
        <w:t xml:space="preserve"> in accordance with the methodologies and bases for estimation set out in the professional standards of the Royal Institution for Chartered Surveyors. </w:t>
      </w:r>
      <w:r w:rsidR="0031760C" w:rsidRPr="0068094B">
        <w:rPr>
          <w:rFonts w:asciiTheme="minorHAnsi" w:hAnsiTheme="minorHAnsi" w:cstheme="minorHAnsi"/>
          <w:bCs/>
          <w:sz w:val="22"/>
          <w:szCs w:val="22"/>
        </w:rPr>
        <w:t>The Fair Value is assessed as Level 2 and based on observable inputs including quoted prices paid for similar assets in an active market, analysis of existing rentals and lease periods, research into broader market rentals and yields and the covenant strength for existing tenant.</w:t>
      </w:r>
    </w:p>
    <w:p w:rsidR="00D4029C" w:rsidRPr="0068094B" w:rsidRDefault="00D4029C" w:rsidP="00BD4FA6">
      <w:pPr>
        <w:rPr>
          <w:rFonts w:asciiTheme="minorHAnsi" w:hAnsiTheme="minorHAnsi" w:cstheme="minorHAnsi"/>
          <w:sz w:val="22"/>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Intangible Assets</w:t>
      </w:r>
    </w:p>
    <w:p w:rsidR="00EB6290" w:rsidRPr="0068094B" w:rsidRDefault="00EB6290" w:rsidP="00EB6290">
      <w:pPr>
        <w:pStyle w:val="ListParagraph"/>
        <w:tabs>
          <w:tab w:val="left" w:pos="0"/>
        </w:tabs>
        <w:jc w:val="both"/>
        <w:rPr>
          <w:rFonts w:asciiTheme="minorHAnsi" w:hAnsiTheme="minorHAnsi" w:cstheme="minorHAnsi"/>
          <w:b/>
          <w:bCs/>
          <w:szCs w:val="22"/>
        </w:rPr>
      </w:pPr>
    </w:p>
    <w:p w:rsidR="0005679A" w:rsidRPr="0068094B" w:rsidRDefault="0005679A" w:rsidP="00EB6290">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The carrying amo</w:t>
      </w:r>
      <w:r w:rsidR="0056298D" w:rsidRPr="0068094B">
        <w:rPr>
          <w:rFonts w:asciiTheme="minorHAnsi" w:hAnsiTheme="minorHAnsi" w:cstheme="minorHAnsi"/>
          <w:sz w:val="22"/>
          <w:szCs w:val="22"/>
        </w:rPr>
        <w:t xml:space="preserve">unt of intangible assets is </w:t>
      </w:r>
      <w:r w:rsidR="0056298D" w:rsidRPr="003120B8">
        <w:rPr>
          <w:rFonts w:asciiTheme="minorHAnsi" w:hAnsiTheme="minorHAnsi" w:cstheme="minorHAnsi"/>
          <w:sz w:val="22"/>
          <w:szCs w:val="22"/>
        </w:rPr>
        <w:t>£</w:t>
      </w:r>
      <w:r w:rsidR="003274C7">
        <w:rPr>
          <w:rFonts w:asciiTheme="minorHAnsi" w:hAnsiTheme="minorHAnsi" w:cstheme="minorHAnsi"/>
          <w:sz w:val="22"/>
          <w:szCs w:val="22"/>
        </w:rPr>
        <w:t>359k</w:t>
      </w:r>
      <w:r w:rsidRPr="0068094B">
        <w:rPr>
          <w:rFonts w:asciiTheme="minorHAnsi" w:hAnsiTheme="minorHAnsi" w:cstheme="minorHAnsi"/>
          <w:sz w:val="22"/>
          <w:szCs w:val="22"/>
        </w:rPr>
        <w:t xml:space="preserve"> and is amortised on a straight </w:t>
      </w:r>
      <w:r w:rsidR="0056298D" w:rsidRPr="0068094B">
        <w:rPr>
          <w:rFonts w:asciiTheme="minorHAnsi" w:hAnsiTheme="minorHAnsi" w:cstheme="minorHAnsi"/>
          <w:sz w:val="22"/>
          <w:szCs w:val="22"/>
        </w:rPr>
        <w:t xml:space="preserve">line basis. Amortisation of </w:t>
      </w:r>
      <w:r w:rsidR="001241B6" w:rsidRPr="0068094B">
        <w:rPr>
          <w:rFonts w:asciiTheme="minorHAnsi" w:hAnsiTheme="minorHAnsi" w:cstheme="minorHAnsi"/>
          <w:sz w:val="22"/>
          <w:szCs w:val="22"/>
        </w:rPr>
        <w:t>£</w:t>
      </w:r>
      <w:r w:rsidR="008F01AE" w:rsidRPr="003120B8">
        <w:rPr>
          <w:rFonts w:asciiTheme="minorHAnsi" w:hAnsiTheme="minorHAnsi" w:cstheme="minorHAnsi"/>
          <w:sz w:val="22"/>
          <w:szCs w:val="22"/>
        </w:rPr>
        <w:t>12</w:t>
      </w:r>
      <w:r w:rsidR="003120B8" w:rsidRPr="003120B8">
        <w:rPr>
          <w:rFonts w:asciiTheme="minorHAnsi" w:hAnsiTheme="minorHAnsi" w:cstheme="minorHAnsi"/>
          <w:sz w:val="22"/>
          <w:szCs w:val="22"/>
        </w:rPr>
        <w:t>1</w:t>
      </w:r>
      <w:r w:rsidR="001241B6" w:rsidRPr="0068094B">
        <w:rPr>
          <w:rFonts w:asciiTheme="minorHAnsi" w:hAnsiTheme="minorHAnsi" w:cstheme="minorHAnsi"/>
          <w:sz w:val="22"/>
          <w:szCs w:val="22"/>
        </w:rPr>
        <w:t>k</w:t>
      </w:r>
      <w:r w:rsidRPr="0068094B">
        <w:rPr>
          <w:rFonts w:asciiTheme="minorHAnsi" w:hAnsiTheme="minorHAnsi" w:cstheme="minorHAnsi"/>
          <w:sz w:val="22"/>
          <w:szCs w:val="22"/>
        </w:rPr>
        <w:t xml:space="preserve"> was charged to revenue in 201</w:t>
      </w:r>
      <w:r w:rsidR="00685279">
        <w:rPr>
          <w:rFonts w:asciiTheme="minorHAnsi" w:hAnsiTheme="minorHAnsi" w:cstheme="minorHAnsi"/>
          <w:sz w:val="22"/>
          <w:szCs w:val="22"/>
        </w:rPr>
        <w:t>9</w:t>
      </w:r>
      <w:r w:rsidR="008F01AE">
        <w:rPr>
          <w:rFonts w:asciiTheme="minorHAnsi" w:hAnsiTheme="minorHAnsi" w:cstheme="minorHAnsi"/>
          <w:sz w:val="22"/>
          <w:szCs w:val="22"/>
        </w:rPr>
        <w:t>-</w:t>
      </w:r>
      <w:r w:rsidR="00685279">
        <w:rPr>
          <w:rFonts w:asciiTheme="minorHAnsi" w:hAnsiTheme="minorHAnsi" w:cstheme="minorHAnsi"/>
          <w:sz w:val="22"/>
          <w:szCs w:val="22"/>
        </w:rPr>
        <w:t>20</w:t>
      </w:r>
      <w:r w:rsidRPr="0068094B">
        <w:rPr>
          <w:rFonts w:asciiTheme="minorHAnsi" w:hAnsiTheme="minorHAnsi" w:cstheme="minorHAnsi"/>
          <w:sz w:val="22"/>
          <w:szCs w:val="22"/>
        </w:rPr>
        <w:t>.</w:t>
      </w:r>
    </w:p>
    <w:p w:rsidR="00226089" w:rsidRPr="0068094B" w:rsidRDefault="00EB6290" w:rsidP="00EB6290">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 </w:t>
      </w:r>
    </w:p>
    <w:p w:rsidR="001737D6" w:rsidRPr="0068094B" w:rsidRDefault="001737D6"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Heritage Assets</w:t>
      </w:r>
    </w:p>
    <w:p w:rsidR="008C7A7B" w:rsidRPr="0068094B" w:rsidRDefault="008C7A7B" w:rsidP="008C7A7B">
      <w:pPr>
        <w:pStyle w:val="ListParagraph"/>
        <w:tabs>
          <w:tab w:val="left" w:pos="0"/>
        </w:tabs>
        <w:jc w:val="both"/>
        <w:rPr>
          <w:rFonts w:asciiTheme="minorHAnsi" w:hAnsiTheme="minorHAnsi" w:cstheme="minorHAnsi"/>
          <w:b/>
          <w:bCs/>
          <w:szCs w:val="22"/>
        </w:rPr>
      </w:pPr>
    </w:p>
    <w:p w:rsidR="00871025" w:rsidRDefault="00CB3647" w:rsidP="00875DD6">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 xml:space="preserve">The carrying value of Heritage assets </w:t>
      </w:r>
      <w:r w:rsidR="00266A19">
        <w:rPr>
          <w:rFonts w:asciiTheme="minorHAnsi" w:hAnsiTheme="minorHAnsi" w:cstheme="minorHAnsi"/>
          <w:bCs/>
          <w:sz w:val="22"/>
          <w:szCs w:val="22"/>
        </w:rPr>
        <w:t xml:space="preserve">is </w:t>
      </w:r>
      <w:r w:rsidR="00266A19" w:rsidRPr="003120B8">
        <w:rPr>
          <w:rFonts w:asciiTheme="minorHAnsi" w:hAnsiTheme="minorHAnsi" w:cstheme="minorHAnsi"/>
          <w:bCs/>
          <w:sz w:val="22"/>
          <w:szCs w:val="22"/>
        </w:rPr>
        <w:t>£6.</w:t>
      </w:r>
      <w:r w:rsidR="00562506">
        <w:rPr>
          <w:rFonts w:asciiTheme="minorHAnsi" w:hAnsiTheme="minorHAnsi" w:cstheme="minorHAnsi"/>
          <w:bCs/>
          <w:sz w:val="22"/>
          <w:szCs w:val="22"/>
        </w:rPr>
        <w:t>789</w:t>
      </w:r>
      <w:r w:rsidR="00266A19" w:rsidRPr="003120B8">
        <w:rPr>
          <w:rFonts w:asciiTheme="minorHAnsi" w:hAnsiTheme="minorHAnsi" w:cstheme="minorHAnsi"/>
          <w:bCs/>
          <w:sz w:val="22"/>
          <w:szCs w:val="22"/>
        </w:rPr>
        <w:t>m</w:t>
      </w:r>
      <w:r w:rsidR="00266A19">
        <w:rPr>
          <w:rFonts w:asciiTheme="minorHAnsi" w:hAnsiTheme="minorHAnsi" w:cstheme="minorHAnsi"/>
          <w:bCs/>
          <w:sz w:val="22"/>
          <w:szCs w:val="22"/>
        </w:rPr>
        <w:t>.</w:t>
      </w:r>
      <w:r w:rsidR="00ED3B24" w:rsidRPr="0068094B">
        <w:rPr>
          <w:rFonts w:asciiTheme="minorHAnsi" w:hAnsiTheme="minorHAnsi" w:cstheme="minorHAnsi"/>
          <w:bCs/>
          <w:sz w:val="22"/>
          <w:szCs w:val="22"/>
        </w:rPr>
        <w:t xml:space="preserve"> </w:t>
      </w:r>
      <w:r w:rsidR="00AD672D" w:rsidRPr="0068094B">
        <w:rPr>
          <w:rFonts w:asciiTheme="minorHAnsi" w:hAnsiTheme="minorHAnsi" w:cstheme="minorHAnsi"/>
          <w:bCs/>
          <w:sz w:val="22"/>
          <w:szCs w:val="22"/>
        </w:rPr>
        <w:t>There were no</w:t>
      </w:r>
      <w:r w:rsidR="00E66B14" w:rsidRPr="0068094B">
        <w:rPr>
          <w:rFonts w:asciiTheme="minorHAnsi" w:hAnsiTheme="minorHAnsi" w:cstheme="minorHAnsi"/>
          <w:bCs/>
          <w:sz w:val="22"/>
          <w:szCs w:val="22"/>
        </w:rPr>
        <w:t xml:space="preserve"> additions or </w:t>
      </w:r>
      <w:r w:rsidR="005C036A" w:rsidRPr="0068094B">
        <w:rPr>
          <w:rFonts w:asciiTheme="minorHAnsi" w:hAnsiTheme="minorHAnsi" w:cstheme="minorHAnsi"/>
          <w:bCs/>
          <w:sz w:val="22"/>
          <w:szCs w:val="22"/>
        </w:rPr>
        <w:t>dispo</w:t>
      </w:r>
      <w:r w:rsidR="00713F0C" w:rsidRPr="0068094B">
        <w:rPr>
          <w:rFonts w:asciiTheme="minorHAnsi" w:hAnsiTheme="minorHAnsi" w:cstheme="minorHAnsi"/>
          <w:bCs/>
          <w:sz w:val="22"/>
          <w:szCs w:val="22"/>
        </w:rPr>
        <w:t xml:space="preserve">sals during </w:t>
      </w:r>
      <w:r w:rsidR="00233918" w:rsidRPr="0068094B">
        <w:rPr>
          <w:rFonts w:asciiTheme="minorHAnsi" w:hAnsiTheme="minorHAnsi" w:cstheme="minorHAnsi"/>
          <w:bCs/>
          <w:sz w:val="22"/>
          <w:szCs w:val="22"/>
        </w:rPr>
        <w:t>201</w:t>
      </w:r>
      <w:r w:rsidR="003120B8">
        <w:rPr>
          <w:rFonts w:asciiTheme="minorHAnsi" w:hAnsiTheme="minorHAnsi" w:cstheme="minorHAnsi"/>
          <w:bCs/>
          <w:sz w:val="22"/>
          <w:szCs w:val="22"/>
        </w:rPr>
        <w:t>9-20</w:t>
      </w:r>
      <w:r w:rsidR="005C036A" w:rsidRPr="0068094B">
        <w:rPr>
          <w:rFonts w:asciiTheme="minorHAnsi" w:hAnsiTheme="minorHAnsi" w:cstheme="minorHAnsi"/>
          <w:bCs/>
          <w:sz w:val="22"/>
          <w:szCs w:val="22"/>
        </w:rPr>
        <w:t>.</w:t>
      </w:r>
    </w:p>
    <w:p w:rsidR="00871025" w:rsidRDefault="00871025">
      <w:pPr>
        <w:widowControl/>
        <w:suppressAutoHyphens w:val="0"/>
        <w:rPr>
          <w:rFonts w:asciiTheme="minorHAnsi" w:hAnsiTheme="minorHAnsi" w:cstheme="minorHAnsi"/>
          <w:bCs/>
          <w:sz w:val="22"/>
          <w:szCs w:val="22"/>
        </w:rPr>
      </w:pPr>
      <w:r>
        <w:rPr>
          <w:rFonts w:asciiTheme="minorHAnsi" w:hAnsiTheme="minorHAnsi" w:cstheme="minorHAnsi"/>
          <w:bCs/>
          <w:sz w:val="22"/>
          <w:szCs w:val="22"/>
        </w:rPr>
        <w:br w:type="page"/>
      </w:r>
    </w:p>
    <w:p w:rsidR="00F446F4" w:rsidRDefault="00F446F4" w:rsidP="00875DD6">
      <w:pPr>
        <w:tabs>
          <w:tab w:val="left" w:pos="0"/>
        </w:tabs>
        <w:jc w:val="both"/>
        <w:rPr>
          <w:rFonts w:asciiTheme="minorHAnsi" w:hAnsiTheme="minorHAnsi" w:cstheme="minorHAnsi"/>
          <w:bCs/>
          <w:sz w:val="22"/>
          <w:szCs w:val="22"/>
        </w:rPr>
      </w:pPr>
    </w:p>
    <w:p w:rsidR="00F446F4" w:rsidRDefault="00F446F4" w:rsidP="00875DD6">
      <w:pPr>
        <w:tabs>
          <w:tab w:val="left" w:pos="0"/>
        </w:tabs>
        <w:jc w:val="both"/>
        <w:rPr>
          <w:rFonts w:asciiTheme="minorHAnsi" w:hAnsiTheme="minorHAnsi" w:cstheme="minorHAnsi"/>
          <w:bCs/>
          <w:sz w:val="22"/>
          <w:szCs w:val="22"/>
        </w:rPr>
      </w:pPr>
    </w:p>
    <w:p w:rsidR="00C319A2" w:rsidRPr="0068094B" w:rsidRDefault="004A6511" w:rsidP="00F71C06">
      <w:pPr>
        <w:pStyle w:val="ListParagraph"/>
        <w:numPr>
          <w:ilvl w:val="0"/>
          <w:numId w:val="40"/>
        </w:numPr>
        <w:tabs>
          <w:tab w:val="left" w:pos="0"/>
          <w:tab w:val="left" w:pos="4253"/>
          <w:tab w:val="left" w:pos="6237"/>
        </w:tabs>
        <w:ind w:hanging="1287"/>
        <w:jc w:val="both"/>
        <w:rPr>
          <w:rFonts w:asciiTheme="minorHAnsi" w:hAnsiTheme="minorHAnsi" w:cstheme="minorHAnsi"/>
          <w:szCs w:val="22"/>
        </w:rPr>
      </w:pPr>
      <w:r w:rsidRPr="0068094B">
        <w:rPr>
          <w:rFonts w:asciiTheme="minorHAnsi" w:hAnsiTheme="minorHAnsi" w:cstheme="minorHAnsi"/>
          <w:b/>
          <w:bCs/>
          <w:szCs w:val="22"/>
        </w:rPr>
        <w:t>Financial Instruments</w:t>
      </w:r>
      <w:r w:rsidR="00F71C06">
        <w:rPr>
          <w:rFonts w:asciiTheme="minorHAnsi" w:hAnsiTheme="minorHAnsi" w:cstheme="minorHAnsi"/>
          <w:b/>
          <w:bCs/>
          <w:szCs w:val="22"/>
        </w:rPr>
        <w:tab/>
      </w:r>
      <w:r w:rsidR="006435EE">
        <w:rPr>
          <w:rFonts w:asciiTheme="minorHAnsi" w:hAnsiTheme="minorHAnsi" w:cstheme="minorHAnsi"/>
          <w:szCs w:val="22"/>
        </w:rPr>
        <w:t>Non-current</w:t>
      </w:r>
      <w:r w:rsidR="006435EE">
        <w:rPr>
          <w:rFonts w:asciiTheme="minorHAnsi" w:hAnsiTheme="minorHAnsi" w:cstheme="minorHAnsi"/>
          <w:szCs w:val="22"/>
        </w:rPr>
        <w:tab/>
      </w:r>
      <w:r w:rsidR="00C319A2" w:rsidRPr="0068094B">
        <w:rPr>
          <w:rFonts w:asciiTheme="minorHAnsi" w:hAnsiTheme="minorHAnsi" w:cstheme="minorHAnsi"/>
          <w:szCs w:val="22"/>
        </w:rPr>
        <w:tab/>
      </w:r>
      <w:r w:rsidR="006435EE">
        <w:rPr>
          <w:rFonts w:asciiTheme="minorHAnsi" w:hAnsiTheme="minorHAnsi" w:cstheme="minorHAnsi"/>
          <w:szCs w:val="22"/>
        </w:rPr>
        <w:t>Cur</w:t>
      </w:r>
      <w:r w:rsidR="003A5428">
        <w:rPr>
          <w:rFonts w:asciiTheme="minorHAnsi" w:hAnsiTheme="minorHAnsi" w:cstheme="minorHAnsi"/>
          <w:szCs w:val="22"/>
        </w:rPr>
        <w:t>r</w:t>
      </w:r>
      <w:r w:rsidR="006435EE">
        <w:rPr>
          <w:rFonts w:asciiTheme="minorHAnsi" w:hAnsiTheme="minorHAnsi" w:cstheme="minorHAnsi"/>
          <w:szCs w:val="22"/>
        </w:rPr>
        <w:t>ent</w:t>
      </w:r>
    </w:p>
    <w:tbl>
      <w:tblPr>
        <w:tblW w:w="8047" w:type="dxa"/>
        <w:tblLayout w:type="fixed"/>
        <w:tblLook w:val="0000" w:firstRow="0" w:lastRow="0" w:firstColumn="0" w:lastColumn="0" w:noHBand="0" w:noVBand="0"/>
      </w:tblPr>
      <w:tblGrid>
        <w:gridCol w:w="3510"/>
        <w:gridCol w:w="1134"/>
        <w:gridCol w:w="1134"/>
        <w:gridCol w:w="851"/>
        <w:gridCol w:w="283"/>
        <w:gridCol w:w="1135"/>
      </w:tblGrid>
      <w:tr w:rsidR="00995918" w:rsidRPr="0068094B" w:rsidTr="00995918">
        <w:trPr>
          <w:trHeight w:val="926"/>
          <w:tblHeader/>
        </w:trPr>
        <w:tc>
          <w:tcPr>
            <w:tcW w:w="3510" w:type="dxa"/>
          </w:tcPr>
          <w:p w:rsidR="00995918" w:rsidRPr="0068094B" w:rsidRDefault="00995918" w:rsidP="00951427">
            <w:pPr>
              <w:tabs>
                <w:tab w:val="left" w:pos="0"/>
              </w:tabs>
              <w:snapToGrid w:val="0"/>
              <w:jc w:val="both"/>
              <w:rPr>
                <w:rFonts w:asciiTheme="minorHAnsi" w:hAnsiTheme="minorHAnsi" w:cstheme="minorHAnsi"/>
                <w:sz w:val="22"/>
                <w:szCs w:val="22"/>
              </w:rPr>
            </w:pPr>
            <w:r w:rsidRPr="0068094B">
              <w:rPr>
                <w:rFonts w:asciiTheme="minorHAnsi" w:hAnsiTheme="minorHAnsi" w:cstheme="minorHAnsi"/>
                <w:b/>
                <w:bCs/>
                <w:sz w:val="22"/>
                <w:szCs w:val="22"/>
                <w:u w:val="single"/>
              </w:rPr>
              <w:t>Financial Assets</w:t>
            </w:r>
          </w:p>
        </w:tc>
        <w:tc>
          <w:tcPr>
            <w:tcW w:w="1134" w:type="dxa"/>
            <w:tcBorders>
              <w:bottom w:val="single" w:sz="4" w:space="0" w:color="000000"/>
            </w:tcBorders>
            <w:vAlign w:val="center"/>
          </w:tcPr>
          <w:p w:rsidR="00995918" w:rsidRPr="0068094B" w:rsidRDefault="00995918"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 xml:space="preserve"> 31 March </w:t>
            </w:r>
            <w:r w:rsidRPr="0068094B">
              <w:rPr>
                <w:rFonts w:asciiTheme="minorHAnsi" w:hAnsiTheme="minorHAnsi" w:cstheme="minorHAnsi"/>
                <w:sz w:val="22"/>
                <w:szCs w:val="22"/>
              </w:rPr>
              <w:t xml:space="preserve"> 201</w:t>
            </w:r>
            <w:r>
              <w:rPr>
                <w:rFonts w:asciiTheme="minorHAnsi" w:hAnsiTheme="minorHAnsi" w:cstheme="minorHAnsi"/>
                <w:sz w:val="22"/>
                <w:szCs w:val="22"/>
              </w:rPr>
              <w:t>9</w:t>
            </w:r>
          </w:p>
          <w:p w:rsidR="00995918" w:rsidRPr="0068094B" w:rsidRDefault="00995918" w:rsidP="00387B2A">
            <w:pPr>
              <w:tabs>
                <w:tab w:val="left" w:pos="0"/>
              </w:tabs>
              <w:jc w:val="right"/>
              <w:rPr>
                <w:rFonts w:asciiTheme="minorHAnsi" w:hAnsiTheme="minorHAnsi" w:cstheme="minorHAnsi"/>
                <w:sz w:val="22"/>
                <w:szCs w:val="22"/>
              </w:rPr>
            </w:pPr>
            <w:r>
              <w:rPr>
                <w:rFonts w:asciiTheme="minorHAnsi" w:hAnsiTheme="minorHAnsi" w:cstheme="minorHAnsi"/>
                <w:sz w:val="22"/>
                <w:szCs w:val="22"/>
              </w:rPr>
              <w:t>£000</w:t>
            </w:r>
          </w:p>
        </w:tc>
        <w:tc>
          <w:tcPr>
            <w:tcW w:w="1134" w:type="dxa"/>
            <w:tcBorders>
              <w:bottom w:val="single" w:sz="4" w:space="0" w:color="000000"/>
            </w:tcBorders>
            <w:shd w:val="clear" w:color="auto" w:fill="D9D9D9" w:themeFill="background1" w:themeFillShade="D9"/>
            <w:vAlign w:val="center"/>
          </w:tcPr>
          <w:p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31 March 20</w:t>
            </w:r>
            <w:r>
              <w:rPr>
                <w:rFonts w:asciiTheme="minorHAnsi" w:hAnsiTheme="minorHAnsi" w:cstheme="minorHAnsi"/>
                <w:sz w:val="22"/>
                <w:szCs w:val="22"/>
              </w:rPr>
              <w:t>20</w:t>
            </w:r>
          </w:p>
          <w:p w:rsidR="00995918" w:rsidRPr="0068094B" w:rsidRDefault="00995918" w:rsidP="00066ACE">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gridSpan w:val="2"/>
            <w:tcBorders>
              <w:bottom w:val="single" w:sz="4" w:space="0" w:color="000000"/>
            </w:tcBorders>
            <w:shd w:val="clear" w:color="auto" w:fill="auto"/>
            <w:vAlign w:val="center"/>
          </w:tcPr>
          <w:p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31 March 201</w:t>
            </w:r>
            <w:r>
              <w:rPr>
                <w:rFonts w:asciiTheme="minorHAnsi" w:hAnsiTheme="minorHAnsi" w:cstheme="minorHAnsi"/>
                <w:sz w:val="22"/>
                <w:szCs w:val="22"/>
              </w:rPr>
              <w:t>9</w:t>
            </w:r>
          </w:p>
          <w:p w:rsidR="00995918" w:rsidRPr="0068094B" w:rsidRDefault="00995918" w:rsidP="00066ACE">
            <w:pPr>
              <w:tabs>
                <w:tab w:val="left" w:pos="0"/>
              </w:tabs>
              <w:jc w:val="right"/>
              <w:rPr>
                <w:rFonts w:asciiTheme="minorHAnsi" w:hAnsiTheme="minorHAnsi" w:cstheme="minorHAnsi"/>
                <w:sz w:val="22"/>
                <w:szCs w:val="22"/>
              </w:rPr>
            </w:pPr>
            <w:r>
              <w:rPr>
                <w:rFonts w:asciiTheme="minorHAnsi" w:hAnsiTheme="minorHAnsi" w:cstheme="minorHAnsi"/>
                <w:sz w:val="22"/>
                <w:szCs w:val="22"/>
              </w:rPr>
              <w:t>£000</w:t>
            </w:r>
          </w:p>
        </w:tc>
        <w:tc>
          <w:tcPr>
            <w:tcW w:w="1135" w:type="dxa"/>
            <w:tcBorders>
              <w:bottom w:val="single" w:sz="4" w:space="0" w:color="000000"/>
            </w:tcBorders>
            <w:shd w:val="clear" w:color="auto" w:fill="D9D9D9" w:themeFill="background1" w:themeFillShade="D9"/>
            <w:vAlign w:val="center"/>
          </w:tcPr>
          <w:p w:rsidR="00995918" w:rsidRPr="0068094B" w:rsidRDefault="00995918" w:rsidP="00066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w:t>
            </w:r>
            <w:r w:rsidRPr="0068094B">
              <w:rPr>
                <w:rFonts w:asciiTheme="minorHAnsi" w:hAnsiTheme="minorHAnsi" w:cstheme="minorHAnsi"/>
                <w:sz w:val="22"/>
                <w:szCs w:val="22"/>
              </w:rPr>
              <w:t xml:space="preserve"> March 2</w:t>
            </w:r>
            <w:r>
              <w:rPr>
                <w:rFonts w:asciiTheme="minorHAnsi" w:hAnsiTheme="minorHAnsi" w:cstheme="minorHAnsi"/>
                <w:sz w:val="22"/>
                <w:szCs w:val="22"/>
              </w:rPr>
              <w:t>020</w:t>
            </w:r>
          </w:p>
          <w:p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995918" w:rsidRPr="0068094B" w:rsidTr="00995918">
        <w:tc>
          <w:tcPr>
            <w:tcW w:w="3510" w:type="dxa"/>
            <w:vAlign w:val="center"/>
          </w:tcPr>
          <w:p w:rsidR="00995918" w:rsidRDefault="00995918" w:rsidP="0044393D">
            <w:pPr>
              <w:tabs>
                <w:tab w:val="left" w:pos="0"/>
              </w:tabs>
              <w:snapToGrid w:val="0"/>
              <w:rPr>
                <w:rFonts w:asciiTheme="minorHAnsi" w:hAnsiTheme="minorHAnsi" w:cstheme="minorHAnsi"/>
                <w:sz w:val="22"/>
                <w:szCs w:val="22"/>
              </w:rPr>
            </w:pPr>
            <w:r>
              <w:rPr>
                <w:rFonts w:asciiTheme="minorHAnsi" w:hAnsiTheme="minorHAnsi" w:cstheme="minorHAnsi"/>
                <w:sz w:val="22"/>
                <w:szCs w:val="22"/>
              </w:rPr>
              <w:t xml:space="preserve">Investments </w:t>
            </w:r>
          </w:p>
          <w:p w:rsidR="00995918" w:rsidRPr="0068094B" w:rsidRDefault="00995918" w:rsidP="006435EE">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Amortised cost</w:t>
            </w:r>
          </w:p>
        </w:tc>
        <w:tc>
          <w:tcPr>
            <w:tcW w:w="1134" w:type="dxa"/>
            <w:vAlign w:val="center"/>
          </w:tcPr>
          <w:p w:rsidR="00995918" w:rsidRPr="0068094B" w:rsidRDefault="00995918"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3,000</w:t>
            </w:r>
          </w:p>
        </w:tc>
        <w:tc>
          <w:tcPr>
            <w:tcW w:w="1134" w:type="dxa"/>
            <w:shd w:val="clear" w:color="auto" w:fill="D9D9D9" w:themeFill="background1" w:themeFillShade="D9"/>
            <w:vAlign w:val="center"/>
          </w:tcPr>
          <w:p w:rsidR="00995918" w:rsidRPr="0068094B" w:rsidRDefault="00A77B75" w:rsidP="0016156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r>
            <w:r w:rsidR="00161567">
              <w:rPr>
                <w:rFonts w:asciiTheme="minorHAnsi" w:hAnsiTheme="minorHAnsi" w:cstheme="minorHAnsi"/>
                <w:sz w:val="22"/>
                <w:szCs w:val="22"/>
              </w:rPr>
              <w:t>0</w:t>
            </w:r>
          </w:p>
        </w:tc>
        <w:tc>
          <w:tcPr>
            <w:tcW w:w="1134" w:type="dxa"/>
            <w:gridSpan w:val="2"/>
            <w:shd w:val="clear" w:color="auto" w:fill="auto"/>
          </w:tcPr>
          <w:p w:rsidR="00995918" w:rsidRPr="0068094B" w:rsidRDefault="00995918" w:rsidP="00D2523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39,145</w:t>
            </w:r>
          </w:p>
        </w:tc>
        <w:tc>
          <w:tcPr>
            <w:tcW w:w="1135" w:type="dxa"/>
            <w:shd w:val="clear" w:color="auto" w:fill="D9D9D9" w:themeFill="background1" w:themeFillShade="D9"/>
          </w:tcPr>
          <w:p w:rsidR="00995918" w:rsidRPr="0068094B" w:rsidRDefault="00A77B75" w:rsidP="006B1FE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35,123</w:t>
            </w:r>
          </w:p>
        </w:tc>
      </w:tr>
      <w:tr w:rsidR="00995918" w:rsidRPr="0068094B" w:rsidTr="00995918">
        <w:tc>
          <w:tcPr>
            <w:tcW w:w="3510" w:type="dxa"/>
            <w:vAlign w:val="center"/>
          </w:tcPr>
          <w:p w:rsidR="00995918" w:rsidRPr="0068094B" w:rsidRDefault="00995918" w:rsidP="00951427">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Fair value through profit and loss</w:t>
            </w:r>
          </w:p>
        </w:tc>
        <w:tc>
          <w:tcPr>
            <w:tcW w:w="1134" w:type="dxa"/>
            <w:tcBorders>
              <w:bottom w:val="single" w:sz="4" w:space="0" w:color="auto"/>
            </w:tcBorders>
            <w:vAlign w:val="center"/>
          </w:tcPr>
          <w:p w:rsidR="00995918" w:rsidRDefault="00995918" w:rsidP="006B63F0">
            <w:pPr>
              <w:tabs>
                <w:tab w:val="left" w:pos="0"/>
              </w:tabs>
              <w:snapToGrid w:val="0"/>
              <w:jc w:val="right"/>
              <w:rPr>
                <w:rFonts w:asciiTheme="minorHAnsi" w:hAnsiTheme="minorHAnsi" w:cstheme="minorHAnsi"/>
                <w:sz w:val="22"/>
                <w:szCs w:val="22"/>
              </w:rPr>
            </w:pPr>
          </w:p>
          <w:p w:rsidR="00995918" w:rsidRPr="0068094B" w:rsidRDefault="00995918"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17,607</w:t>
            </w:r>
          </w:p>
        </w:tc>
        <w:tc>
          <w:tcPr>
            <w:tcW w:w="1134" w:type="dxa"/>
            <w:tcBorders>
              <w:bottom w:val="single" w:sz="4" w:space="0" w:color="auto"/>
            </w:tcBorders>
            <w:shd w:val="clear" w:color="auto" w:fill="D9D9D9" w:themeFill="background1" w:themeFillShade="D9"/>
            <w:vAlign w:val="center"/>
          </w:tcPr>
          <w:p w:rsidR="00995918" w:rsidRPr="0068094B" w:rsidRDefault="00A77B75"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29,751</w:t>
            </w:r>
          </w:p>
        </w:tc>
        <w:tc>
          <w:tcPr>
            <w:tcW w:w="1134" w:type="dxa"/>
            <w:gridSpan w:val="2"/>
            <w:tcBorders>
              <w:bottom w:val="single" w:sz="4" w:space="0" w:color="auto"/>
            </w:tcBorders>
            <w:shd w:val="clear" w:color="auto" w:fill="auto"/>
          </w:tcPr>
          <w:p w:rsidR="00995918" w:rsidRDefault="00995918" w:rsidP="006B63F0">
            <w:pPr>
              <w:tabs>
                <w:tab w:val="left" w:pos="0"/>
              </w:tabs>
              <w:snapToGrid w:val="0"/>
              <w:jc w:val="right"/>
              <w:rPr>
                <w:rFonts w:asciiTheme="minorHAnsi" w:hAnsiTheme="minorHAnsi" w:cstheme="minorHAnsi"/>
                <w:sz w:val="22"/>
                <w:szCs w:val="22"/>
              </w:rPr>
            </w:pPr>
          </w:p>
          <w:p w:rsidR="00995918" w:rsidRPr="0068094B" w:rsidRDefault="00F446F4" w:rsidP="0068094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5" w:type="dxa"/>
            <w:tcBorders>
              <w:bottom w:val="single" w:sz="4" w:space="0" w:color="auto"/>
            </w:tcBorders>
            <w:shd w:val="clear" w:color="auto" w:fill="D9D9D9" w:themeFill="background1" w:themeFillShade="D9"/>
          </w:tcPr>
          <w:p w:rsidR="00995918" w:rsidRDefault="00995918" w:rsidP="0068094B">
            <w:pPr>
              <w:tabs>
                <w:tab w:val="left" w:pos="0"/>
              </w:tabs>
              <w:snapToGrid w:val="0"/>
              <w:jc w:val="right"/>
              <w:rPr>
                <w:rFonts w:asciiTheme="minorHAnsi" w:hAnsiTheme="minorHAnsi" w:cstheme="minorHAnsi"/>
                <w:sz w:val="22"/>
                <w:szCs w:val="22"/>
              </w:rPr>
            </w:pPr>
          </w:p>
          <w:p w:rsidR="00E401F4" w:rsidRPr="0068094B" w:rsidRDefault="00E401F4" w:rsidP="0068094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995918" w:rsidRPr="0068094B" w:rsidTr="00995918">
        <w:trPr>
          <w:trHeight w:val="317"/>
        </w:trPr>
        <w:tc>
          <w:tcPr>
            <w:tcW w:w="3510" w:type="dxa"/>
            <w:vAlign w:val="center"/>
          </w:tcPr>
          <w:p w:rsidR="00995918" w:rsidRPr="0068094B" w:rsidRDefault="00995918" w:rsidP="0095142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Investments</w:t>
            </w:r>
          </w:p>
        </w:tc>
        <w:tc>
          <w:tcPr>
            <w:tcW w:w="1134" w:type="dxa"/>
            <w:tcBorders>
              <w:top w:val="single" w:sz="4" w:space="0" w:color="auto"/>
            </w:tcBorders>
            <w:vAlign w:val="center"/>
          </w:tcPr>
          <w:p w:rsidR="00995918" w:rsidRPr="0068094B" w:rsidRDefault="00995918"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20,607</w:t>
            </w:r>
          </w:p>
        </w:tc>
        <w:tc>
          <w:tcPr>
            <w:tcW w:w="1134" w:type="dxa"/>
            <w:tcBorders>
              <w:top w:val="single" w:sz="4" w:space="0" w:color="auto"/>
            </w:tcBorders>
            <w:shd w:val="clear" w:color="auto" w:fill="D9D9D9" w:themeFill="background1" w:themeFillShade="D9"/>
            <w:vAlign w:val="center"/>
          </w:tcPr>
          <w:p w:rsidR="00995918" w:rsidRPr="0068094B" w:rsidRDefault="00A77B75"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29,751</w:t>
            </w:r>
          </w:p>
        </w:tc>
        <w:tc>
          <w:tcPr>
            <w:tcW w:w="1134" w:type="dxa"/>
            <w:gridSpan w:val="2"/>
            <w:tcBorders>
              <w:top w:val="single" w:sz="4" w:space="0" w:color="auto"/>
            </w:tcBorders>
            <w:shd w:val="clear" w:color="auto" w:fill="auto"/>
            <w:vAlign w:val="center"/>
          </w:tcPr>
          <w:p w:rsidR="00995918" w:rsidRPr="0068094B" w:rsidRDefault="00995918"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39,145</w:t>
            </w:r>
          </w:p>
        </w:tc>
        <w:tc>
          <w:tcPr>
            <w:tcW w:w="1135" w:type="dxa"/>
            <w:tcBorders>
              <w:top w:val="single" w:sz="4" w:space="0" w:color="auto"/>
            </w:tcBorders>
            <w:shd w:val="clear" w:color="auto" w:fill="D9D9D9" w:themeFill="background1" w:themeFillShade="D9"/>
            <w:vAlign w:val="center"/>
          </w:tcPr>
          <w:p w:rsidR="00995918" w:rsidRPr="0068094B" w:rsidRDefault="00A77B75"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35,123</w:t>
            </w:r>
          </w:p>
        </w:tc>
      </w:tr>
      <w:tr w:rsidR="00995918" w:rsidRPr="0068094B" w:rsidTr="00995918">
        <w:tc>
          <w:tcPr>
            <w:tcW w:w="3510" w:type="dxa"/>
            <w:vAlign w:val="center"/>
          </w:tcPr>
          <w:p w:rsidR="00995918" w:rsidRPr="0068094B" w:rsidRDefault="00995918" w:rsidP="00951427">
            <w:pPr>
              <w:tabs>
                <w:tab w:val="left" w:pos="0"/>
              </w:tabs>
              <w:snapToGrid w:val="0"/>
              <w:rPr>
                <w:rFonts w:asciiTheme="minorHAnsi" w:hAnsiTheme="minorHAnsi" w:cstheme="minorHAnsi"/>
                <w:color w:val="E36C0A" w:themeColor="accent6" w:themeShade="BF"/>
                <w:sz w:val="22"/>
                <w:szCs w:val="22"/>
              </w:rPr>
            </w:pPr>
          </w:p>
        </w:tc>
        <w:tc>
          <w:tcPr>
            <w:tcW w:w="1134" w:type="dxa"/>
            <w:tcBorders>
              <w:top w:val="single" w:sz="4" w:space="0" w:color="auto"/>
            </w:tcBorders>
            <w:vAlign w:val="center"/>
          </w:tcPr>
          <w:p w:rsidR="00995918" w:rsidRPr="0068094B" w:rsidRDefault="00995918" w:rsidP="00951427">
            <w:pPr>
              <w:tabs>
                <w:tab w:val="left" w:pos="0"/>
              </w:tabs>
              <w:snapToGrid w:val="0"/>
              <w:jc w:val="right"/>
              <w:rPr>
                <w:rFonts w:asciiTheme="minorHAnsi" w:hAnsiTheme="minorHAnsi" w:cstheme="minorHAnsi"/>
                <w:sz w:val="22"/>
                <w:szCs w:val="22"/>
                <w:highlight w:val="yellow"/>
              </w:rPr>
            </w:pPr>
          </w:p>
        </w:tc>
        <w:tc>
          <w:tcPr>
            <w:tcW w:w="1134" w:type="dxa"/>
            <w:tcBorders>
              <w:top w:val="single" w:sz="4" w:space="0" w:color="auto"/>
            </w:tcBorders>
            <w:shd w:val="clear" w:color="auto" w:fill="D9D9D9" w:themeFill="background1" w:themeFillShade="D9"/>
            <w:vAlign w:val="center"/>
          </w:tcPr>
          <w:p w:rsidR="00995918" w:rsidRPr="007871B5" w:rsidRDefault="00995918" w:rsidP="00951427">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rsidR="00995918" w:rsidRPr="007871B5" w:rsidRDefault="00995918" w:rsidP="00951427">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rsidR="00995918" w:rsidRPr="007871B5" w:rsidRDefault="00995918" w:rsidP="00951427">
            <w:pPr>
              <w:tabs>
                <w:tab w:val="left" w:pos="0"/>
              </w:tabs>
              <w:snapToGrid w:val="0"/>
              <w:jc w:val="right"/>
              <w:rPr>
                <w:rFonts w:asciiTheme="minorHAnsi" w:hAnsiTheme="minorHAnsi" w:cstheme="minorHAnsi"/>
                <w:sz w:val="22"/>
                <w:szCs w:val="22"/>
              </w:rPr>
            </w:pPr>
          </w:p>
        </w:tc>
      </w:tr>
      <w:tr w:rsidR="00995918" w:rsidRPr="0068094B" w:rsidTr="00995918">
        <w:tc>
          <w:tcPr>
            <w:tcW w:w="3510" w:type="dxa"/>
            <w:vAlign w:val="center"/>
          </w:tcPr>
          <w:p w:rsidR="00995918" w:rsidRPr="0068094B" w:rsidRDefault="00995918" w:rsidP="00951427">
            <w:pPr>
              <w:tabs>
                <w:tab w:val="left" w:pos="0"/>
              </w:tabs>
              <w:snapToGrid w:val="0"/>
              <w:rPr>
                <w:rFonts w:asciiTheme="minorHAnsi" w:hAnsiTheme="minorHAnsi" w:cstheme="minorHAnsi"/>
                <w:sz w:val="22"/>
                <w:szCs w:val="22"/>
              </w:rPr>
            </w:pPr>
            <w:r>
              <w:rPr>
                <w:rFonts w:asciiTheme="minorHAnsi" w:hAnsiTheme="minorHAnsi" w:cstheme="minorHAnsi"/>
                <w:sz w:val="22"/>
                <w:szCs w:val="22"/>
              </w:rPr>
              <w:t>Cash and cash equivalents</w:t>
            </w:r>
            <w:r w:rsidRPr="0068094B">
              <w:rPr>
                <w:rFonts w:asciiTheme="minorHAnsi" w:hAnsiTheme="minorHAnsi" w:cstheme="minorHAnsi"/>
                <w:sz w:val="22"/>
                <w:szCs w:val="22"/>
              </w:rPr>
              <w:t>:</w:t>
            </w:r>
          </w:p>
        </w:tc>
        <w:tc>
          <w:tcPr>
            <w:tcW w:w="1134" w:type="dxa"/>
            <w:vAlign w:val="center"/>
          </w:tcPr>
          <w:p w:rsidR="00995918" w:rsidRPr="0068094B" w:rsidRDefault="00995918" w:rsidP="00951427">
            <w:pPr>
              <w:tabs>
                <w:tab w:val="left" w:pos="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rsidR="00995918" w:rsidRPr="007871B5" w:rsidRDefault="00995918" w:rsidP="00951427">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rsidR="00995918" w:rsidRPr="007871B5" w:rsidRDefault="00995918" w:rsidP="00951427">
            <w:pPr>
              <w:tabs>
                <w:tab w:val="left" w:pos="0"/>
              </w:tabs>
              <w:snapToGrid w:val="0"/>
              <w:jc w:val="right"/>
              <w:rPr>
                <w:rFonts w:asciiTheme="minorHAnsi" w:hAnsiTheme="minorHAnsi" w:cstheme="minorHAnsi"/>
                <w:sz w:val="22"/>
                <w:szCs w:val="22"/>
              </w:rPr>
            </w:pPr>
          </w:p>
        </w:tc>
        <w:tc>
          <w:tcPr>
            <w:tcW w:w="1135" w:type="dxa"/>
            <w:shd w:val="clear" w:color="auto" w:fill="D9D9D9" w:themeFill="background1" w:themeFillShade="D9"/>
          </w:tcPr>
          <w:p w:rsidR="00995918" w:rsidRPr="007871B5" w:rsidRDefault="00995918" w:rsidP="00951427">
            <w:pPr>
              <w:tabs>
                <w:tab w:val="left" w:pos="0"/>
              </w:tabs>
              <w:snapToGrid w:val="0"/>
              <w:jc w:val="right"/>
              <w:rPr>
                <w:rFonts w:asciiTheme="minorHAnsi" w:hAnsiTheme="minorHAnsi" w:cstheme="minorHAnsi"/>
                <w:sz w:val="22"/>
                <w:szCs w:val="22"/>
              </w:rPr>
            </w:pPr>
          </w:p>
        </w:tc>
      </w:tr>
      <w:tr w:rsidR="00995918" w:rsidRPr="00DD5BA3" w:rsidTr="00995918">
        <w:tc>
          <w:tcPr>
            <w:tcW w:w="3510" w:type="dxa"/>
            <w:vAlign w:val="center"/>
          </w:tcPr>
          <w:p w:rsidR="00995918" w:rsidRPr="0068094B" w:rsidRDefault="00995918" w:rsidP="00951427">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Amortised cost</w:t>
            </w:r>
          </w:p>
        </w:tc>
        <w:tc>
          <w:tcPr>
            <w:tcW w:w="1134" w:type="dxa"/>
            <w:vAlign w:val="center"/>
          </w:tcPr>
          <w:p w:rsidR="00995918" w:rsidRPr="0068094B" w:rsidRDefault="00161567"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rsidR="00995918" w:rsidRPr="00DD5BA3" w:rsidRDefault="00E401F4"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0</w:t>
            </w:r>
          </w:p>
        </w:tc>
        <w:tc>
          <w:tcPr>
            <w:tcW w:w="1134" w:type="dxa"/>
            <w:gridSpan w:val="2"/>
            <w:shd w:val="clear" w:color="auto" w:fill="auto"/>
          </w:tcPr>
          <w:p w:rsidR="00995918" w:rsidRPr="00DD5BA3" w:rsidRDefault="00995918"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512</w:t>
            </w:r>
          </w:p>
        </w:tc>
        <w:tc>
          <w:tcPr>
            <w:tcW w:w="1135" w:type="dxa"/>
            <w:shd w:val="clear" w:color="auto" w:fill="D9D9D9" w:themeFill="background1" w:themeFillShade="D9"/>
          </w:tcPr>
          <w:p w:rsidR="00995918" w:rsidRPr="00DD5BA3" w:rsidRDefault="00CE2F98"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w:t>
            </w:r>
            <w:r w:rsidR="00897B6A" w:rsidRPr="00DD5BA3">
              <w:rPr>
                <w:rFonts w:asciiTheme="minorHAnsi" w:hAnsiTheme="minorHAnsi" w:cstheme="minorHAnsi"/>
                <w:sz w:val="22"/>
                <w:szCs w:val="22"/>
              </w:rPr>
              <w:t>70</w:t>
            </w:r>
          </w:p>
        </w:tc>
      </w:tr>
      <w:tr w:rsidR="00995918" w:rsidRPr="00DD5BA3" w:rsidTr="00F446F4">
        <w:tc>
          <w:tcPr>
            <w:tcW w:w="3510" w:type="dxa"/>
            <w:vAlign w:val="center"/>
          </w:tcPr>
          <w:p w:rsidR="00995918" w:rsidRPr="0068094B" w:rsidRDefault="00995918" w:rsidP="00951427">
            <w:pPr>
              <w:tabs>
                <w:tab w:val="left" w:pos="0"/>
              </w:tabs>
              <w:snapToGrid w:val="0"/>
              <w:ind w:left="720"/>
              <w:rPr>
                <w:rFonts w:asciiTheme="minorHAnsi" w:hAnsiTheme="minorHAnsi" w:cstheme="minorHAnsi"/>
                <w:sz w:val="22"/>
                <w:szCs w:val="22"/>
              </w:rPr>
            </w:pPr>
            <w:r w:rsidRPr="006435EE">
              <w:rPr>
                <w:rFonts w:asciiTheme="minorHAnsi" w:hAnsiTheme="minorHAnsi" w:cstheme="minorHAnsi"/>
                <w:sz w:val="22"/>
                <w:szCs w:val="22"/>
              </w:rPr>
              <w:t>Fair value through profit and loss</w:t>
            </w:r>
          </w:p>
        </w:tc>
        <w:tc>
          <w:tcPr>
            <w:tcW w:w="1134" w:type="dxa"/>
            <w:tcBorders>
              <w:bottom w:val="single" w:sz="4" w:space="0" w:color="auto"/>
            </w:tcBorders>
            <w:vAlign w:val="center"/>
          </w:tcPr>
          <w:p w:rsidR="00995918" w:rsidRPr="0068094B" w:rsidRDefault="00F446F4"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tcBorders>
              <w:bottom w:val="single" w:sz="4" w:space="0" w:color="auto"/>
            </w:tcBorders>
            <w:shd w:val="clear" w:color="auto" w:fill="D9D9D9" w:themeFill="background1" w:themeFillShade="D9"/>
            <w:vAlign w:val="center"/>
          </w:tcPr>
          <w:p w:rsidR="00995918" w:rsidRPr="00DD5BA3" w:rsidRDefault="00E401F4"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0</w:t>
            </w:r>
          </w:p>
        </w:tc>
        <w:tc>
          <w:tcPr>
            <w:tcW w:w="1134" w:type="dxa"/>
            <w:gridSpan w:val="2"/>
            <w:tcBorders>
              <w:bottom w:val="single" w:sz="4" w:space="0" w:color="auto"/>
            </w:tcBorders>
            <w:shd w:val="clear" w:color="auto" w:fill="auto"/>
            <w:vAlign w:val="center"/>
          </w:tcPr>
          <w:p w:rsidR="00995918" w:rsidRPr="00DD5BA3" w:rsidRDefault="00995918" w:rsidP="00F446F4">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4,350</w:t>
            </w:r>
          </w:p>
        </w:tc>
        <w:tc>
          <w:tcPr>
            <w:tcW w:w="1135" w:type="dxa"/>
            <w:tcBorders>
              <w:bottom w:val="single" w:sz="4" w:space="0" w:color="auto"/>
            </w:tcBorders>
            <w:shd w:val="clear" w:color="auto" w:fill="D9D9D9" w:themeFill="background1" w:themeFillShade="D9"/>
            <w:vAlign w:val="center"/>
          </w:tcPr>
          <w:p w:rsidR="00995918" w:rsidRPr="00DD5BA3" w:rsidRDefault="00A77B75" w:rsidP="00F446F4">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6,050</w:t>
            </w:r>
          </w:p>
        </w:tc>
      </w:tr>
      <w:tr w:rsidR="00995918" w:rsidRPr="00DD5BA3" w:rsidTr="00995918">
        <w:trPr>
          <w:trHeight w:val="359"/>
        </w:trPr>
        <w:tc>
          <w:tcPr>
            <w:tcW w:w="3510" w:type="dxa"/>
            <w:vAlign w:val="center"/>
          </w:tcPr>
          <w:p w:rsidR="00995918" w:rsidRPr="0068094B" w:rsidRDefault="00995918" w:rsidP="0095142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Cash and cash Equivalents</w:t>
            </w:r>
          </w:p>
        </w:tc>
        <w:tc>
          <w:tcPr>
            <w:tcW w:w="1134" w:type="dxa"/>
            <w:tcBorders>
              <w:top w:val="single" w:sz="4" w:space="0" w:color="auto"/>
              <w:bottom w:val="single" w:sz="4" w:space="0" w:color="auto"/>
            </w:tcBorders>
            <w:vAlign w:val="center"/>
          </w:tcPr>
          <w:p w:rsidR="00995918" w:rsidRPr="0068094B" w:rsidRDefault="00F446F4"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tcBorders>
              <w:top w:val="single" w:sz="4" w:space="0" w:color="auto"/>
              <w:bottom w:val="single" w:sz="4" w:space="0" w:color="auto"/>
            </w:tcBorders>
            <w:shd w:val="clear" w:color="auto" w:fill="D9D9D9" w:themeFill="background1" w:themeFillShade="D9"/>
            <w:vAlign w:val="center"/>
          </w:tcPr>
          <w:p w:rsidR="00995918" w:rsidRPr="00DD5BA3" w:rsidRDefault="00E401F4"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0</w:t>
            </w:r>
          </w:p>
        </w:tc>
        <w:tc>
          <w:tcPr>
            <w:tcW w:w="1134" w:type="dxa"/>
            <w:gridSpan w:val="2"/>
            <w:tcBorders>
              <w:top w:val="single" w:sz="4" w:space="0" w:color="auto"/>
              <w:bottom w:val="single" w:sz="4" w:space="0" w:color="auto"/>
            </w:tcBorders>
            <w:shd w:val="clear" w:color="auto" w:fill="auto"/>
            <w:vAlign w:val="center"/>
          </w:tcPr>
          <w:p w:rsidR="00995918" w:rsidRPr="00DD5BA3" w:rsidRDefault="00995918"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4,862</w:t>
            </w:r>
          </w:p>
        </w:tc>
        <w:tc>
          <w:tcPr>
            <w:tcW w:w="1135" w:type="dxa"/>
            <w:tcBorders>
              <w:top w:val="single" w:sz="4" w:space="0" w:color="auto"/>
              <w:bottom w:val="single" w:sz="4" w:space="0" w:color="auto"/>
            </w:tcBorders>
            <w:shd w:val="clear" w:color="auto" w:fill="D9D9D9" w:themeFill="background1" w:themeFillShade="D9"/>
            <w:vAlign w:val="center"/>
          </w:tcPr>
          <w:p w:rsidR="00995918" w:rsidRPr="00DD5BA3" w:rsidRDefault="00CE2F98"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6,3</w:t>
            </w:r>
            <w:r w:rsidR="00897B6A" w:rsidRPr="00DD5BA3">
              <w:rPr>
                <w:rFonts w:asciiTheme="minorHAnsi" w:hAnsiTheme="minorHAnsi" w:cstheme="minorHAnsi"/>
                <w:sz w:val="22"/>
                <w:szCs w:val="22"/>
              </w:rPr>
              <w:t>20</w:t>
            </w:r>
          </w:p>
        </w:tc>
      </w:tr>
      <w:tr w:rsidR="00995918" w:rsidRPr="00DD5BA3" w:rsidTr="00995918">
        <w:tc>
          <w:tcPr>
            <w:tcW w:w="3510" w:type="dxa"/>
            <w:vAlign w:val="center"/>
          </w:tcPr>
          <w:p w:rsidR="00995918" w:rsidRPr="0068094B" w:rsidRDefault="00995918" w:rsidP="00951427">
            <w:pPr>
              <w:tabs>
                <w:tab w:val="left" w:pos="0"/>
              </w:tabs>
              <w:snapToGrid w:val="0"/>
              <w:rPr>
                <w:rFonts w:asciiTheme="minorHAnsi" w:hAnsiTheme="minorHAnsi" w:cstheme="minorHAnsi"/>
                <w:sz w:val="22"/>
                <w:szCs w:val="22"/>
              </w:rPr>
            </w:pPr>
          </w:p>
          <w:p w:rsidR="00995918" w:rsidRPr="0068094B" w:rsidRDefault="00995918" w:rsidP="00951427">
            <w:pPr>
              <w:tabs>
                <w:tab w:val="left" w:pos="0"/>
              </w:tabs>
              <w:snapToGrid w:val="0"/>
              <w:rPr>
                <w:rFonts w:asciiTheme="minorHAnsi" w:hAnsiTheme="minorHAnsi" w:cstheme="minorHAnsi"/>
                <w:sz w:val="22"/>
                <w:szCs w:val="22"/>
              </w:rPr>
            </w:pPr>
            <w:r>
              <w:rPr>
                <w:rFonts w:asciiTheme="minorHAnsi" w:hAnsiTheme="minorHAnsi" w:cstheme="minorHAnsi"/>
                <w:sz w:val="22"/>
                <w:szCs w:val="22"/>
              </w:rPr>
              <w:t>Debtors – at amortised cost</w:t>
            </w:r>
          </w:p>
        </w:tc>
        <w:tc>
          <w:tcPr>
            <w:tcW w:w="1134" w:type="dxa"/>
            <w:tcBorders>
              <w:top w:val="single" w:sz="4" w:space="0" w:color="auto"/>
            </w:tcBorders>
            <w:vAlign w:val="center"/>
          </w:tcPr>
          <w:p w:rsidR="00995918" w:rsidRPr="0068094B" w:rsidRDefault="00995918" w:rsidP="00951427">
            <w:pPr>
              <w:tabs>
                <w:tab w:val="left" w:pos="0"/>
              </w:tabs>
              <w:snapToGrid w:val="0"/>
              <w:jc w:val="right"/>
              <w:rPr>
                <w:rFonts w:asciiTheme="minorHAnsi" w:hAnsiTheme="minorHAnsi" w:cstheme="minorHAnsi"/>
                <w:sz w:val="22"/>
                <w:szCs w:val="22"/>
                <w:highlight w:val="yellow"/>
              </w:rPr>
            </w:pPr>
          </w:p>
        </w:tc>
        <w:tc>
          <w:tcPr>
            <w:tcW w:w="1134" w:type="dxa"/>
            <w:tcBorders>
              <w:top w:val="single" w:sz="4" w:space="0" w:color="auto"/>
            </w:tcBorders>
            <w:shd w:val="clear" w:color="auto" w:fill="D9D9D9" w:themeFill="background1" w:themeFillShade="D9"/>
            <w:vAlign w:val="center"/>
          </w:tcPr>
          <w:p w:rsidR="00995918" w:rsidRPr="00DD5BA3" w:rsidRDefault="00995918" w:rsidP="00951427">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rsidR="00995918" w:rsidRPr="00DD5BA3" w:rsidRDefault="00995918" w:rsidP="00951427">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rsidR="00995918" w:rsidRPr="00DD5BA3" w:rsidRDefault="00995918" w:rsidP="00951427">
            <w:pPr>
              <w:tabs>
                <w:tab w:val="left" w:pos="0"/>
              </w:tabs>
              <w:snapToGrid w:val="0"/>
              <w:jc w:val="right"/>
              <w:rPr>
                <w:rFonts w:asciiTheme="minorHAnsi" w:hAnsiTheme="minorHAnsi" w:cstheme="minorHAnsi"/>
                <w:sz w:val="22"/>
                <w:szCs w:val="22"/>
              </w:rPr>
            </w:pPr>
          </w:p>
        </w:tc>
      </w:tr>
      <w:tr w:rsidR="00995918" w:rsidRPr="00DD5BA3" w:rsidTr="00995918">
        <w:tc>
          <w:tcPr>
            <w:tcW w:w="3510" w:type="dxa"/>
            <w:vAlign w:val="center"/>
          </w:tcPr>
          <w:p w:rsidR="00995918" w:rsidRPr="0068094B" w:rsidRDefault="00995918" w:rsidP="00951427">
            <w:pPr>
              <w:tabs>
                <w:tab w:val="left" w:pos="0"/>
              </w:tabs>
              <w:snapToGrid w:val="0"/>
              <w:ind w:left="720"/>
              <w:rPr>
                <w:rFonts w:asciiTheme="minorHAnsi" w:hAnsiTheme="minorHAnsi" w:cstheme="minorHAnsi"/>
                <w:sz w:val="22"/>
                <w:szCs w:val="22"/>
              </w:rPr>
            </w:pPr>
            <w:r w:rsidRPr="0068094B">
              <w:rPr>
                <w:rFonts w:asciiTheme="minorHAnsi" w:hAnsiTheme="minorHAnsi" w:cstheme="minorHAnsi"/>
                <w:sz w:val="22"/>
                <w:szCs w:val="22"/>
              </w:rPr>
              <w:t xml:space="preserve">Trade </w:t>
            </w:r>
            <w:r>
              <w:rPr>
                <w:rFonts w:asciiTheme="minorHAnsi" w:hAnsiTheme="minorHAnsi" w:cstheme="minorHAnsi"/>
                <w:sz w:val="22"/>
                <w:szCs w:val="22"/>
              </w:rPr>
              <w:t>r</w:t>
            </w:r>
            <w:r w:rsidRPr="0068094B">
              <w:rPr>
                <w:rFonts w:asciiTheme="minorHAnsi" w:hAnsiTheme="minorHAnsi" w:cstheme="minorHAnsi"/>
                <w:sz w:val="22"/>
                <w:szCs w:val="22"/>
              </w:rPr>
              <w:t>eceivables</w:t>
            </w:r>
          </w:p>
        </w:tc>
        <w:tc>
          <w:tcPr>
            <w:tcW w:w="1134" w:type="dxa"/>
            <w:shd w:val="clear" w:color="auto" w:fill="auto"/>
            <w:vAlign w:val="center"/>
          </w:tcPr>
          <w:p w:rsidR="00995918" w:rsidRPr="0068094B" w:rsidRDefault="00E401F4"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rsidR="00995918" w:rsidRPr="00DD5BA3" w:rsidRDefault="00E401F4"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0</w:t>
            </w:r>
          </w:p>
        </w:tc>
        <w:tc>
          <w:tcPr>
            <w:tcW w:w="1134" w:type="dxa"/>
            <w:gridSpan w:val="2"/>
            <w:shd w:val="clear" w:color="auto" w:fill="auto"/>
          </w:tcPr>
          <w:p w:rsidR="00995918" w:rsidRPr="00DD5BA3" w:rsidRDefault="00995918"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764</w:t>
            </w:r>
          </w:p>
        </w:tc>
        <w:tc>
          <w:tcPr>
            <w:tcW w:w="1135" w:type="dxa"/>
            <w:shd w:val="clear" w:color="auto" w:fill="D9D9D9" w:themeFill="background1" w:themeFillShade="D9"/>
          </w:tcPr>
          <w:p w:rsidR="00995918" w:rsidRPr="00DD5BA3" w:rsidRDefault="00FA1D49"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2,294</w:t>
            </w:r>
          </w:p>
        </w:tc>
      </w:tr>
      <w:tr w:rsidR="00995918" w:rsidRPr="00DD5BA3" w:rsidTr="00995918">
        <w:tc>
          <w:tcPr>
            <w:tcW w:w="3510" w:type="dxa"/>
            <w:vAlign w:val="center"/>
          </w:tcPr>
          <w:p w:rsidR="00995918" w:rsidRPr="0068094B" w:rsidRDefault="00995918" w:rsidP="006435EE">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Contract receivables</w:t>
            </w:r>
          </w:p>
        </w:tc>
        <w:tc>
          <w:tcPr>
            <w:tcW w:w="1134" w:type="dxa"/>
            <w:shd w:val="clear" w:color="auto" w:fill="auto"/>
            <w:vAlign w:val="center"/>
          </w:tcPr>
          <w:p w:rsidR="00995918" w:rsidRDefault="00995918"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400</w:t>
            </w:r>
          </w:p>
        </w:tc>
        <w:tc>
          <w:tcPr>
            <w:tcW w:w="1134" w:type="dxa"/>
            <w:shd w:val="clear" w:color="auto" w:fill="D9D9D9" w:themeFill="background1" w:themeFillShade="D9"/>
            <w:vAlign w:val="center"/>
          </w:tcPr>
          <w:p w:rsidR="00995918" w:rsidRPr="00DD5BA3" w:rsidRDefault="00897B6A"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393</w:t>
            </w:r>
          </w:p>
        </w:tc>
        <w:tc>
          <w:tcPr>
            <w:tcW w:w="1134" w:type="dxa"/>
            <w:gridSpan w:val="2"/>
            <w:shd w:val="clear" w:color="auto" w:fill="auto"/>
          </w:tcPr>
          <w:p w:rsidR="00995918" w:rsidRPr="00DD5BA3" w:rsidRDefault="00995918"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5,578</w:t>
            </w:r>
          </w:p>
        </w:tc>
        <w:tc>
          <w:tcPr>
            <w:tcW w:w="1135" w:type="dxa"/>
            <w:shd w:val="clear" w:color="auto" w:fill="D9D9D9" w:themeFill="background1" w:themeFillShade="D9"/>
          </w:tcPr>
          <w:p w:rsidR="00995918" w:rsidRPr="00DD5BA3" w:rsidRDefault="00897B6A" w:rsidP="00F66F22">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14</w:t>
            </w:r>
          </w:p>
        </w:tc>
      </w:tr>
      <w:tr w:rsidR="00995918" w:rsidRPr="00DD5BA3" w:rsidTr="00995918">
        <w:tc>
          <w:tcPr>
            <w:tcW w:w="3510" w:type="dxa"/>
            <w:vAlign w:val="center"/>
          </w:tcPr>
          <w:p w:rsidR="00995918" w:rsidRPr="0068094B" w:rsidRDefault="00995918" w:rsidP="006435EE">
            <w:pPr>
              <w:tabs>
                <w:tab w:val="left" w:pos="0"/>
              </w:tabs>
              <w:snapToGrid w:val="0"/>
              <w:ind w:left="720"/>
              <w:rPr>
                <w:rFonts w:asciiTheme="minorHAnsi" w:hAnsiTheme="minorHAnsi" w:cstheme="minorHAnsi"/>
                <w:sz w:val="22"/>
                <w:szCs w:val="22"/>
              </w:rPr>
            </w:pPr>
            <w:r w:rsidRPr="0068094B">
              <w:rPr>
                <w:rFonts w:asciiTheme="minorHAnsi" w:hAnsiTheme="minorHAnsi" w:cstheme="minorHAnsi"/>
                <w:sz w:val="22"/>
                <w:szCs w:val="22"/>
              </w:rPr>
              <w:t xml:space="preserve">Lease </w:t>
            </w:r>
            <w:r>
              <w:rPr>
                <w:rFonts w:asciiTheme="minorHAnsi" w:hAnsiTheme="minorHAnsi" w:cstheme="minorHAnsi"/>
                <w:sz w:val="22"/>
                <w:szCs w:val="22"/>
              </w:rPr>
              <w:t>r</w:t>
            </w:r>
            <w:r w:rsidRPr="0068094B">
              <w:rPr>
                <w:rFonts w:asciiTheme="minorHAnsi" w:hAnsiTheme="minorHAnsi" w:cstheme="minorHAnsi"/>
                <w:sz w:val="22"/>
                <w:szCs w:val="22"/>
              </w:rPr>
              <w:t>eceivables</w:t>
            </w:r>
          </w:p>
        </w:tc>
        <w:tc>
          <w:tcPr>
            <w:tcW w:w="1134" w:type="dxa"/>
            <w:tcBorders>
              <w:bottom w:val="single" w:sz="4" w:space="0" w:color="auto"/>
            </w:tcBorders>
            <w:shd w:val="clear" w:color="auto" w:fill="auto"/>
            <w:vAlign w:val="center"/>
          </w:tcPr>
          <w:p w:rsidR="00995918" w:rsidRPr="0068094B" w:rsidRDefault="00995918"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737</w:t>
            </w:r>
          </w:p>
        </w:tc>
        <w:tc>
          <w:tcPr>
            <w:tcW w:w="1134" w:type="dxa"/>
            <w:tcBorders>
              <w:bottom w:val="single" w:sz="4" w:space="0" w:color="auto"/>
            </w:tcBorders>
            <w:shd w:val="clear" w:color="auto" w:fill="D9D9D9" w:themeFill="background1" w:themeFillShade="D9"/>
            <w:vAlign w:val="center"/>
          </w:tcPr>
          <w:p w:rsidR="00995918" w:rsidRPr="00DD5BA3" w:rsidRDefault="00897B6A" w:rsidP="00A9341C">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70</w:t>
            </w:r>
            <w:r w:rsidR="00A9341C" w:rsidRPr="00DD5BA3">
              <w:rPr>
                <w:rFonts w:asciiTheme="minorHAnsi" w:hAnsiTheme="minorHAnsi" w:cstheme="minorHAnsi"/>
                <w:sz w:val="22"/>
                <w:szCs w:val="22"/>
              </w:rPr>
              <w:t>3</w:t>
            </w:r>
          </w:p>
        </w:tc>
        <w:tc>
          <w:tcPr>
            <w:tcW w:w="1134" w:type="dxa"/>
            <w:gridSpan w:val="2"/>
            <w:tcBorders>
              <w:bottom w:val="single" w:sz="4" w:space="0" w:color="auto"/>
            </w:tcBorders>
            <w:shd w:val="clear" w:color="auto" w:fill="auto"/>
          </w:tcPr>
          <w:p w:rsidR="00995918" w:rsidRPr="00DD5BA3" w:rsidRDefault="00F446F4"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0</w:t>
            </w:r>
          </w:p>
        </w:tc>
        <w:tc>
          <w:tcPr>
            <w:tcW w:w="1135" w:type="dxa"/>
            <w:tcBorders>
              <w:bottom w:val="single" w:sz="4" w:space="0" w:color="auto"/>
            </w:tcBorders>
            <w:shd w:val="clear" w:color="auto" w:fill="D9D9D9" w:themeFill="background1" w:themeFillShade="D9"/>
          </w:tcPr>
          <w:p w:rsidR="00995918" w:rsidRPr="00DD5BA3" w:rsidRDefault="00F446F4"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0</w:t>
            </w:r>
          </w:p>
        </w:tc>
      </w:tr>
      <w:tr w:rsidR="00995918" w:rsidRPr="00DD5BA3" w:rsidTr="00995918">
        <w:trPr>
          <w:trHeight w:val="335"/>
        </w:trPr>
        <w:tc>
          <w:tcPr>
            <w:tcW w:w="3510" w:type="dxa"/>
            <w:vAlign w:val="center"/>
          </w:tcPr>
          <w:p w:rsidR="00995918" w:rsidRPr="0068094B" w:rsidRDefault="00995918" w:rsidP="0095142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Included in Debtors</w:t>
            </w:r>
          </w:p>
        </w:tc>
        <w:tc>
          <w:tcPr>
            <w:tcW w:w="1134" w:type="dxa"/>
            <w:tcBorders>
              <w:top w:val="single" w:sz="4" w:space="0" w:color="auto"/>
              <w:bottom w:val="single" w:sz="4" w:space="0" w:color="auto"/>
            </w:tcBorders>
            <w:shd w:val="clear" w:color="auto" w:fill="auto"/>
            <w:vAlign w:val="center"/>
          </w:tcPr>
          <w:p w:rsidR="00995918" w:rsidRPr="0068094B" w:rsidRDefault="00995918"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1,137</w:t>
            </w:r>
          </w:p>
        </w:tc>
        <w:tc>
          <w:tcPr>
            <w:tcW w:w="1134" w:type="dxa"/>
            <w:tcBorders>
              <w:top w:val="single" w:sz="4" w:space="0" w:color="auto"/>
              <w:bottom w:val="single" w:sz="4" w:space="0" w:color="auto"/>
            </w:tcBorders>
            <w:shd w:val="clear" w:color="auto" w:fill="D9D9D9" w:themeFill="background1" w:themeFillShade="D9"/>
            <w:vAlign w:val="center"/>
          </w:tcPr>
          <w:p w:rsidR="00995918" w:rsidRPr="00DD5BA3" w:rsidRDefault="00897B6A" w:rsidP="00A9341C">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1,09</w:t>
            </w:r>
            <w:r w:rsidR="00A9341C" w:rsidRPr="00DD5BA3">
              <w:rPr>
                <w:rFonts w:asciiTheme="minorHAnsi" w:hAnsiTheme="minorHAnsi" w:cstheme="minorHAnsi"/>
                <w:sz w:val="22"/>
                <w:szCs w:val="22"/>
              </w:rPr>
              <w:t>6</w:t>
            </w:r>
          </w:p>
        </w:tc>
        <w:tc>
          <w:tcPr>
            <w:tcW w:w="1134" w:type="dxa"/>
            <w:gridSpan w:val="2"/>
            <w:tcBorders>
              <w:top w:val="single" w:sz="4" w:space="0" w:color="auto"/>
              <w:bottom w:val="single" w:sz="4" w:space="0" w:color="auto"/>
            </w:tcBorders>
            <w:shd w:val="clear" w:color="auto" w:fill="auto"/>
            <w:vAlign w:val="center"/>
          </w:tcPr>
          <w:p w:rsidR="00995918" w:rsidRPr="00DD5BA3" w:rsidRDefault="00995918"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6,342</w:t>
            </w:r>
          </w:p>
        </w:tc>
        <w:tc>
          <w:tcPr>
            <w:tcW w:w="1135" w:type="dxa"/>
            <w:tcBorders>
              <w:top w:val="single" w:sz="4" w:space="0" w:color="auto"/>
              <w:bottom w:val="single" w:sz="4" w:space="0" w:color="auto"/>
            </w:tcBorders>
            <w:shd w:val="clear" w:color="auto" w:fill="D9D9D9" w:themeFill="background1" w:themeFillShade="D9"/>
            <w:vAlign w:val="center"/>
          </w:tcPr>
          <w:p w:rsidR="00995918" w:rsidRPr="00DD5BA3" w:rsidRDefault="00FA1D49" w:rsidP="00F66F22">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2,308</w:t>
            </w:r>
          </w:p>
        </w:tc>
      </w:tr>
      <w:tr w:rsidR="00995918" w:rsidRPr="00DD5BA3" w:rsidTr="00995918">
        <w:trPr>
          <w:trHeight w:val="339"/>
        </w:trPr>
        <w:tc>
          <w:tcPr>
            <w:tcW w:w="3510" w:type="dxa"/>
            <w:vAlign w:val="center"/>
          </w:tcPr>
          <w:p w:rsidR="00995918" w:rsidRPr="0068094B" w:rsidRDefault="00995918" w:rsidP="0095142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Financial Assets</w:t>
            </w:r>
          </w:p>
        </w:tc>
        <w:tc>
          <w:tcPr>
            <w:tcW w:w="1134" w:type="dxa"/>
            <w:tcBorders>
              <w:top w:val="single" w:sz="4" w:space="0" w:color="auto"/>
              <w:bottom w:val="single" w:sz="4" w:space="0" w:color="auto"/>
            </w:tcBorders>
            <w:shd w:val="clear" w:color="auto" w:fill="auto"/>
            <w:vAlign w:val="center"/>
          </w:tcPr>
          <w:p w:rsidR="00995918" w:rsidRPr="0068094B" w:rsidRDefault="00995918"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21,744</w:t>
            </w:r>
          </w:p>
        </w:tc>
        <w:tc>
          <w:tcPr>
            <w:tcW w:w="1134" w:type="dxa"/>
            <w:tcBorders>
              <w:top w:val="single" w:sz="4" w:space="0" w:color="auto"/>
              <w:bottom w:val="single" w:sz="4" w:space="0" w:color="auto"/>
            </w:tcBorders>
            <w:shd w:val="clear" w:color="auto" w:fill="D9D9D9" w:themeFill="background1" w:themeFillShade="D9"/>
            <w:vAlign w:val="center"/>
          </w:tcPr>
          <w:p w:rsidR="00995918" w:rsidRPr="00DD5BA3" w:rsidRDefault="00897B6A" w:rsidP="00A9341C">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30,84</w:t>
            </w:r>
            <w:r w:rsidR="00A9341C" w:rsidRPr="00DD5BA3">
              <w:rPr>
                <w:rFonts w:asciiTheme="minorHAnsi" w:hAnsiTheme="minorHAnsi" w:cstheme="minorHAnsi"/>
                <w:sz w:val="22"/>
                <w:szCs w:val="22"/>
              </w:rPr>
              <w:t>7</w:t>
            </w:r>
          </w:p>
        </w:tc>
        <w:tc>
          <w:tcPr>
            <w:tcW w:w="1134" w:type="dxa"/>
            <w:gridSpan w:val="2"/>
            <w:tcBorders>
              <w:top w:val="single" w:sz="4" w:space="0" w:color="auto"/>
              <w:bottom w:val="single" w:sz="4" w:space="0" w:color="auto"/>
            </w:tcBorders>
            <w:shd w:val="clear" w:color="auto" w:fill="auto"/>
            <w:vAlign w:val="center"/>
          </w:tcPr>
          <w:p w:rsidR="00995918" w:rsidRPr="00DD5BA3" w:rsidRDefault="00995918"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50,349</w:t>
            </w:r>
          </w:p>
        </w:tc>
        <w:tc>
          <w:tcPr>
            <w:tcW w:w="1135" w:type="dxa"/>
            <w:tcBorders>
              <w:top w:val="single" w:sz="4" w:space="0" w:color="auto"/>
              <w:bottom w:val="single" w:sz="4" w:space="0" w:color="auto"/>
            </w:tcBorders>
            <w:shd w:val="clear" w:color="auto" w:fill="D9D9D9" w:themeFill="background1" w:themeFillShade="D9"/>
            <w:vAlign w:val="center"/>
          </w:tcPr>
          <w:p w:rsidR="00995918" w:rsidRPr="00DD5BA3" w:rsidRDefault="00FA1D49" w:rsidP="00157DF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43</w:t>
            </w:r>
            <w:r w:rsidR="00CE2F98" w:rsidRPr="00DD5BA3">
              <w:rPr>
                <w:rFonts w:asciiTheme="minorHAnsi" w:hAnsiTheme="minorHAnsi" w:cstheme="minorHAnsi"/>
                <w:sz w:val="22"/>
                <w:szCs w:val="22"/>
              </w:rPr>
              <w:t>,7</w:t>
            </w:r>
            <w:r w:rsidRPr="00DD5BA3">
              <w:rPr>
                <w:rFonts w:asciiTheme="minorHAnsi" w:hAnsiTheme="minorHAnsi" w:cstheme="minorHAnsi"/>
                <w:sz w:val="22"/>
                <w:szCs w:val="22"/>
              </w:rPr>
              <w:t>51</w:t>
            </w:r>
          </w:p>
        </w:tc>
      </w:tr>
      <w:tr w:rsidR="00995918" w:rsidRPr="0068094B" w:rsidTr="00995918">
        <w:trPr>
          <w:gridAfter w:val="2"/>
          <w:wAfter w:w="1418" w:type="dxa"/>
          <w:cantSplit/>
        </w:trPr>
        <w:tc>
          <w:tcPr>
            <w:tcW w:w="3510" w:type="dxa"/>
            <w:vAlign w:val="center"/>
          </w:tcPr>
          <w:p w:rsidR="00995918" w:rsidRPr="0068094B" w:rsidRDefault="00995918" w:rsidP="00C319A2">
            <w:pPr>
              <w:widowControl/>
              <w:suppressAutoHyphens w:val="0"/>
              <w:rPr>
                <w:rFonts w:asciiTheme="minorHAnsi" w:hAnsiTheme="minorHAnsi" w:cstheme="minorHAnsi"/>
                <w:b/>
                <w:bCs/>
                <w:sz w:val="22"/>
                <w:szCs w:val="22"/>
              </w:rPr>
            </w:pPr>
          </w:p>
        </w:tc>
        <w:tc>
          <w:tcPr>
            <w:tcW w:w="1134" w:type="dxa"/>
          </w:tcPr>
          <w:p w:rsidR="00995918" w:rsidRPr="0068094B" w:rsidRDefault="00995918" w:rsidP="00D7234A">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rsidR="00995918" w:rsidRPr="0068094B" w:rsidRDefault="00995918" w:rsidP="00D7234A">
            <w:pPr>
              <w:tabs>
                <w:tab w:val="left" w:pos="0"/>
              </w:tabs>
              <w:snapToGrid w:val="0"/>
              <w:rPr>
                <w:rFonts w:asciiTheme="minorHAnsi" w:hAnsiTheme="minorHAnsi" w:cstheme="minorHAnsi"/>
                <w:sz w:val="22"/>
                <w:szCs w:val="22"/>
              </w:rPr>
            </w:pPr>
          </w:p>
        </w:tc>
      </w:tr>
      <w:tr w:rsidR="00D7234A" w:rsidRPr="0068094B" w:rsidTr="00995918">
        <w:trPr>
          <w:gridAfter w:val="2"/>
          <w:wAfter w:w="1418" w:type="dxa"/>
          <w:cantSplit/>
        </w:trPr>
        <w:tc>
          <w:tcPr>
            <w:tcW w:w="3510" w:type="dxa"/>
            <w:vAlign w:val="center"/>
          </w:tcPr>
          <w:p w:rsidR="00D7234A" w:rsidRPr="0068094B" w:rsidRDefault="00D7234A" w:rsidP="00C319A2">
            <w:pPr>
              <w:widowControl/>
              <w:suppressAutoHyphens w:val="0"/>
              <w:rPr>
                <w:rFonts w:asciiTheme="minorHAnsi" w:hAnsiTheme="minorHAnsi" w:cstheme="minorHAnsi"/>
                <w:b/>
                <w:bCs/>
                <w:sz w:val="22"/>
                <w:szCs w:val="22"/>
              </w:rPr>
            </w:pPr>
          </w:p>
        </w:tc>
        <w:tc>
          <w:tcPr>
            <w:tcW w:w="1134" w:type="dxa"/>
          </w:tcPr>
          <w:p w:rsidR="00D7234A" w:rsidRPr="0068094B" w:rsidRDefault="00D7234A" w:rsidP="00D7234A">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rsidR="00D7234A" w:rsidRPr="0068094B" w:rsidRDefault="00D7234A" w:rsidP="00D7234A">
            <w:pPr>
              <w:tabs>
                <w:tab w:val="left" w:pos="0"/>
              </w:tabs>
              <w:snapToGrid w:val="0"/>
              <w:rPr>
                <w:rFonts w:asciiTheme="minorHAnsi" w:hAnsiTheme="minorHAnsi" w:cstheme="minorHAnsi"/>
                <w:sz w:val="22"/>
                <w:szCs w:val="22"/>
              </w:rPr>
            </w:pPr>
          </w:p>
        </w:tc>
      </w:tr>
      <w:tr w:rsidR="00995918" w:rsidRPr="007871B5" w:rsidTr="00995918">
        <w:trPr>
          <w:trHeight w:val="756"/>
        </w:trPr>
        <w:tc>
          <w:tcPr>
            <w:tcW w:w="3510" w:type="dxa"/>
            <w:vAlign w:val="center"/>
          </w:tcPr>
          <w:p w:rsidR="00995918" w:rsidRPr="007871B5" w:rsidRDefault="00995918" w:rsidP="00DA43D3">
            <w:pPr>
              <w:tabs>
                <w:tab w:val="left" w:pos="0"/>
              </w:tabs>
              <w:snapToGrid w:val="0"/>
              <w:rPr>
                <w:rFonts w:asciiTheme="minorHAnsi" w:hAnsiTheme="minorHAnsi" w:cstheme="minorHAnsi"/>
                <w:b/>
                <w:bCs/>
                <w:sz w:val="22"/>
                <w:szCs w:val="22"/>
                <w:u w:val="single"/>
              </w:rPr>
            </w:pPr>
            <w:r w:rsidRPr="007871B5">
              <w:rPr>
                <w:rFonts w:asciiTheme="minorHAnsi" w:hAnsiTheme="minorHAnsi" w:cstheme="minorHAnsi"/>
                <w:b/>
                <w:bCs/>
                <w:sz w:val="22"/>
                <w:szCs w:val="22"/>
                <w:u w:val="single"/>
              </w:rPr>
              <w:t>Financial Liabilities</w:t>
            </w:r>
          </w:p>
        </w:tc>
        <w:tc>
          <w:tcPr>
            <w:tcW w:w="1134" w:type="dxa"/>
            <w:tcBorders>
              <w:bottom w:val="single" w:sz="4" w:space="0" w:color="auto"/>
            </w:tcBorders>
            <w:vAlign w:val="center"/>
          </w:tcPr>
          <w:p w:rsidR="00995918" w:rsidRPr="007871B5" w:rsidRDefault="00995918"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201</w:t>
            </w:r>
            <w:r w:rsidR="00D7234A" w:rsidRPr="007871B5">
              <w:rPr>
                <w:rFonts w:asciiTheme="minorHAnsi" w:hAnsiTheme="minorHAnsi" w:cstheme="minorHAnsi"/>
                <w:sz w:val="22"/>
                <w:szCs w:val="22"/>
              </w:rPr>
              <w:t>9</w:t>
            </w:r>
          </w:p>
          <w:p w:rsidR="00995918" w:rsidRPr="007871B5" w:rsidRDefault="00995918"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rsidR="00995918" w:rsidRPr="007871B5" w:rsidRDefault="00995918"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w:t>
            </w:r>
            <w:r w:rsidR="00D7234A" w:rsidRPr="007871B5">
              <w:rPr>
                <w:rFonts w:asciiTheme="minorHAnsi" w:hAnsiTheme="minorHAnsi" w:cstheme="minorHAnsi"/>
                <w:sz w:val="22"/>
                <w:szCs w:val="22"/>
              </w:rPr>
              <w:t>20</w:t>
            </w:r>
          </w:p>
          <w:p w:rsidR="00995918" w:rsidRPr="007871B5" w:rsidRDefault="00995918"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4" w:type="dxa"/>
            <w:gridSpan w:val="2"/>
            <w:tcBorders>
              <w:bottom w:val="single" w:sz="4" w:space="0" w:color="auto"/>
            </w:tcBorders>
            <w:vAlign w:val="center"/>
          </w:tcPr>
          <w:p w:rsidR="00995918" w:rsidRPr="007871B5" w:rsidRDefault="00995918"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201</w:t>
            </w:r>
            <w:r w:rsidR="00D7234A" w:rsidRPr="007871B5">
              <w:rPr>
                <w:rFonts w:asciiTheme="minorHAnsi" w:hAnsiTheme="minorHAnsi" w:cstheme="minorHAnsi"/>
                <w:sz w:val="22"/>
                <w:szCs w:val="22"/>
              </w:rPr>
              <w:t>9</w:t>
            </w:r>
          </w:p>
          <w:p w:rsidR="00995918" w:rsidRPr="007871B5" w:rsidRDefault="00995918"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5" w:type="dxa"/>
            <w:tcBorders>
              <w:bottom w:val="single" w:sz="4" w:space="0" w:color="auto"/>
            </w:tcBorders>
            <w:shd w:val="clear" w:color="auto" w:fill="D9D9D9" w:themeFill="background1" w:themeFillShade="D9"/>
            <w:vAlign w:val="center"/>
          </w:tcPr>
          <w:p w:rsidR="00995918" w:rsidRPr="007871B5" w:rsidRDefault="00995918"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w:t>
            </w:r>
            <w:r w:rsidR="00D7234A" w:rsidRPr="007871B5">
              <w:rPr>
                <w:rFonts w:asciiTheme="minorHAnsi" w:hAnsiTheme="minorHAnsi" w:cstheme="minorHAnsi"/>
                <w:sz w:val="22"/>
                <w:szCs w:val="22"/>
              </w:rPr>
              <w:t>20</w:t>
            </w:r>
          </w:p>
          <w:p w:rsidR="00995918" w:rsidRPr="007871B5" w:rsidRDefault="00995918"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r>
      <w:tr w:rsidR="00995918" w:rsidRPr="007871B5" w:rsidTr="00995918">
        <w:tc>
          <w:tcPr>
            <w:tcW w:w="3510" w:type="dxa"/>
            <w:vAlign w:val="center"/>
          </w:tcPr>
          <w:p w:rsidR="00995918" w:rsidRPr="007871B5" w:rsidRDefault="00995918" w:rsidP="00A47707">
            <w:pPr>
              <w:tabs>
                <w:tab w:val="left" w:pos="0"/>
              </w:tabs>
              <w:snapToGrid w:val="0"/>
              <w:rPr>
                <w:rFonts w:asciiTheme="minorHAnsi" w:hAnsiTheme="minorHAnsi" w:cstheme="minorHAnsi"/>
                <w:sz w:val="22"/>
                <w:szCs w:val="22"/>
              </w:rPr>
            </w:pPr>
            <w:r w:rsidRPr="007871B5">
              <w:rPr>
                <w:rFonts w:asciiTheme="minorHAnsi" w:hAnsiTheme="minorHAnsi" w:cstheme="minorHAnsi"/>
                <w:sz w:val="22"/>
                <w:szCs w:val="22"/>
              </w:rPr>
              <w:t>Short term bank overdraft</w:t>
            </w:r>
          </w:p>
        </w:tc>
        <w:tc>
          <w:tcPr>
            <w:tcW w:w="1134" w:type="dxa"/>
            <w:vAlign w:val="center"/>
          </w:tcPr>
          <w:p w:rsidR="00995918" w:rsidRPr="007871B5" w:rsidRDefault="00F446F4" w:rsidP="00A4770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rsidR="00995918" w:rsidRPr="007871B5" w:rsidRDefault="00F446F4" w:rsidP="00A4770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vAlign w:val="center"/>
          </w:tcPr>
          <w:p w:rsidR="00995918" w:rsidRPr="007871B5" w:rsidRDefault="00F446F4" w:rsidP="00F446F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5" w:type="dxa"/>
            <w:shd w:val="clear" w:color="auto" w:fill="D9D9D9" w:themeFill="background1" w:themeFillShade="D9"/>
            <w:vAlign w:val="center"/>
          </w:tcPr>
          <w:p w:rsidR="00995918" w:rsidRPr="007871B5" w:rsidRDefault="00F446F4" w:rsidP="00A4770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995918" w:rsidRPr="007871B5" w:rsidTr="00995918">
        <w:tc>
          <w:tcPr>
            <w:tcW w:w="3510" w:type="dxa"/>
            <w:vAlign w:val="center"/>
          </w:tcPr>
          <w:p w:rsidR="00995918" w:rsidRPr="007871B5" w:rsidRDefault="00995918" w:rsidP="00C21F69">
            <w:pPr>
              <w:tabs>
                <w:tab w:val="left" w:pos="0"/>
              </w:tabs>
              <w:snapToGrid w:val="0"/>
              <w:rPr>
                <w:rFonts w:asciiTheme="minorHAnsi" w:hAnsiTheme="minorHAnsi" w:cstheme="minorHAnsi"/>
                <w:sz w:val="22"/>
                <w:szCs w:val="22"/>
              </w:rPr>
            </w:pPr>
            <w:r w:rsidRPr="007871B5">
              <w:rPr>
                <w:rFonts w:asciiTheme="minorHAnsi" w:hAnsiTheme="minorHAnsi" w:cstheme="minorHAnsi"/>
                <w:sz w:val="22"/>
                <w:szCs w:val="22"/>
              </w:rPr>
              <w:t>Finance Leases</w:t>
            </w:r>
          </w:p>
        </w:tc>
        <w:tc>
          <w:tcPr>
            <w:tcW w:w="1134" w:type="dxa"/>
            <w:vAlign w:val="center"/>
          </w:tcPr>
          <w:p w:rsidR="00995918" w:rsidRPr="007871B5" w:rsidRDefault="00995918" w:rsidP="00D7234A">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1</w:t>
            </w:r>
            <w:r w:rsidR="00D7234A" w:rsidRPr="007871B5">
              <w:rPr>
                <w:rFonts w:asciiTheme="minorHAnsi" w:hAnsiTheme="minorHAnsi" w:cstheme="minorHAnsi"/>
                <w:sz w:val="22"/>
                <w:szCs w:val="22"/>
              </w:rPr>
              <w:t>2</w:t>
            </w:r>
          </w:p>
        </w:tc>
        <w:tc>
          <w:tcPr>
            <w:tcW w:w="1134" w:type="dxa"/>
            <w:shd w:val="clear" w:color="auto" w:fill="D9D9D9" w:themeFill="background1" w:themeFillShade="D9"/>
            <w:vAlign w:val="center"/>
          </w:tcPr>
          <w:p w:rsidR="00995918" w:rsidRPr="007871B5" w:rsidRDefault="00F446F4" w:rsidP="00AD6B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vAlign w:val="center"/>
          </w:tcPr>
          <w:p w:rsidR="00995918" w:rsidRPr="007871B5" w:rsidRDefault="00F446F4" w:rsidP="007D2B9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5" w:type="dxa"/>
            <w:shd w:val="clear" w:color="auto" w:fill="D9D9D9" w:themeFill="background1" w:themeFillShade="D9"/>
            <w:vAlign w:val="center"/>
          </w:tcPr>
          <w:p w:rsidR="00995918" w:rsidRPr="007871B5" w:rsidRDefault="00897B6A" w:rsidP="00AD6BD1">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6</w:t>
            </w:r>
          </w:p>
        </w:tc>
      </w:tr>
      <w:tr w:rsidR="00995918" w:rsidRPr="007871B5" w:rsidTr="00995918">
        <w:tc>
          <w:tcPr>
            <w:tcW w:w="3510" w:type="dxa"/>
            <w:vAlign w:val="center"/>
          </w:tcPr>
          <w:p w:rsidR="00995918" w:rsidRPr="007871B5" w:rsidRDefault="00995918" w:rsidP="00AC61B3">
            <w:pPr>
              <w:tabs>
                <w:tab w:val="left" w:pos="0"/>
              </w:tabs>
              <w:snapToGrid w:val="0"/>
              <w:rPr>
                <w:rFonts w:asciiTheme="minorHAnsi" w:hAnsiTheme="minorHAnsi" w:cstheme="minorHAnsi"/>
                <w:sz w:val="22"/>
                <w:szCs w:val="22"/>
              </w:rPr>
            </w:pPr>
            <w:r w:rsidRPr="007871B5">
              <w:rPr>
                <w:rFonts w:asciiTheme="minorHAnsi" w:hAnsiTheme="minorHAnsi" w:cstheme="minorHAnsi"/>
                <w:sz w:val="22"/>
                <w:szCs w:val="22"/>
              </w:rPr>
              <w:t>Creditors  at amortised cost</w:t>
            </w:r>
          </w:p>
        </w:tc>
        <w:tc>
          <w:tcPr>
            <w:tcW w:w="1134" w:type="dxa"/>
            <w:vAlign w:val="center"/>
          </w:tcPr>
          <w:p w:rsidR="00995918" w:rsidRPr="007871B5" w:rsidRDefault="00F446F4" w:rsidP="00332FA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rsidR="00995918" w:rsidRPr="007871B5" w:rsidRDefault="00F446F4" w:rsidP="00AD6B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vAlign w:val="center"/>
          </w:tcPr>
          <w:p w:rsidR="00995918" w:rsidRPr="007871B5" w:rsidRDefault="00D7234A" w:rsidP="00D7234A">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w:t>
            </w:r>
            <w:r w:rsidR="00995918" w:rsidRPr="007871B5">
              <w:rPr>
                <w:rFonts w:asciiTheme="minorHAnsi" w:hAnsiTheme="minorHAnsi" w:cstheme="minorHAnsi"/>
                <w:sz w:val="22"/>
                <w:szCs w:val="22"/>
              </w:rPr>
              <w:t>,</w:t>
            </w:r>
            <w:r w:rsidRPr="007871B5">
              <w:rPr>
                <w:rFonts w:asciiTheme="minorHAnsi" w:hAnsiTheme="minorHAnsi" w:cstheme="minorHAnsi"/>
                <w:sz w:val="22"/>
                <w:szCs w:val="22"/>
              </w:rPr>
              <w:t>904</w:t>
            </w:r>
          </w:p>
        </w:tc>
        <w:tc>
          <w:tcPr>
            <w:tcW w:w="1135" w:type="dxa"/>
            <w:shd w:val="clear" w:color="auto" w:fill="D9D9D9" w:themeFill="background1" w:themeFillShade="D9"/>
            <w:vAlign w:val="center"/>
          </w:tcPr>
          <w:p w:rsidR="00995918" w:rsidRPr="007871B5" w:rsidRDefault="00897B6A" w:rsidP="00AD6BD1">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3,113</w:t>
            </w:r>
          </w:p>
        </w:tc>
      </w:tr>
      <w:tr w:rsidR="00995918" w:rsidRPr="00D7234A" w:rsidTr="00995918">
        <w:trPr>
          <w:trHeight w:val="381"/>
        </w:trPr>
        <w:tc>
          <w:tcPr>
            <w:tcW w:w="3510" w:type="dxa"/>
            <w:vAlign w:val="center"/>
          </w:tcPr>
          <w:p w:rsidR="00995918" w:rsidRPr="007871B5" w:rsidRDefault="00995918" w:rsidP="00AF739C">
            <w:pPr>
              <w:tabs>
                <w:tab w:val="left" w:pos="0"/>
              </w:tabs>
              <w:snapToGrid w:val="0"/>
              <w:rPr>
                <w:rFonts w:asciiTheme="minorHAnsi" w:hAnsiTheme="minorHAnsi" w:cstheme="minorHAnsi"/>
                <w:szCs w:val="22"/>
              </w:rPr>
            </w:pPr>
            <w:r w:rsidRPr="007871B5">
              <w:rPr>
                <w:rFonts w:asciiTheme="minorHAnsi" w:hAnsiTheme="minorHAnsi" w:cstheme="minorHAnsi"/>
                <w:szCs w:val="22"/>
              </w:rPr>
              <w:t>Total Financial Liabilities</w:t>
            </w:r>
          </w:p>
        </w:tc>
        <w:tc>
          <w:tcPr>
            <w:tcW w:w="1134" w:type="dxa"/>
            <w:tcBorders>
              <w:top w:val="single" w:sz="4" w:space="0" w:color="auto"/>
              <w:bottom w:val="single" w:sz="4" w:space="0" w:color="000000"/>
            </w:tcBorders>
            <w:vAlign w:val="center"/>
          </w:tcPr>
          <w:p w:rsidR="00995918" w:rsidRPr="00E401F4" w:rsidRDefault="00995918" w:rsidP="00D7234A">
            <w:pPr>
              <w:tabs>
                <w:tab w:val="left" w:pos="0"/>
              </w:tabs>
              <w:snapToGrid w:val="0"/>
              <w:jc w:val="right"/>
              <w:rPr>
                <w:rFonts w:asciiTheme="minorHAnsi" w:hAnsiTheme="minorHAnsi" w:cstheme="minorHAnsi"/>
                <w:sz w:val="22"/>
                <w:szCs w:val="22"/>
              </w:rPr>
            </w:pPr>
            <w:r w:rsidRPr="00E401F4">
              <w:rPr>
                <w:rFonts w:asciiTheme="minorHAnsi" w:hAnsiTheme="minorHAnsi" w:cstheme="minorHAnsi"/>
                <w:sz w:val="22"/>
                <w:szCs w:val="22"/>
              </w:rPr>
              <w:t>1</w:t>
            </w:r>
            <w:r w:rsidR="00D7234A" w:rsidRPr="00E401F4">
              <w:rPr>
                <w:rFonts w:asciiTheme="minorHAnsi" w:hAnsiTheme="minorHAnsi" w:cstheme="minorHAnsi"/>
                <w:sz w:val="22"/>
                <w:szCs w:val="22"/>
              </w:rPr>
              <w:t>2</w:t>
            </w:r>
          </w:p>
        </w:tc>
        <w:tc>
          <w:tcPr>
            <w:tcW w:w="1134" w:type="dxa"/>
            <w:tcBorders>
              <w:top w:val="single" w:sz="4" w:space="0" w:color="auto"/>
              <w:bottom w:val="single" w:sz="4" w:space="0" w:color="000000"/>
            </w:tcBorders>
            <w:shd w:val="clear" w:color="auto" w:fill="D9D9D9" w:themeFill="background1" w:themeFillShade="D9"/>
            <w:vAlign w:val="center"/>
          </w:tcPr>
          <w:p w:rsidR="00995918" w:rsidRPr="00E401F4" w:rsidRDefault="00F446F4" w:rsidP="00AF739C">
            <w:pPr>
              <w:tabs>
                <w:tab w:val="left" w:pos="0"/>
              </w:tabs>
              <w:snapToGrid w:val="0"/>
              <w:jc w:val="right"/>
              <w:rPr>
                <w:rFonts w:asciiTheme="minorHAnsi" w:hAnsiTheme="minorHAnsi" w:cstheme="minorHAnsi"/>
                <w:sz w:val="22"/>
                <w:szCs w:val="22"/>
              </w:rPr>
            </w:pPr>
            <w:r w:rsidRPr="00E401F4">
              <w:rPr>
                <w:rFonts w:asciiTheme="minorHAnsi" w:hAnsiTheme="minorHAnsi" w:cstheme="minorHAnsi"/>
                <w:sz w:val="22"/>
                <w:szCs w:val="22"/>
              </w:rPr>
              <w:t>0</w:t>
            </w:r>
          </w:p>
        </w:tc>
        <w:tc>
          <w:tcPr>
            <w:tcW w:w="1134" w:type="dxa"/>
            <w:gridSpan w:val="2"/>
            <w:tcBorders>
              <w:top w:val="single" w:sz="4" w:space="0" w:color="auto"/>
              <w:bottom w:val="single" w:sz="4" w:space="0" w:color="000000"/>
            </w:tcBorders>
            <w:shd w:val="clear" w:color="auto" w:fill="auto"/>
            <w:vAlign w:val="center"/>
          </w:tcPr>
          <w:p w:rsidR="00995918" w:rsidRPr="00E401F4" w:rsidRDefault="00D7234A" w:rsidP="00D7234A">
            <w:pPr>
              <w:tabs>
                <w:tab w:val="left" w:pos="0"/>
              </w:tabs>
              <w:snapToGrid w:val="0"/>
              <w:jc w:val="right"/>
              <w:rPr>
                <w:rFonts w:asciiTheme="minorHAnsi" w:hAnsiTheme="minorHAnsi" w:cstheme="minorHAnsi"/>
                <w:sz w:val="22"/>
                <w:szCs w:val="22"/>
              </w:rPr>
            </w:pPr>
            <w:r w:rsidRPr="00E401F4">
              <w:rPr>
                <w:rFonts w:asciiTheme="minorHAnsi" w:hAnsiTheme="minorHAnsi" w:cstheme="minorHAnsi"/>
                <w:sz w:val="22"/>
                <w:szCs w:val="22"/>
              </w:rPr>
              <w:t>3</w:t>
            </w:r>
            <w:r w:rsidR="00995918" w:rsidRPr="00E401F4">
              <w:rPr>
                <w:rFonts w:asciiTheme="minorHAnsi" w:hAnsiTheme="minorHAnsi" w:cstheme="minorHAnsi"/>
                <w:sz w:val="22"/>
                <w:szCs w:val="22"/>
              </w:rPr>
              <w:t>,</w:t>
            </w:r>
            <w:r w:rsidRPr="00E401F4">
              <w:rPr>
                <w:rFonts w:asciiTheme="minorHAnsi" w:hAnsiTheme="minorHAnsi" w:cstheme="minorHAnsi"/>
                <w:sz w:val="22"/>
                <w:szCs w:val="22"/>
              </w:rPr>
              <w:t>904</w:t>
            </w:r>
          </w:p>
        </w:tc>
        <w:tc>
          <w:tcPr>
            <w:tcW w:w="1135" w:type="dxa"/>
            <w:tcBorders>
              <w:top w:val="single" w:sz="4" w:space="0" w:color="auto"/>
              <w:bottom w:val="single" w:sz="4" w:space="0" w:color="000000"/>
            </w:tcBorders>
            <w:shd w:val="clear" w:color="auto" w:fill="D9D9D9" w:themeFill="background1" w:themeFillShade="D9"/>
            <w:vAlign w:val="center"/>
          </w:tcPr>
          <w:p w:rsidR="00995918" w:rsidRPr="00E401F4" w:rsidRDefault="00897B6A" w:rsidP="00FB1995">
            <w:pPr>
              <w:tabs>
                <w:tab w:val="left" w:pos="0"/>
              </w:tabs>
              <w:snapToGrid w:val="0"/>
              <w:jc w:val="right"/>
              <w:rPr>
                <w:rFonts w:asciiTheme="minorHAnsi" w:hAnsiTheme="minorHAnsi" w:cstheme="minorHAnsi"/>
                <w:sz w:val="22"/>
                <w:szCs w:val="22"/>
              </w:rPr>
            </w:pPr>
            <w:r w:rsidRPr="00E401F4">
              <w:rPr>
                <w:rFonts w:asciiTheme="minorHAnsi" w:hAnsiTheme="minorHAnsi" w:cstheme="minorHAnsi"/>
                <w:sz w:val="22"/>
                <w:szCs w:val="22"/>
              </w:rPr>
              <w:t>3,119</w:t>
            </w:r>
          </w:p>
        </w:tc>
      </w:tr>
    </w:tbl>
    <w:p w:rsidR="004D7C84" w:rsidRPr="0068094B" w:rsidRDefault="004D7C84" w:rsidP="00332FA2">
      <w:pPr>
        <w:tabs>
          <w:tab w:val="left" w:pos="0"/>
        </w:tabs>
        <w:rPr>
          <w:rFonts w:asciiTheme="minorHAnsi" w:hAnsiTheme="minorHAnsi" w:cstheme="minorHAnsi"/>
          <w:sz w:val="22"/>
          <w:szCs w:val="22"/>
        </w:rPr>
      </w:pPr>
    </w:p>
    <w:p w:rsidR="00F446F4" w:rsidRDefault="00F446F4" w:rsidP="00ED3B24">
      <w:pPr>
        <w:widowControl/>
        <w:suppressAutoHyphens w:val="0"/>
        <w:rPr>
          <w:rFonts w:asciiTheme="minorHAnsi" w:hAnsiTheme="minorHAnsi" w:cstheme="minorHAnsi"/>
          <w:b/>
          <w:bCs/>
          <w:sz w:val="22"/>
          <w:szCs w:val="22"/>
          <w:u w:val="single"/>
        </w:rPr>
      </w:pPr>
    </w:p>
    <w:p w:rsidR="00F446F4" w:rsidRDefault="00F446F4" w:rsidP="00ED3B24">
      <w:pPr>
        <w:widowControl/>
        <w:suppressAutoHyphens w:val="0"/>
        <w:rPr>
          <w:rFonts w:asciiTheme="minorHAnsi" w:hAnsiTheme="minorHAnsi" w:cstheme="minorHAnsi"/>
          <w:b/>
          <w:bCs/>
          <w:sz w:val="22"/>
          <w:szCs w:val="22"/>
          <w:u w:val="single"/>
        </w:rPr>
      </w:pPr>
    </w:p>
    <w:p w:rsidR="00A94DD6" w:rsidRPr="007871B5" w:rsidRDefault="00EF39B9" w:rsidP="00ED3B24">
      <w:pPr>
        <w:widowControl/>
        <w:suppressAutoHyphens w:val="0"/>
        <w:rPr>
          <w:rFonts w:asciiTheme="minorHAnsi" w:hAnsiTheme="minorHAnsi" w:cstheme="minorHAnsi"/>
          <w:b/>
          <w:bCs/>
          <w:sz w:val="22"/>
          <w:szCs w:val="22"/>
          <w:u w:val="single"/>
        </w:rPr>
      </w:pPr>
      <w:r w:rsidRPr="007871B5">
        <w:rPr>
          <w:rFonts w:asciiTheme="minorHAnsi" w:hAnsiTheme="minorHAnsi" w:cstheme="minorHAnsi"/>
          <w:b/>
          <w:bCs/>
          <w:sz w:val="22"/>
          <w:szCs w:val="22"/>
          <w:u w:val="single"/>
        </w:rPr>
        <w:t>Income, Expense, Gains and Losses</w:t>
      </w:r>
    </w:p>
    <w:p w:rsidR="00A70C09" w:rsidRPr="007871B5" w:rsidRDefault="00A70C09" w:rsidP="00A70C09">
      <w:pPr>
        <w:widowControl/>
        <w:tabs>
          <w:tab w:val="left" w:pos="0"/>
        </w:tabs>
        <w:autoSpaceDE w:val="0"/>
        <w:rPr>
          <w:rFonts w:asciiTheme="minorHAnsi" w:hAnsiTheme="minorHAnsi" w:cstheme="minorHAnsi"/>
          <w:b/>
          <w:bCs/>
          <w:color w:val="000000"/>
          <w:sz w:val="22"/>
          <w:szCs w:val="22"/>
        </w:rPr>
      </w:pPr>
    </w:p>
    <w:p w:rsidR="00300A43" w:rsidRPr="007871B5" w:rsidRDefault="00300A43" w:rsidP="00A70C09">
      <w:pPr>
        <w:widowControl/>
        <w:tabs>
          <w:tab w:val="left" w:pos="0"/>
        </w:tabs>
        <w:autoSpaceDE w:val="0"/>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 xml:space="preserve">The Council recognised income </w:t>
      </w:r>
      <w:r w:rsidR="009165F1" w:rsidRPr="007871B5">
        <w:rPr>
          <w:rFonts w:asciiTheme="minorHAnsi" w:hAnsiTheme="minorHAnsi" w:cstheme="minorHAnsi"/>
          <w:bCs/>
          <w:color w:val="000000"/>
          <w:sz w:val="22"/>
          <w:szCs w:val="22"/>
        </w:rPr>
        <w:t>of £</w:t>
      </w:r>
      <w:r w:rsidR="00A77B75" w:rsidRPr="007871B5">
        <w:rPr>
          <w:rFonts w:asciiTheme="minorHAnsi" w:hAnsiTheme="minorHAnsi" w:cstheme="minorHAnsi"/>
          <w:bCs/>
          <w:color w:val="000000"/>
          <w:sz w:val="22"/>
          <w:szCs w:val="22"/>
        </w:rPr>
        <w:t>1,</w:t>
      </w:r>
      <w:r w:rsidR="00897B6A" w:rsidRPr="007871B5">
        <w:rPr>
          <w:rFonts w:asciiTheme="minorHAnsi" w:hAnsiTheme="minorHAnsi" w:cstheme="minorHAnsi"/>
          <w:bCs/>
          <w:color w:val="000000"/>
          <w:sz w:val="22"/>
          <w:szCs w:val="22"/>
        </w:rPr>
        <w:t>510</w:t>
      </w:r>
      <w:r w:rsidR="009165F1" w:rsidRPr="007871B5">
        <w:rPr>
          <w:rFonts w:asciiTheme="minorHAnsi" w:hAnsiTheme="minorHAnsi" w:cstheme="minorHAnsi"/>
          <w:bCs/>
          <w:color w:val="000000"/>
          <w:sz w:val="22"/>
          <w:szCs w:val="22"/>
        </w:rPr>
        <w:t>k (</w:t>
      </w:r>
      <w:r w:rsidR="00030BC2" w:rsidRPr="007871B5">
        <w:rPr>
          <w:rFonts w:asciiTheme="minorHAnsi" w:hAnsiTheme="minorHAnsi" w:cstheme="minorHAnsi"/>
          <w:bCs/>
          <w:color w:val="000000"/>
          <w:sz w:val="22"/>
          <w:szCs w:val="22"/>
        </w:rPr>
        <w:t>20</w:t>
      </w:r>
      <w:r w:rsidR="009165F1" w:rsidRPr="007871B5">
        <w:rPr>
          <w:rFonts w:asciiTheme="minorHAnsi" w:hAnsiTheme="minorHAnsi" w:cstheme="minorHAnsi"/>
          <w:bCs/>
          <w:color w:val="000000"/>
          <w:sz w:val="22"/>
          <w:szCs w:val="22"/>
        </w:rPr>
        <w:t>1</w:t>
      </w:r>
      <w:r w:rsidR="00A77B75" w:rsidRPr="007871B5">
        <w:rPr>
          <w:rFonts w:asciiTheme="minorHAnsi" w:hAnsiTheme="minorHAnsi" w:cstheme="minorHAnsi"/>
          <w:bCs/>
          <w:color w:val="000000"/>
          <w:sz w:val="22"/>
          <w:szCs w:val="22"/>
        </w:rPr>
        <w:t>8</w:t>
      </w:r>
      <w:r w:rsidR="009165F1" w:rsidRPr="007871B5">
        <w:rPr>
          <w:rFonts w:asciiTheme="minorHAnsi" w:hAnsiTheme="minorHAnsi" w:cstheme="minorHAnsi"/>
          <w:bCs/>
          <w:color w:val="000000"/>
          <w:sz w:val="22"/>
          <w:szCs w:val="22"/>
        </w:rPr>
        <w:t>-1</w:t>
      </w:r>
      <w:r w:rsidR="00A77B75" w:rsidRPr="007871B5">
        <w:rPr>
          <w:rFonts w:asciiTheme="minorHAnsi" w:hAnsiTheme="minorHAnsi" w:cstheme="minorHAnsi"/>
          <w:bCs/>
          <w:color w:val="000000"/>
          <w:sz w:val="22"/>
          <w:szCs w:val="22"/>
        </w:rPr>
        <w:t>9</w:t>
      </w:r>
      <w:r w:rsidR="009165F1" w:rsidRPr="007871B5">
        <w:rPr>
          <w:rFonts w:asciiTheme="minorHAnsi" w:hAnsiTheme="minorHAnsi" w:cstheme="minorHAnsi"/>
          <w:bCs/>
          <w:color w:val="000000"/>
          <w:sz w:val="22"/>
          <w:szCs w:val="22"/>
        </w:rPr>
        <w:t xml:space="preserve"> £</w:t>
      </w:r>
      <w:r w:rsidR="00A77B75" w:rsidRPr="007871B5">
        <w:rPr>
          <w:rFonts w:asciiTheme="minorHAnsi" w:hAnsiTheme="minorHAnsi" w:cstheme="minorHAnsi"/>
          <w:bCs/>
          <w:color w:val="000000"/>
          <w:sz w:val="22"/>
          <w:szCs w:val="22"/>
        </w:rPr>
        <w:t>1,010</w:t>
      </w:r>
      <w:r w:rsidRPr="007871B5">
        <w:rPr>
          <w:rFonts w:asciiTheme="minorHAnsi" w:hAnsiTheme="minorHAnsi" w:cstheme="minorHAnsi"/>
          <w:bCs/>
          <w:color w:val="000000"/>
          <w:sz w:val="22"/>
          <w:szCs w:val="22"/>
        </w:rPr>
        <w:t xml:space="preserve">k) relating to interest and </w:t>
      </w:r>
      <w:r w:rsidR="00A77B75" w:rsidRPr="007871B5">
        <w:rPr>
          <w:rFonts w:asciiTheme="minorHAnsi" w:hAnsiTheme="minorHAnsi" w:cstheme="minorHAnsi"/>
          <w:bCs/>
          <w:color w:val="000000"/>
          <w:sz w:val="22"/>
          <w:szCs w:val="22"/>
        </w:rPr>
        <w:t>dividend distributions</w:t>
      </w:r>
      <w:r w:rsidRPr="007871B5">
        <w:rPr>
          <w:rFonts w:asciiTheme="minorHAnsi" w:hAnsiTheme="minorHAnsi" w:cstheme="minorHAnsi"/>
          <w:bCs/>
          <w:color w:val="000000"/>
          <w:sz w:val="22"/>
          <w:szCs w:val="22"/>
        </w:rPr>
        <w:t xml:space="preserve"> during the year.</w:t>
      </w:r>
      <w:r w:rsidRPr="007871B5" w:rsidDel="00300A43">
        <w:rPr>
          <w:rFonts w:asciiTheme="minorHAnsi" w:hAnsiTheme="minorHAnsi" w:cstheme="minorHAnsi"/>
          <w:bCs/>
          <w:color w:val="000000"/>
          <w:sz w:val="22"/>
          <w:szCs w:val="22"/>
        </w:rPr>
        <w:t xml:space="preserve"> </w:t>
      </w:r>
      <w:r w:rsidRPr="007871B5">
        <w:rPr>
          <w:rFonts w:asciiTheme="minorHAnsi" w:hAnsiTheme="minorHAnsi" w:cstheme="minorHAnsi"/>
          <w:bCs/>
          <w:color w:val="000000"/>
          <w:sz w:val="22"/>
          <w:szCs w:val="22"/>
        </w:rPr>
        <w:t xml:space="preserve">The major </w:t>
      </w:r>
      <w:r w:rsidR="00AD71B7" w:rsidRPr="007871B5">
        <w:rPr>
          <w:rFonts w:asciiTheme="minorHAnsi" w:hAnsiTheme="minorHAnsi" w:cstheme="minorHAnsi"/>
          <w:bCs/>
          <w:color w:val="000000"/>
          <w:sz w:val="22"/>
          <w:szCs w:val="22"/>
        </w:rPr>
        <w:t>components of this figure were</w:t>
      </w:r>
      <w:r w:rsidRPr="007871B5">
        <w:rPr>
          <w:rFonts w:asciiTheme="minorHAnsi" w:hAnsiTheme="minorHAnsi" w:cstheme="minorHAnsi"/>
          <w:bCs/>
          <w:color w:val="000000"/>
          <w:sz w:val="22"/>
          <w:szCs w:val="22"/>
        </w:rPr>
        <w:t xml:space="preserve"> </w:t>
      </w:r>
      <w:r w:rsidR="003E56D6" w:rsidRPr="007871B5">
        <w:rPr>
          <w:rFonts w:asciiTheme="minorHAnsi" w:hAnsiTheme="minorHAnsi" w:cstheme="minorHAnsi"/>
          <w:bCs/>
          <w:color w:val="000000"/>
          <w:sz w:val="22"/>
          <w:szCs w:val="22"/>
        </w:rPr>
        <w:t>i</w:t>
      </w:r>
      <w:r w:rsidRPr="007871B5">
        <w:rPr>
          <w:rFonts w:asciiTheme="minorHAnsi" w:hAnsiTheme="minorHAnsi" w:cstheme="minorHAnsi"/>
          <w:bCs/>
          <w:color w:val="000000"/>
          <w:sz w:val="22"/>
          <w:szCs w:val="22"/>
        </w:rPr>
        <w:t xml:space="preserve">nterest income of </w:t>
      </w:r>
      <w:r w:rsidR="009165F1" w:rsidRPr="007871B5">
        <w:rPr>
          <w:rFonts w:asciiTheme="minorHAnsi" w:hAnsiTheme="minorHAnsi" w:cstheme="minorHAnsi"/>
          <w:bCs/>
          <w:color w:val="000000"/>
          <w:sz w:val="22"/>
          <w:szCs w:val="22"/>
        </w:rPr>
        <w:t>£</w:t>
      </w:r>
      <w:r w:rsidR="00897B6A" w:rsidRPr="007871B5">
        <w:rPr>
          <w:rFonts w:asciiTheme="minorHAnsi" w:hAnsiTheme="minorHAnsi" w:cstheme="minorHAnsi"/>
          <w:bCs/>
          <w:color w:val="000000"/>
          <w:sz w:val="22"/>
          <w:szCs w:val="22"/>
        </w:rPr>
        <w:t>425</w:t>
      </w:r>
      <w:r w:rsidR="00A70E4F" w:rsidRPr="007871B5">
        <w:rPr>
          <w:rFonts w:asciiTheme="minorHAnsi" w:hAnsiTheme="minorHAnsi" w:cstheme="minorHAnsi"/>
          <w:bCs/>
          <w:color w:val="000000"/>
          <w:sz w:val="22"/>
          <w:szCs w:val="22"/>
        </w:rPr>
        <w:t xml:space="preserve">k </w:t>
      </w:r>
      <w:r w:rsidR="009165F1" w:rsidRPr="007871B5">
        <w:rPr>
          <w:rFonts w:asciiTheme="minorHAnsi" w:hAnsiTheme="minorHAnsi" w:cstheme="minorHAnsi"/>
          <w:bCs/>
          <w:color w:val="000000"/>
          <w:sz w:val="22"/>
          <w:szCs w:val="22"/>
        </w:rPr>
        <w:t xml:space="preserve">from loans and receivables </w:t>
      </w:r>
      <w:r w:rsidR="00E13590" w:rsidRPr="007871B5">
        <w:rPr>
          <w:rFonts w:asciiTheme="minorHAnsi" w:hAnsiTheme="minorHAnsi" w:cstheme="minorHAnsi"/>
          <w:bCs/>
          <w:color w:val="000000"/>
          <w:sz w:val="22"/>
          <w:szCs w:val="22"/>
        </w:rPr>
        <w:t xml:space="preserve">valued at amortised cost </w:t>
      </w:r>
      <w:r w:rsidR="00A70E4F" w:rsidRPr="007871B5">
        <w:rPr>
          <w:rFonts w:asciiTheme="minorHAnsi" w:hAnsiTheme="minorHAnsi" w:cstheme="minorHAnsi"/>
          <w:bCs/>
          <w:color w:val="000000"/>
          <w:sz w:val="22"/>
          <w:szCs w:val="22"/>
        </w:rPr>
        <w:t>(</w:t>
      </w:r>
      <w:r w:rsidR="009165F1" w:rsidRPr="007871B5">
        <w:rPr>
          <w:rFonts w:asciiTheme="minorHAnsi" w:hAnsiTheme="minorHAnsi" w:cstheme="minorHAnsi"/>
          <w:bCs/>
          <w:color w:val="000000"/>
          <w:sz w:val="22"/>
          <w:szCs w:val="22"/>
        </w:rPr>
        <w:t>£</w:t>
      </w:r>
      <w:r w:rsidR="00A77B75" w:rsidRPr="007871B5">
        <w:rPr>
          <w:rFonts w:asciiTheme="minorHAnsi" w:hAnsiTheme="minorHAnsi" w:cstheme="minorHAnsi"/>
          <w:bCs/>
          <w:color w:val="000000"/>
          <w:sz w:val="22"/>
          <w:szCs w:val="22"/>
        </w:rPr>
        <w:t>343</w:t>
      </w:r>
      <w:r w:rsidRPr="007871B5">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201</w:t>
      </w:r>
      <w:r w:rsidR="00A77B75" w:rsidRPr="007871B5">
        <w:rPr>
          <w:rFonts w:asciiTheme="minorHAnsi" w:hAnsiTheme="minorHAnsi" w:cstheme="minorHAnsi"/>
          <w:bCs/>
          <w:color w:val="000000"/>
          <w:sz w:val="22"/>
          <w:szCs w:val="22"/>
        </w:rPr>
        <w:t>8</w:t>
      </w:r>
      <w:r w:rsidR="00A70E4F" w:rsidRPr="007871B5">
        <w:rPr>
          <w:rFonts w:asciiTheme="minorHAnsi" w:hAnsiTheme="minorHAnsi" w:cstheme="minorHAnsi"/>
          <w:bCs/>
          <w:color w:val="000000"/>
          <w:sz w:val="22"/>
          <w:szCs w:val="22"/>
        </w:rPr>
        <w:t>-1</w:t>
      </w:r>
      <w:r w:rsidR="00A77B75" w:rsidRPr="007871B5">
        <w:rPr>
          <w:rFonts w:asciiTheme="minorHAnsi" w:hAnsiTheme="minorHAnsi" w:cstheme="minorHAnsi"/>
          <w:bCs/>
          <w:color w:val="000000"/>
          <w:sz w:val="22"/>
          <w:szCs w:val="22"/>
        </w:rPr>
        <w:t>9</w:t>
      </w:r>
      <w:r w:rsidR="00A70E4F" w:rsidRPr="007871B5">
        <w:rPr>
          <w:rFonts w:asciiTheme="minorHAnsi" w:hAnsiTheme="minorHAnsi" w:cstheme="minorHAnsi"/>
          <w:bCs/>
          <w:color w:val="000000"/>
          <w:sz w:val="22"/>
          <w:szCs w:val="22"/>
        </w:rPr>
        <w:t>)</w:t>
      </w:r>
      <w:r w:rsidRPr="007871B5">
        <w:rPr>
          <w:rFonts w:asciiTheme="minorHAnsi" w:hAnsiTheme="minorHAnsi" w:cstheme="minorHAnsi"/>
          <w:bCs/>
          <w:color w:val="000000"/>
          <w:sz w:val="22"/>
          <w:szCs w:val="22"/>
        </w:rPr>
        <w:t xml:space="preserve"> and dividend </w:t>
      </w:r>
      <w:r w:rsidR="00E13590" w:rsidRPr="007871B5">
        <w:rPr>
          <w:rFonts w:asciiTheme="minorHAnsi" w:hAnsiTheme="minorHAnsi" w:cstheme="minorHAnsi"/>
          <w:bCs/>
          <w:color w:val="000000"/>
          <w:sz w:val="22"/>
          <w:szCs w:val="22"/>
        </w:rPr>
        <w:t xml:space="preserve">and distribution </w:t>
      </w:r>
      <w:r w:rsidRPr="007871B5">
        <w:rPr>
          <w:rFonts w:asciiTheme="minorHAnsi" w:hAnsiTheme="minorHAnsi" w:cstheme="minorHAnsi"/>
          <w:bCs/>
          <w:color w:val="000000"/>
          <w:sz w:val="22"/>
          <w:szCs w:val="22"/>
        </w:rPr>
        <w:t xml:space="preserve">income of </w:t>
      </w:r>
      <w:r w:rsidR="009165F1" w:rsidRPr="007871B5">
        <w:rPr>
          <w:rFonts w:asciiTheme="minorHAnsi" w:hAnsiTheme="minorHAnsi" w:cstheme="minorHAnsi"/>
          <w:bCs/>
          <w:color w:val="000000"/>
          <w:sz w:val="22"/>
          <w:szCs w:val="22"/>
        </w:rPr>
        <w:t>£</w:t>
      </w:r>
      <w:r w:rsidR="00A77B75" w:rsidRPr="007871B5">
        <w:rPr>
          <w:rFonts w:asciiTheme="minorHAnsi" w:hAnsiTheme="minorHAnsi" w:cstheme="minorHAnsi"/>
          <w:bCs/>
          <w:color w:val="000000"/>
          <w:sz w:val="22"/>
          <w:szCs w:val="22"/>
        </w:rPr>
        <w:t>1,074</w:t>
      </w:r>
      <w:r w:rsidR="009165F1" w:rsidRPr="007871B5">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w:t>
      </w:r>
      <w:r w:rsidR="00E13590" w:rsidRPr="007871B5">
        <w:rPr>
          <w:rFonts w:asciiTheme="minorHAnsi" w:hAnsiTheme="minorHAnsi" w:cstheme="minorHAnsi"/>
          <w:bCs/>
          <w:color w:val="000000"/>
          <w:sz w:val="22"/>
          <w:szCs w:val="22"/>
        </w:rPr>
        <w:t xml:space="preserve">from assets valued at </w:t>
      </w:r>
      <w:r w:rsidR="00F806F3" w:rsidRPr="007871B5">
        <w:rPr>
          <w:rFonts w:asciiTheme="minorHAnsi" w:hAnsiTheme="minorHAnsi" w:cstheme="minorHAnsi"/>
          <w:bCs/>
          <w:color w:val="000000"/>
          <w:sz w:val="22"/>
          <w:szCs w:val="22"/>
        </w:rPr>
        <w:t>f</w:t>
      </w:r>
      <w:r w:rsidR="00E13590" w:rsidRPr="007871B5">
        <w:rPr>
          <w:rFonts w:asciiTheme="minorHAnsi" w:hAnsiTheme="minorHAnsi" w:cstheme="minorHAnsi"/>
          <w:bCs/>
          <w:color w:val="000000"/>
          <w:sz w:val="22"/>
          <w:szCs w:val="22"/>
        </w:rPr>
        <w:t xml:space="preserve">air value through the Profit and loss account </w:t>
      </w:r>
      <w:r w:rsidR="00A70E4F" w:rsidRPr="007871B5">
        <w:rPr>
          <w:rFonts w:asciiTheme="minorHAnsi" w:hAnsiTheme="minorHAnsi" w:cstheme="minorHAnsi"/>
          <w:bCs/>
          <w:color w:val="000000"/>
          <w:sz w:val="22"/>
          <w:szCs w:val="22"/>
        </w:rPr>
        <w:t>(</w:t>
      </w:r>
      <w:r w:rsidRPr="007871B5">
        <w:rPr>
          <w:rFonts w:asciiTheme="minorHAnsi" w:hAnsiTheme="minorHAnsi" w:cstheme="minorHAnsi"/>
          <w:bCs/>
          <w:color w:val="000000"/>
          <w:sz w:val="22"/>
          <w:szCs w:val="22"/>
        </w:rPr>
        <w:t>£</w:t>
      </w:r>
      <w:r w:rsidR="00A77B75" w:rsidRPr="007871B5">
        <w:rPr>
          <w:rFonts w:asciiTheme="minorHAnsi" w:hAnsiTheme="minorHAnsi" w:cstheme="minorHAnsi"/>
          <w:bCs/>
          <w:color w:val="000000"/>
          <w:sz w:val="22"/>
          <w:szCs w:val="22"/>
        </w:rPr>
        <w:t>859</w:t>
      </w:r>
      <w:r w:rsidRPr="007871B5">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201</w:t>
      </w:r>
      <w:r w:rsidR="00A77B75" w:rsidRPr="007871B5">
        <w:rPr>
          <w:rFonts w:asciiTheme="minorHAnsi" w:hAnsiTheme="minorHAnsi" w:cstheme="minorHAnsi"/>
          <w:bCs/>
          <w:color w:val="000000"/>
          <w:sz w:val="22"/>
          <w:szCs w:val="22"/>
        </w:rPr>
        <w:t>8</w:t>
      </w:r>
      <w:r w:rsidR="00A70E4F" w:rsidRPr="007871B5">
        <w:rPr>
          <w:rFonts w:asciiTheme="minorHAnsi" w:hAnsiTheme="minorHAnsi" w:cstheme="minorHAnsi"/>
          <w:bCs/>
          <w:color w:val="000000"/>
          <w:sz w:val="22"/>
          <w:szCs w:val="22"/>
        </w:rPr>
        <w:t>-1</w:t>
      </w:r>
      <w:r w:rsidR="00A77B75" w:rsidRPr="007871B5">
        <w:rPr>
          <w:rFonts w:asciiTheme="minorHAnsi" w:hAnsiTheme="minorHAnsi" w:cstheme="minorHAnsi"/>
          <w:bCs/>
          <w:color w:val="000000"/>
          <w:sz w:val="22"/>
          <w:szCs w:val="22"/>
        </w:rPr>
        <w:t>9</w:t>
      </w:r>
      <w:r w:rsidR="00A70E4F" w:rsidRPr="007871B5">
        <w:rPr>
          <w:rFonts w:asciiTheme="minorHAnsi" w:hAnsiTheme="minorHAnsi" w:cstheme="minorHAnsi"/>
          <w:bCs/>
          <w:color w:val="000000"/>
          <w:sz w:val="22"/>
          <w:szCs w:val="22"/>
        </w:rPr>
        <w:t>)</w:t>
      </w:r>
      <w:r w:rsidRPr="007871B5">
        <w:rPr>
          <w:rFonts w:asciiTheme="minorHAnsi" w:hAnsiTheme="minorHAnsi" w:cstheme="minorHAnsi"/>
          <w:bCs/>
          <w:color w:val="000000"/>
          <w:sz w:val="22"/>
          <w:szCs w:val="22"/>
        </w:rPr>
        <w:t>.</w:t>
      </w:r>
      <w:r w:rsidR="00BC13E0" w:rsidRPr="007871B5">
        <w:rPr>
          <w:rFonts w:asciiTheme="minorHAnsi" w:hAnsiTheme="minorHAnsi" w:cstheme="minorHAnsi"/>
          <w:bCs/>
          <w:color w:val="000000"/>
          <w:sz w:val="22"/>
          <w:szCs w:val="22"/>
        </w:rPr>
        <w:t xml:space="preserve"> Against these figures, the</w:t>
      </w:r>
      <w:r w:rsidR="00A77B75" w:rsidRPr="007871B5">
        <w:rPr>
          <w:rFonts w:asciiTheme="minorHAnsi" w:hAnsiTheme="minorHAnsi" w:cstheme="minorHAnsi"/>
          <w:bCs/>
          <w:color w:val="000000"/>
          <w:sz w:val="22"/>
          <w:szCs w:val="22"/>
        </w:rPr>
        <w:t xml:space="preserve"> Council was charged a fee of £68</w:t>
      </w:r>
      <w:r w:rsidR="00BC13E0" w:rsidRPr="007871B5">
        <w:rPr>
          <w:rFonts w:asciiTheme="minorHAnsi" w:hAnsiTheme="minorHAnsi" w:cstheme="minorHAnsi"/>
          <w:bCs/>
          <w:color w:val="000000"/>
          <w:sz w:val="22"/>
          <w:szCs w:val="22"/>
        </w:rPr>
        <w:t>k (201</w:t>
      </w:r>
      <w:r w:rsidR="00897B6A" w:rsidRPr="007871B5">
        <w:rPr>
          <w:rFonts w:asciiTheme="minorHAnsi" w:hAnsiTheme="minorHAnsi" w:cstheme="minorHAnsi"/>
          <w:bCs/>
          <w:color w:val="000000"/>
          <w:sz w:val="22"/>
          <w:szCs w:val="22"/>
        </w:rPr>
        <w:t>8</w:t>
      </w:r>
      <w:r w:rsidR="00BC13E0" w:rsidRPr="007871B5">
        <w:rPr>
          <w:rFonts w:asciiTheme="minorHAnsi" w:hAnsiTheme="minorHAnsi" w:cstheme="minorHAnsi"/>
          <w:bCs/>
          <w:color w:val="000000"/>
          <w:sz w:val="22"/>
          <w:szCs w:val="22"/>
        </w:rPr>
        <w:t>-1</w:t>
      </w:r>
      <w:r w:rsidR="00897B6A" w:rsidRPr="007871B5">
        <w:rPr>
          <w:rFonts w:asciiTheme="minorHAnsi" w:hAnsiTheme="minorHAnsi" w:cstheme="minorHAnsi"/>
          <w:bCs/>
          <w:color w:val="000000"/>
          <w:sz w:val="22"/>
          <w:szCs w:val="22"/>
        </w:rPr>
        <w:t>9</w:t>
      </w:r>
      <w:r w:rsidR="00030BC2" w:rsidRPr="007871B5">
        <w:rPr>
          <w:rFonts w:asciiTheme="minorHAnsi" w:hAnsiTheme="minorHAnsi" w:cstheme="minorHAnsi"/>
          <w:bCs/>
          <w:color w:val="000000"/>
          <w:sz w:val="22"/>
          <w:szCs w:val="22"/>
        </w:rPr>
        <w:t xml:space="preserve"> </w:t>
      </w:r>
      <w:r w:rsidR="00BC13E0" w:rsidRPr="007871B5">
        <w:rPr>
          <w:rFonts w:asciiTheme="minorHAnsi" w:hAnsiTheme="minorHAnsi" w:cstheme="minorHAnsi"/>
          <w:bCs/>
          <w:color w:val="000000"/>
          <w:sz w:val="22"/>
          <w:szCs w:val="22"/>
        </w:rPr>
        <w:t>£</w:t>
      </w:r>
      <w:r w:rsidR="00A77B75" w:rsidRPr="007871B5">
        <w:rPr>
          <w:rFonts w:asciiTheme="minorHAnsi" w:hAnsiTheme="minorHAnsi" w:cstheme="minorHAnsi"/>
          <w:bCs/>
          <w:color w:val="000000"/>
          <w:sz w:val="22"/>
          <w:szCs w:val="22"/>
        </w:rPr>
        <w:t>51</w:t>
      </w:r>
      <w:r w:rsidR="00BC13E0" w:rsidRPr="007871B5">
        <w:rPr>
          <w:rFonts w:asciiTheme="minorHAnsi" w:hAnsiTheme="minorHAnsi" w:cstheme="minorHAnsi"/>
          <w:bCs/>
          <w:color w:val="000000"/>
          <w:sz w:val="22"/>
          <w:szCs w:val="22"/>
        </w:rPr>
        <w:t>k) by CCLA, the fund manager for the Local Authority Property Fund.</w:t>
      </w:r>
    </w:p>
    <w:p w:rsidR="00300A43" w:rsidRPr="007871B5" w:rsidRDefault="00300A43" w:rsidP="00A70C09">
      <w:pPr>
        <w:widowControl/>
        <w:tabs>
          <w:tab w:val="left" w:pos="0"/>
        </w:tabs>
        <w:autoSpaceDE w:val="0"/>
        <w:rPr>
          <w:rFonts w:asciiTheme="minorHAnsi" w:hAnsiTheme="minorHAnsi" w:cstheme="minorHAnsi"/>
          <w:bCs/>
          <w:color w:val="000000"/>
          <w:sz w:val="22"/>
          <w:szCs w:val="22"/>
        </w:rPr>
      </w:pPr>
    </w:p>
    <w:p w:rsidR="009165F1" w:rsidRPr="007871B5" w:rsidRDefault="009165F1" w:rsidP="0044393D">
      <w:pPr>
        <w:tabs>
          <w:tab w:val="left" w:pos="0"/>
        </w:tabs>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Interest payable by the Council was £</w:t>
      </w:r>
      <w:r w:rsidR="00897B6A" w:rsidRPr="007871B5">
        <w:rPr>
          <w:rFonts w:asciiTheme="minorHAnsi" w:hAnsiTheme="minorHAnsi" w:cstheme="minorHAnsi"/>
          <w:bCs/>
          <w:color w:val="000000"/>
          <w:sz w:val="22"/>
          <w:szCs w:val="22"/>
        </w:rPr>
        <w:t>13</w:t>
      </w:r>
      <w:r w:rsidRPr="007871B5">
        <w:rPr>
          <w:rFonts w:asciiTheme="minorHAnsi" w:hAnsiTheme="minorHAnsi" w:cstheme="minorHAnsi"/>
          <w:bCs/>
          <w:color w:val="000000"/>
          <w:sz w:val="22"/>
          <w:szCs w:val="22"/>
        </w:rPr>
        <w:t xml:space="preserve">k </w:t>
      </w:r>
      <w:r w:rsidR="00A77B75" w:rsidRPr="007871B5">
        <w:rPr>
          <w:rFonts w:asciiTheme="minorHAnsi" w:hAnsiTheme="minorHAnsi" w:cstheme="minorHAnsi"/>
          <w:bCs/>
          <w:color w:val="000000"/>
          <w:sz w:val="22"/>
          <w:szCs w:val="22"/>
        </w:rPr>
        <w:t>(201</w:t>
      </w:r>
      <w:r w:rsidR="00913A1E" w:rsidRPr="007871B5">
        <w:rPr>
          <w:rFonts w:asciiTheme="minorHAnsi" w:hAnsiTheme="minorHAnsi" w:cstheme="minorHAnsi"/>
          <w:bCs/>
          <w:color w:val="000000"/>
          <w:sz w:val="22"/>
          <w:szCs w:val="22"/>
        </w:rPr>
        <w:t>8</w:t>
      </w:r>
      <w:r w:rsidR="00A77B75" w:rsidRPr="007871B5">
        <w:rPr>
          <w:rFonts w:asciiTheme="minorHAnsi" w:hAnsiTheme="minorHAnsi" w:cstheme="minorHAnsi"/>
          <w:bCs/>
          <w:color w:val="000000"/>
          <w:sz w:val="22"/>
          <w:szCs w:val="22"/>
        </w:rPr>
        <w:t>-1</w:t>
      </w:r>
      <w:r w:rsidR="00913A1E" w:rsidRPr="007871B5">
        <w:rPr>
          <w:rFonts w:asciiTheme="minorHAnsi" w:hAnsiTheme="minorHAnsi" w:cstheme="minorHAnsi"/>
          <w:bCs/>
          <w:color w:val="000000"/>
          <w:sz w:val="22"/>
          <w:szCs w:val="22"/>
        </w:rPr>
        <w:t>9</w:t>
      </w:r>
      <w:r w:rsidR="00A77B75" w:rsidRPr="007871B5">
        <w:rPr>
          <w:rFonts w:asciiTheme="minorHAnsi" w:hAnsiTheme="minorHAnsi" w:cstheme="minorHAnsi"/>
          <w:bCs/>
          <w:color w:val="000000"/>
          <w:sz w:val="22"/>
          <w:szCs w:val="22"/>
        </w:rPr>
        <w:t xml:space="preserve"> £58</w:t>
      </w:r>
      <w:r w:rsidR="00897B6A" w:rsidRPr="007871B5">
        <w:rPr>
          <w:rFonts w:asciiTheme="minorHAnsi" w:hAnsiTheme="minorHAnsi" w:cstheme="minorHAnsi"/>
          <w:bCs/>
          <w:color w:val="000000"/>
          <w:sz w:val="22"/>
          <w:szCs w:val="22"/>
        </w:rPr>
        <w:t xml:space="preserve">k). </w:t>
      </w:r>
      <w:r w:rsidRPr="007871B5">
        <w:rPr>
          <w:rFonts w:asciiTheme="minorHAnsi" w:hAnsiTheme="minorHAnsi" w:cstheme="minorHAnsi"/>
          <w:bCs/>
          <w:color w:val="000000"/>
          <w:sz w:val="22"/>
          <w:szCs w:val="22"/>
        </w:rPr>
        <w:br/>
      </w:r>
    </w:p>
    <w:p w:rsidR="000853D8" w:rsidRPr="00871025" w:rsidRDefault="0061141D" w:rsidP="00A70C09">
      <w:pPr>
        <w:widowControl/>
        <w:tabs>
          <w:tab w:val="left" w:pos="0"/>
        </w:tabs>
        <w:autoSpaceDE w:val="0"/>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 xml:space="preserve">The Council incurred </w:t>
      </w:r>
      <w:r w:rsidR="00E13590" w:rsidRPr="007871B5">
        <w:rPr>
          <w:rFonts w:asciiTheme="minorHAnsi" w:hAnsiTheme="minorHAnsi" w:cstheme="minorHAnsi"/>
          <w:bCs/>
          <w:color w:val="000000"/>
          <w:sz w:val="22"/>
          <w:szCs w:val="22"/>
        </w:rPr>
        <w:t xml:space="preserve">a net </w:t>
      </w:r>
      <w:r w:rsidR="00A77B75" w:rsidRPr="007871B5">
        <w:rPr>
          <w:rFonts w:asciiTheme="minorHAnsi" w:hAnsiTheme="minorHAnsi" w:cstheme="minorHAnsi"/>
          <w:bCs/>
          <w:color w:val="000000"/>
          <w:sz w:val="22"/>
          <w:szCs w:val="22"/>
        </w:rPr>
        <w:t>loss</w:t>
      </w:r>
      <w:r w:rsidR="00300A43" w:rsidRPr="007871B5">
        <w:rPr>
          <w:rFonts w:asciiTheme="minorHAnsi" w:hAnsiTheme="minorHAnsi" w:cstheme="minorHAnsi"/>
          <w:bCs/>
          <w:color w:val="000000"/>
          <w:sz w:val="22"/>
          <w:szCs w:val="22"/>
        </w:rPr>
        <w:t xml:space="preserve"> on revaluation at year </w:t>
      </w:r>
      <w:r w:rsidR="00300ACF">
        <w:rPr>
          <w:rFonts w:asciiTheme="minorHAnsi" w:hAnsiTheme="minorHAnsi" w:cstheme="minorHAnsi"/>
          <w:bCs/>
          <w:color w:val="000000"/>
          <w:sz w:val="22"/>
          <w:szCs w:val="22"/>
        </w:rPr>
        <w:t>end</w:t>
      </w:r>
      <w:r w:rsidR="00300A43" w:rsidRPr="007871B5">
        <w:rPr>
          <w:rFonts w:asciiTheme="minorHAnsi" w:hAnsiTheme="minorHAnsi" w:cstheme="minorHAnsi"/>
          <w:bCs/>
          <w:color w:val="000000"/>
          <w:sz w:val="22"/>
          <w:szCs w:val="22"/>
        </w:rPr>
        <w:t xml:space="preserve"> of </w:t>
      </w:r>
      <w:r w:rsidR="00A70E4F" w:rsidRPr="007871B5">
        <w:rPr>
          <w:rFonts w:asciiTheme="minorHAnsi" w:hAnsiTheme="minorHAnsi" w:cstheme="minorHAnsi"/>
          <w:bCs/>
          <w:color w:val="000000"/>
          <w:sz w:val="22"/>
          <w:szCs w:val="22"/>
        </w:rPr>
        <w:t>£</w:t>
      </w:r>
      <w:r w:rsidR="00A77B75" w:rsidRPr="007871B5">
        <w:rPr>
          <w:rFonts w:asciiTheme="minorHAnsi" w:hAnsiTheme="minorHAnsi" w:cstheme="minorHAnsi"/>
          <w:bCs/>
          <w:color w:val="000000"/>
          <w:sz w:val="22"/>
          <w:szCs w:val="22"/>
        </w:rPr>
        <w:t>3,906k</w:t>
      </w:r>
      <w:r w:rsidR="00A70E4F" w:rsidRPr="007871B5">
        <w:rPr>
          <w:rFonts w:asciiTheme="minorHAnsi" w:hAnsiTheme="minorHAnsi" w:cstheme="minorHAnsi"/>
          <w:bCs/>
          <w:color w:val="000000"/>
          <w:sz w:val="22"/>
          <w:szCs w:val="22"/>
        </w:rPr>
        <w:t xml:space="preserve"> (</w:t>
      </w:r>
      <w:r w:rsidR="00E13590" w:rsidRPr="007871B5">
        <w:rPr>
          <w:rFonts w:asciiTheme="minorHAnsi" w:hAnsiTheme="minorHAnsi" w:cstheme="minorHAnsi"/>
          <w:bCs/>
          <w:color w:val="000000"/>
          <w:sz w:val="22"/>
          <w:szCs w:val="22"/>
        </w:rPr>
        <w:t>£</w:t>
      </w:r>
      <w:r w:rsidR="00A77B75" w:rsidRPr="007871B5">
        <w:rPr>
          <w:rFonts w:asciiTheme="minorHAnsi" w:hAnsiTheme="minorHAnsi" w:cstheme="minorHAnsi"/>
          <w:bCs/>
          <w:color w:val="000000"/>
          <w:sz w:val="22"/>
          <w:szCs w:val="22"/>
        </w:rPr>
        <w:t>19</w:t>
      </w:r>
      <w:r w:rsidR="00A70E4F" w:rsidRPr="007871B5">
        <w:rPr>
          <w:rFonts w:asciiTheme="minorHAnsi" w:hAnsiTheme="minorHAnsi" w:cstheme="minorHAnsi"/>
          <w:bCs/>
          <w:color w:val="000000"/>
          <w:sz w:val="22"/>
          <w:szCs w:val="22"/>
        </w:rPr>
        <w:t>k</w:t>
      </w:r>
      <w:r w:rsidR="00300A43" w:rsidRPr="007871B5">
        <w:rPr>
          <w:rFonts w:asciiTheme="minorHAnsi" w:hAnsiTheme="minorHAnsi" w:cstheme="minorHAnsi"/>
          <w:bCs/>
          <w:color w:val="000000"/>
          <w:sz w:val="22"/>
          <w:szCs w:val="22"/>
        </w:rPr>
        <w:t xml:space="preserve"> </w:t>
      </w:r>
      <w:r w:rsidR="00A77B75" w:rsidRPr="007871B5">
        <w:rPr>
          <w:rFonts w:asciiTheme="minorHAnsi" w:hAnsiTheme="minorHAnsi" w:cstheme="minorHAnsi"/>
          <w:bCs/>
          <w:color w:val="000000"/>
          <w:sz w:val="22"/>
          <w:szCs w:val="22"/>
        </w:rPr>
        <w:t xml:space="preserve">gain </w:t>
      </w:r>
      <w:r w:rsidR="00A70E4F" w:rsidRPr="007871B5">
        <w:rPr>
          <w:rFonts w:asciiTheme="minorHAnsi" w:hAnsiTheme="minorHAnsi" w:cstheme="minorHAnsi"/>
          <w:bCs/>
          <w:color w:val="000000"/>
          <w:sz w:val="22"/>
          <w:szCs w:val="22"/>
        </w:rPr>
        <w:t>201</w:t>
      </w:r>
      <w:r w:rsidR="00A77B75" w:rsidRPr="007871B5">
        <w:rPr>
          <w:rFonts w:asciiTheme="minorHAnsi" w:hAnsiTheme="minorHAnsi" w:cstheme="minorHAnsi"/>
          <w:bCs/>
          <w:color w:val="000000"/>
          <w:sz w:val="22"/>
          <w:szCs w:val="22"/>
        </w:rPr>
        <w:t>8</w:t>
      </w:r>
      <w:r w:rsidR="00A70E4F" w:rsidRPr="007871B5">
        <w:rPr>
          <w:rFonts w:asciiTheme="minorHAnsi" w:hAnsiTheme="minorHAnsi" w:cstheme="minorHAnsi"/>
          <w:bCs/>
          <w:color w:val="000000"/>
          <w:sz w:val="22"/>
          <w:szCs w:val="22"/>
        </w:rPr>
        <w:t>-1</w:t>
      </w:r>
      <w:r w:rsidR="00A77B75" w:rsidRPr="007871B5">
        <w:rPr>
          <w:rFonts w:asciiTheme="minorHAnsi" w:hAnsiTheme="minorHAnsi" w:cstheme="minorHAnsi"/>
          <w:bCs/>
          <w:color w:val="000000"/>
          <w:sz w:val="22"/>
          <w:szCs w:val="22"/>
        </w:rPr>
        <w:t>9</w:t>
      </w:r>
      <w:r w:rsidR="00A70E4F" w:rsidRPr="007871B5">
        <w:rPr>
          <w:rFonts w:asciiTheme="minorHAnsi" w:hAnsiTheme="minorHAnsi" w:cstheme="minorHAnsi"/>
          <w:bCs/>
          <w:color w:val="000000"/>
          <w:sz w:val="22"/>
          <w:szCs w:val="22"/>
        </w:rPr>
        <w:t>)</w:t>
      </w:r>
      <w:r w:rsidR="00300A43" w:rsidRPr="007871B5">
        <w:rPr>
          <w:rFonts w:asciiTheme="minorHAnsi" w:hAnsiTheme="minorHAnsi" w:cstheme="minorHAnsi"/>
          <w:bCs/>
          <w:color w:val="000000"/>
          <w:sz w:val="22"/>
          <w:szCs w:val="22"/>
        </w:rPr>
        <w:t xml:space="preserve"> in respect of its f</w:t>
      </w:r>
      <w:r w:rsidRPr="007871B5">
        <w:rPr>
          <w:rFonts w:asciiTheme="minorHAnsi" w:hAnsiTheme="minorHAnsi" w:cstheme="minorHAnsi"/>
          <w:bCs/>
          <w:color w:val="000000"/>
          <w:sz w:val="22"/>
          <w:szCs w:val="22"/>
        </w:rPr>
        <w:t>inancial assets valued at Fair Value</w:t>
      </w:r>
      <w:r w:rsidR="00300A43" w:rsidRPr="007871B5">
        <w:rPr>
          <w:rFonts w:asciiTheme="minorHAnsi" w:hAnsiTheme="minorHAnsi" w:cstheme="minorHAnsi"/>
          <w:bCs/>
          <w:color w:val="000000"/>
          <w:sz w:val="22"/>
          <w:szCs w:val="22"/>
        </w:rPr>
        <w:t>.</w:t>
      </w:r>
      <w:r w:rsidR="009165F1" w:rsidRPr="007871B5">
        <w:rPr>
          <w:rFonts w:asciiTheme="minorHAnsi" w:hAnsiTheme="minorHAnsi" w:cstheme="minorHAnsi"/>
          <w:bCs/>
          <w:color w:val="000000"/>
          <w:sz w:val="22"/>
          <w:szCs w:val="22"/>
        </w:rPr>
        <w:t xml:space="preserve"> </w:t>
      </w:r>
      <w:r w:rsidR="00BC13E0" w:rsidRPr="007871B5">
        <w:rPr>
          <w:rFonts w:asciiTheme="minorHAnsi" w:hAnsiTheme="minorHAnsi" w:cstheme="minorHAnsi"/>
          <w:bCs/>
          <w:color w:val="000000"/>
          <w:sz w:val="22"/>
          <w:szCs w:val="22"/>
        </w:rPr>
        <w:t xml:space="preserve">  </w:t>
      </w:r>
      <w:r w:rsidR="00A10FE3" w:rsidRPr="007871B5">
        <w:rPr>
          <w:rFonts w:asciiTheme="minorHAnsi" w:hAnsiTheme="minorHAnsi" w:cstheme="minorHAnsi"/>
          <w:bCs/>
          <w:color w:val="000000"/>
          <w:sz w:val="22"/>
          <w:szCs w:val="22"/>
        </w:rPr>
        <w:t xml:space="preserve">This change in fair value was </w:t>
      </w:r>
      <w:r w:rsidR="00BB5C3C" w:rsidRPr="007871B5">
        <w:rPr>
          <w:rFonts w:asciiTheme="minorHAnsi" w:hAnsiTheme="minorHAnsi" w:cstheme="minorHAnsi"/>
          <w:bCs/>
          <w:color w:val="000000"/>
          <w:sz w:val="22"/>
          <w:szCs w:val="22"/>
        </w:rPr>
        <w:t>eliminated</w:t>
      </w:r>
      <w:r w:rsidR="00A10FE3" w:rsidRPr="007871B5">
        <w:rPr>
          <w:rFonts w:asciiTheme="minorHAnsi" w:hAnsiTheme="minorHAnsi" w:cstheme="minorHAnsi"/>
          <w:bCs/>
          <w:color w:val="000000"/>
          <w:sz w:val="22"/>
          <w:szCs w:val="22"/>
        </w:rPr>
        <w:t xml:space="preserve"> from the Council’s general fund reserve in accordance with statutory guidance. </w:t>
      </w:r>
      <w:r w:rsidR="009165F1" w:rsidRPr="007871B5">
        <w:rPr>
          <w:rFonts w:asciiTheme="minorHAnsi" w:hAnsiTheme="minorHAnsi" w:cstheme="minorHAnsi"/>
          <w:bCs/>
          <w:color w:val="000000"/>
          <w:sz w:val="22"/>
          <w:szCs w:val="22"/>
        </w:rPr>
        <w:t>A breakdown of these assets</w:t>
      </w:r>
      <w:r w:rsidRPr="007871B5">
        <w:rPr>
          <w:rFonts w:asciiTheme="minorHAnsi" w:hAnsiTheme="minorHAnsi" w:cstheme="minorHAnsi"/>
          <w:bCs/>
          <w:color w:val="000000"/>
          <w:sz w:val="22"/>
          <w:szCs w:val="22"/>
        </w:rPr>
        <w:t xml:space="preserve"> is shown in the note below</w:t>
      </w:r>
      <w:r w:rsidR="00871025">
        <w:rPr>
          <w:rFonts w:asciiTheme="minorHAnsi" w:hAnsiTheme="minorHAnsi" w:cstheme="minorHAnsi"/>
          <w:bCs/>
          <w:color w:val="000000"/>
          <w:sz w:val="22"/>
          <w:szCs w:val="22"/>
        </w:rPr>
        <w:t>.</w:t>
      </w:r>
    </w:p>
    <w:p w:rsidR="00F446F4" w:rsidRDefault="00F446F4" w:rsidP="00A70C09">
      <w:pPr>
        <w:widowControl/>
        <w:tabs>
          <w:tab w:val="left" w:pos="0"/>
        </w:tabs>
        <w:autoSpaceDE w:val="0"/>
        <w:rPr>
          <w:rFonts w:asciiTheme="minorHAnsi" w:hAnsiTheme="minorHAnsi" w:cstheme="minorHAnsi"/>
          <w:color w:val="000000"/>
          <w:sz w:val="22"/>
          <w:szCs w:val="22"/>
        </w:rPr>
      </w:pPr>
    </w:p>
    <w:p w:rsidR="00F446F4" w:rsidRDefault="00F446F4" w:rsidP="00A70C09">
      <w:pPr>
        <w:widowControl/>
        <w:tabs>
          <w:tab w:val="left" w:pos="0"/>
        </w:tabs>
        <w:autoSpaceDE w:val="0"/>
        <w:rPr>
          <w:rFonts w:asciiTheme="minorHAnsi" w:hAnsiTheme="minorHAnsi" w:cstheme="minorHAnsi"/>
          <w:color w:val="000000"/>
          <w:sz w:val="22"/>
          <w:szCs w:val="22"/>
        </w:rPr>
      </w:pPr>
    </w:p>
    <w:p w:rsidR="000853D8" w:rsidRPr="0068094B" w:rsidRDefault="000853D8" w:rsidP="000853D8">
      <w:pPr>
        <w:rPr>
          <w:rFonts w:asciiTheme="minorHAnsi" w:hAnsiTheme="minorHAnsi" w:cstheme="minorHAnsi"/>
          <w:b/>
          <w:color w:val="000000"/>
          <w:sz w:val="22"/>
          <w:szCs w:val="22"/>
        </w:rPr>
      </w:pPr>
      <w:r w:rsidRPr="0068094B">
        <w:rPr>
          <w:rFonts w:asciiTheme="minorHAnsi" w:hAnsiTheme="minorHAnsi" w:cstheme="minorHAnsi"/>
          <w:b/>
          <w:color w:val="000000"/>
          <w:sz w:val="22"/>
          <w:szCs w:val="22"/>
        </w:rPr>
        <w:lastRenderedPageBreak/>
        <w:t>Financial Assets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Assets"/>
      </w:tblPr>
      <w:tblGrid>
        <w:gridCol w:w="3583"/>
        <w:gridCol w:w="812"/>
        <w:gridCol w:w="1330"/>
        <w:gridCol w:w="1441"/>
        <w:gridCol w:w="1090"/>
        <w:gridCol w:w="1208"/>
      </w:tblGrid>
      <w:tr w:rsidR="00B93AEC" w:rsidRPr="004A720D" w:rsidTr="00A72C6D">
        <w:trPr>
          <w:tblHeader/>
        </w:trPr>
        <w:tc>
          <w:tcPr>
            <w:tcW w:w="3583" w:type="dxa"/>
          </w:tcPr>
          <w:p w:rsidR="00B93AEC" w:rsidRPr="0068094B" w:rsidRDefault="00B93AEC" w:rsidP="00C11D1C">
            <w:pPr>
              <w:jc w:val="right"/>
              <w:rPr>
                <w:rFonts w:asciiTheme="minorHAnsi" w:hAnsiTheme="minorHAnsi" w:cstheme="minorHAnsi"/>
                <w:color w:val="000000"/>
                <w:sz w:val="22"/>
                <w:szCs w:val="22"/>
              </w:rPr>
            </w:pPr>
            <w:r w:rsidRPr="0068094B">
              <w:rPr>
                <w:rFonts w:asciiTheme="minorHAnsi" w:hAnsiTheme="minorHAnsi" w:cstheme="minorHAnsi"/>
                <w:b/>
                <w:color w:val="000000"/>
                <w:sz w:val="22"/>
                <w:szCs w:val="22"/>
              </w:rPr>
              <w:tab/>
            </w:r>
          </w:p>
          <w:p w:rsidR="00D76B4F" w:rsidRPr="0068094B" w:rsidRDefault="00D76B4F" w:rsidP="00C11D1C">
            <w:pPr>
              <w:jc w:val="right"/>
              <w:rPr>
                <w:rFonts w:asciiTheme="minorHAnsi" w:hAnsiTheme="minorHAnsi" w:cstheme="minorHAnsi"/>
                <w:color w:val="000000"/>
                <w:sz w:val="22"/>
                <w:szCs w:val="22"/>
              </w:rPr>
            </w:pPr>
          </w:p>
        </w:tc>
        <w:tc>
          <w:tcPr>
            <w:tcW w:w="812" w:type="dxa"/>
          </w:tcPr>
          <w:p w:rsidR="00B93AEC" w:rsidRPr="0068094B" w:rsidRDefault="00B93AEC" w:rsidP="00C11D1C">
            <w:pPr>
              <w:jc w:val="right"/>
              <w:rPr>
                <w:rFonts w:asciiTheme="minorHAnsi" w:hAnsiTheme="minorHAnsi" w:cstheme="minorHAnsi"/>
                <w:color w:val="000000"/>
                <w:sz w:val="22"/>
                <w:szCs w:val="22"/>
              </w:rPr>
            </w:pPr>
          </w:p>
        </w:tc>
        <w:tc>
          <w:tcPr>
            <w:tcW w:w="1330" w:type="dxa"/>
          </w:tcPr>
          <w:p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 xml:space="preserve">Balance </w:t>
            </w:r>
            <w:r w:rsidR="00FC1D6F" w:rsidRPr="004A720D">
              <w:rPr>
                <w:rFonts w:asciiTheme="minorHAnsi" w:hAnsiTheme="minorHAnsi" w:cstheme="minorHAnsi"/>
                <w:color w:val="000000"/>
                <w:sz w:val="22"/>
                <w:szCs w:val="22"/>
              </w:rPr>
              <w:t>S</w:t>
            </w:r>
            <w:r w:rsidRPr="004A720D">
              <w:rPr>
                <w:rFonts w:asciiTheme="minorHAnsi" w:hAnsiTheme="minorHAnsi" w:cstheme="minorHAnsi"/>
                <w:color w:val="000000"/>
                <w:sz w:val="22"/>
                <w:szCs w:val="22"/>
              </w:rPr>
              <w:t>heet</w:t>
            </w:r>
          </w:p>
          <w:p w:rsidR="00B93AEC" w:rsidRPr="004A720D" w:rsidRDefault="00B93AEC" w:rsidP="00D7234A">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Pr="004A720D">
              <w:rPr>
                <w:rFonts w:asciiTheme="minorHAnsi" w:hAnsiTheme="minorHAnsi" w:cstheme="minorHAnsi"/>
                <w:color w:val="000000"/>
                <w:sz w:val="22"/>
                <w:szCs w:val="22"/>
              </w:rPr>
              <w:t>201</w:t>
            </w:r>
            <w:r w:rsidR="00D7234A">
              <w:rPr>
                <w:rFonts w:asciiTheme="minorHAnsi" w:hAnsiTheme="minorHAnsi" w:cstheme="minorHAnsi"/>
                <w:color w:val="000000"/>
                <w:sz w:val="22"/>
                <w:szCs w:val="22"/>
              </w:rPr>
              <w:t>9</w:t>
            </w:r>
          </w:p>
        </w:tc>
        <w:tc>
          <w:tcPr>
            <w:tcW w:w="1441" w:type="dxa"/>
          </w:tcPr>
          <w:p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Fair value</w:t>
            </w:r>
          </w:p>
          <w:p w:rsidR="00C76435" w:rsidRPr="004A720D" w:rsidRDefault="00C76435" w:rsidP="00C76435">
            <w:pPr>
              <w:jc w:val="right"/>
              <w:rPr>
                <w:rFonts w:asciiTheme="minorHAnsi" w:hAnsiTheme="minorHAnsi" w:cstheme="minorHAnsi"/>
                <w:color w:val="000000"/>
                <w:sz w:val="22"/>
                <w:szCs w:val="22"/>
              </w:rPr>
            </w:pPr>
          </w:p>
          <w:p w:rsidR="00B93AEC" w:rsidRPr="004A720D" w:rsidRDefault="00B93AEC" w:rsidP="00D7234A">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Pr="004A720D">
              <w:rPr>
                <w:rFonts w:asciiTheme="minorHAnsi" w:hAnsiTheme="minorHAnsi" w:cstheme="minorHAnsi"/>
                <w:color w:val="000000"/>
                <w:sz w:val="22"/>
                <w:szCs w:val="22"/>
              </w:rPr>
              <w:t>201</w:t>
            </w:r>
            <w:r w:rsidR="00D7234A">
              <w:rPr>
                <w:rFonts w:asciiTheme="minorHAnsi" w:hAnsiTheme="minorHAnsi" w:cstheme="minorHAnsi"/>
                <w:color w:val="000000"/>
                <w:sz w:val="22"/>
                <w:szCs w:val="22"/>
              </w:rPr>
              <w:t>9</w:t>
            </w:r>
          </w:p>
        </w:tc>
        <w:tc>
          <w:tcPr>
            <w:tcW w:w="1090" w:type="dxa"/>
            <w:shd w:val="clear" w:color="auto" w:fill="D9D9D9" w:themeFill="background1" w:themeFillShade="D9"/>
          </w:tcPr>
          <w:p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 xml:space="preserve">Balance </w:t>
            </w:r>
            <w:r w:rsidR="00FC1D6F" w:rsidRPr="004A720D">
              <w:rPr>
                <w:rFonts w:asciiTheme="minorHAnsi" w:hAnsiTheme="minorHAnsi" w:cstheme="minorHAnsi"/>
                <w:color w:val="000000"/>
                <w:sz w:val="22"/>
                <w:szCs w:val="22"/>
              </w:rPr>
              <w:t>S</w:t>
            </w:r>
            <w:r w:rsidRPr="004A720D">
              <w:rPr>
                <w:rFonts w:asciiTheme="minorHAnsi" w:hAnsiTheme="minorHAnsi" w:cstheme="minorHAnsi"/>
                <w:color w:val="000000"/>
                <w:sz w:val="22"/>
                <w:szCs w:val="22"/>
              </w:rPr>
              <w:t>heet</w:t>
            </w:r>
          </w:p>
          <w:p w:rsidR="00B93AEC" w:rsidRPr="004A720D" w:rsidRDefault="00B93AEC" w:rsidP="00D7234A">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0005679A" w:rsidRPr="004A720D">
              <w:rPr>
                <w:rFonts w:asciiTheme="minorHAnsi" w:hAnsiTheme="minorHAnsi" w:cstheme="minorHAnsi"/>
                <w:color w:val="000000"/>
                <w:sz w:val="22"/>
                <w:szCs w:val="22"/>
              </w:rPr>
              <w:t>20</w:t>
            </w:r>
            <w:r w:rsidR="00D7234A">
              <w:rPr>
                <w:rFonts w:asciiTheme="minorHAnsi" w:hAnsiTheme="minorHAnsi" w:cstheme="minorHAnsi"/>
                <w:color w:val="000000"/>
                <w:sz w:val="22"/>
                <w:szCs w:val="22"/>
              </w:rPr>
              <w:t>20</w:t>
            </w:r>
          </w:p>
        </w:tc>
        <w:tc>
          <w:tcPr>
            <w:tcW w:w="1208" w:type="dxa"/>
            <w:shd w:val="clear" w:color="auto" w:fill="D9D9D9" w:themeFill="background1" w:themeFillShade="D9"/>
          </w:tcPr>
          <w:p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Fair value</w:t>
            </w:r>
          </w:p>
          <w:p w:rsidR="00831E24" w:rsidRDefault="00831E24" w:rsidP="00E5479B">
            <w:pPr>
              <w:jc w:val="right"/>
              <w:rPr>
                <w:rFonts w:asciiTheme="minorHAnsi" w:hAnsiTheme="minorHAnsi" w:cstheme="minorHAnsi"/>
                <w:color w:val="000000"/>
                <w:sz w:val="22"/>
                <w:szCs w:val="22"/>
              </w:rPr>
            </w:pPr>
          </w:p>
          <w:p w:rsidR="00B93AEC" w:rsidRPr="004A720D" w:rsidRDefault="00B93AEC" w:rsidP="00D7234A">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w:t>
            </w:r>
            <w:r w:rsidR="00C76435" w:rsidRPr="004A720D">
              <w:rPr>
                <w:rFonts w:asciiTheme="minorHAnsi" w:hAnsiTheme="minorHAnsi" w:cstheme="minorHAnsi"/>
                <w:color w:val="000000"/>
                <w:sz w:val="22"/>
                <w:szCs w:val="22"/>
              </w:rPr>
              <w:t xml:space="preserve">1 March </w:t>
            </w:r>
            <w:r w:rsidR="0005679A" w:rsidRPr="004A720D">
              <w:rPr>
                <w:rFonts w:asciiTheme="minorHAnsi" w:hAnsiTheme="minorHAnsi" w:cstheme="minorHAnsi"/>
                <w:color w:val="000000"/>
                <w:sz w:val="22"/>
                <w:szCs w:val="22"/>
              </w:rPr>
              <w:t>20</w:t>
            </w:r>
            <w:r w:rsidR="00D7234A">
              <w:rPr>
                <w:rFonts w:asciiTheme="minorHAnsi" w:hAnsiTheme="minorHAnsi" w:cstheme="minorHAnsi"/>
                <w:color w:val="000000"/>
                <w:sz w:val="22"/>
                <w:szCs w:val="22"/>
              </w:rPr>
              <w:t>20</w:t>
            </w:r>
          </w:p>
        </w:tc>
      </w:tr>
      <w:tr w:rsidR="00B93AEC" w:rsidRPr="004A720D" w:rsidTr="00A72C6D">
        <w:trPr>
          <w:tblHeader/>
        </w:trPr>
        <w:tc>
          <w:tcPr>
            <w:tcW w:w="3583" w:type="dxa"/>
          </w:tcPr>
          <w:p w:rsidR="00B93AEC" w:rsidRPr="0068094B" w:rsidRDefault="00B93AEC" w:rsidP="00C11D1C">
            <w:pPr>
              <w:jc w:val="right"/>
              <w:rPr>
                <w:rFonts w:asciiTheme="minorHAnsi" w:hAnsiTheme="minorHAnsi" w:cstheme="minorHAnsi"/>
                <w:color w:val="000000"/>
                <w:sz w:val="22"/>
                <w:szCs w:val="22"/>
              </w:rPr>
            </w:pPr>
          </w:p>
        </w:tc>
        <w:tc>
          <w:tcPr>
            <w:tcW w:w="812" w:type="dxa"/>
            <w:tcBorders>
              <w:bottom w:val="single" w:sz="4" w:space="0" w:color="auto"/>
            </w:tcBorders>
          </w:tcPr>
          <w:p w:rsidR="00B93AEC" w:rsidRPr="0068094B" w:rsidRDefault="00B93AEC" w:rsidP="00C11D1C">
            <w:pPr>
              <w:jc w:val="right"/>
              <w:rPr>
                <w:rFonts w:asciiTheme="minorHAnsi" w:hAnsiTheme="minorHAnsi" w:cstheme="minorHAnsi"/>
                <w:color w:val="000000"/>
                <w:sz w:val="22"/>
                <w:szCs w:val="22"/>
              </w:rPr>
            </w:pPr>
            <w:r w:rsidRPr="0068094B">
              <w:rPr>
                <w:rFonts w:asciiTheme="minorHAnsi" w:hAnsiTheme="minorHAnsi" w:cstheme="minorHAnsi"/>
                <w:color w:val="000000"/>
                <w:sz w:val="22"/>
                <w:szCs w:val="22"/>
              </w:rPr>
              <w:t>Level</w:t>
            </w:r>
          </w:p>
        </w:tc>
        <w:tc>
          <w:tcPr>
            <w:tcW w:w="1330" w:type="dxa"/>
            <w:tcBorders>
              <w:bottom w:val="single" w:sz="4" w:space="0" w:color="auto"/>
            </w:tcBorders>
          </w:tcPr>
          <w:p w:rsidR="00B91308" w:rsidRPr="004A720D" w:rsidRDefault="00B93AEC" w:rsidP="004A720D">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441" w:type="dxa"/>
            <w:tcBorders>
              <w:bottom w:val="single" w:sz="4" w:space="0" w:color="auto"/>
            </w:tcBorders>
          </w:tcPr>
          <w:p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090" w:type="dxa"/>
            <w:tcBorders>
              <w:bottom w:val="single" w:sz="4" w:space="0" w:color="auto"/>
            </w:tcBorders>
            <w:shd w:val="clear" w:color="auto" w:fill="D9D9D9" w:themeFill="background1" w:themeFillShade="D9"/>
          </w:tcPr>
          <w:p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208" w:type="dxa"/>
            <w:tcBorders>
              <w:bottom w:val="single" w:sz="4" w:space="0" w:color="auto"/>
            </w:tcBorders>
            <w:shd w:val="clear" w:color="auto" w:fill="D9D9D9" w:themeFill="background1" w:themeFillShade="D9"/>
          </w:tcPr>
          <w:p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r>
      <w:tr w:rsidR="00B93AEC" w:rsidRPr="0068094B" w:rsidTr="00A72C6D">
        <w:trPr>
          <w:tblHeader/>
        </w:trPr>
        <w:tc>
          <w:tcPr>
            <w:tcW w:w="3583" w:type="dxa"/>
          </w:tcPr>
          <w:p w:rsidR="00B93AEC" w:rsidRPr="00DD5BA3" w:rsidRDefault="00B93AEC"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assets held at Fair Value</w:t>
            </w:r>
          </w:p>
        </w:tc>
        <w:tc>
          <w:tcPr>
            <w:tcW w:w="812" w:type="dxa"/>
            <w:tcBorders>
              <w:top w:val="single" w:sz="4" w:space="0" w:color="auto"/>
            </w:tcBorders>
          </w:tcPr>
          <w:p w:rsidR="00B93AEC" w:rsidRPr="00DD5BA3" w:rsidRDefault="00B93AEC" w:rsidP="00C11D1C">
            <w:pPr>
              <w:jc w:val="right"/>
              <w:rPr>
                <w:rFonts w:asciiTheme="minorHAnsi" w:hAnsiTheme="minorHAnsi" w:cstheme="minorHAnsi"/>
                <w:color w:val="000000"/>
                <w:sz w:val="22"/>
                <w:szCs w:val="22"/>
              </w:rPr>
            </w:pPr>
          </w:p>
        </w:tc>
        <w:tc>
          <w:tcPr>
            <w:tcW w:w="1330" w:type="dxa"/>
            <w:tcBorders>
              <w:top w:val="single" w:sz="4" w:space="0" w:color="auto"/>
            </w:tcBorders>
          </w:tcPr>
          <w:p w:rsidR="00B93AEC" w:rsidRPr="00DD5BA3" w:rsidRDefault="00B93AEC" w:rsidP="00C11D1C">
            <w:pPr>
              <w:jc w:val="right"/>
              <w:rPr>
                <w:rFonts w:asciiTheme="minorHAnsi" w:hAnsiTheme="minorHAnsi" w:cstheme="minorHAnsi"/>
                <w:color w:val="000000"/>
                <w:sz w:val="22"/>
                <w:szCs w:val="22"/>
              </w:rPr>
            </w:pPr>
          </w:p>
        </w:tc>
        <w:tc>
          <w:tcPr>
            <w:tcW w:w="1441" w:type="dxa"/>
            <w:tcBorders>
              <w:top w:val="single" w:sz="4" w:space="0" w:color="auto"/>
            </w:tcBorders>
          </w:tcPr>
          <w:p w:rsidR="00B93AEC" w:rsidRPr="00DD5BA3" w:rsidRDefault="00B93AEC" w:rsidP="00C11D1C">
            <w:pPr>
              <w:jc w:val="right"/>
              <w:rPr>
                <w:rFonts w:asciiTheme="minorHAnsi" w:hAnsiTheme="minorHAnsi" w:cstheme="minorHAnsi"/>
                <w:color w:val="000000"/>
                <w:sz w:val="22"/>
                <w:szCs w:val="22"/>
              </w:rPr>
            </w:pPr>
          </w:p>
        </w:tc>
        <w:tc>
          <w:tcPr>
            <w:tcW w:w="1090" w:type="dxa"/>
            <w:tcBorders>
              <w:top w:val="single" w:sz="4" w:space="0" w:color="auto"/>
            </w:tcBorders>
            <w:shd w:val="clear" w:color="auto" w:fill="D9D9D9" w:themeFill="background1" w:themeFillShade="D9"/>
          </w:tcPr>
          <w:p w:rsidR="00B93AEC" w:rsidRPr="00DD5BA3" w:rsidRDefault="00B93AEC" w:rsidP="00C11D1C">
            <w:pPr>
              <w:jc w:val="right"/>
              <w:rPr>
                <w:rFonts w:asciiTheme="minorHAnsi" w:hAnsiTheme="minorHAnsi" w:cstheme="minorHAnsi"/>
                <w:color w:val="000000"/>
                <w:sz w:val="22"/>
                <w:szCs w:val="22"/>
              </w:rPr>
            </w:pPr>
          </w:p>
        </w:tc>
        <w:tc>
          <w:tcPr>
            <w:tcW w:w="1208" w:type="dxa"/>
            <w:tcBorders>
              <w:top w:val="single" w:sz="4" w:space="0" w:color="auto"/>
            </w:tcBorders>
            <w:shd w:val="clear" w:color="auto" w:fill="D9D9D9" w:themeFill="background1" w:themeFillShade="D9"/>
          </w:tcPr>
          <w:p w:rsidR="00B93AEC" w:rsidRPr="00DD5BA3" w:rsidRDefault="00B93AEC" w:rsidP="00C11D1C">
            <w:pPr>
              <w:jc w:val="right"/>
              <w:rPr>
                <w:rFonts w:asciiTheme="minorHAnsi" w:hAnsiTheme="minorHAnsi" w:cstheme="minorHAnsi"/>
                <w:color w:val="000000"/>
                <w:sz w:val="22"/>
                <w:szCs w:val="22"/>
              </w:rPr>
            </w:pPr>
          </w:p>
        </w:tc>
      </w:tr>
      <w:tr w:rsidR="00D7234A" w:rsidRPr="0068094B" w:rsidTr="00A72C6D">
        <w:trPr>
          <w:tblHeader/>
        </w:trPr>
        <w:tc>
          <w:tcPr>
            <w:tcW w:w="3583" w:type="dxa"/>
          </w:tcPr>
          <w:p w:rsidR="00D7234A" w:rsidRPr="00DD5BA3" w:rsidRDefault="00EB5FF8" w:rsidP="007D7B32">
            <w:pPr>
              <w:pStyle w:val="ListParagraph"/>
              <w:numPr>
                <w:ilvl w:val="0"/>
                <w:numId w:val="47"/>
              </w:numPr>
              <w:rPr>
                <w:rFonts w:asciiTheme="minorHAnsi" w:hAnsiTheme="minorHAnsi" w:cstheme="minorHAnsi"/>
                <w:color w:val="000000"/>
                <w:szCs w:val="22"/>
              </w:rPr>
            </w:pPr>
            <w:r w:rsidRPr="00DD5BA3">
              <w:rPr>
                <w:rFonts w:asciiTheme="minorHAnsi" w:hAnsiTheme="minorHAnsi" w:cstheme="minorHAnsi"/>
                <w:color w:val="000000"/>
                <w:szCs w:val="22"/>
              </w:rPr>
              <w:t>Money market f</w:t>
            </w:r>
            <w:r w:rsidR="00D7234A" w:rsidRPr="00DD5BA3">
              <w:rPr>
                <w:rFonts w:asciiTheme="minorHAnsi" w:hAnsiTheme="minorHAnsi" w:cstheme="minorHAnsi"/>
                <w:color w:val="000000"/>
                <w:szCs w:val="22"/>
              </w:rPr>
              <w:t>unds</w:t>
            </w:r>
          </w:p>
        </w:tc>
        <w:tc>
          <w:tcPr>
            <w:tcW w:w="812" w:type="dxa"/>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w:t>
            </w:r>
          </w:p>
        </w:tc>
        <w:tc>
          <w:tcPr>
            <w:tcW w:w="1330" w:type="dxa"/>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4,350</w:t>
            </w:r>
          </w:p>
        </w:tc>
        <w:tc>
          <w:tcPr>
            <w:tcW w:w="1441" w:type="dxa"/>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4,350</w:t>
            </w:r>
          </w:p>
        </w:tc>
        <w:tc>
          <w:tcPr>
            <w:tcW w:w="1090" w:type="dxa"/>
            <w:shd w:val="clear" w:color="auto" w:fill="D9D9D9" w:themeFill="background1" w:themeFillShade="D9"/>
          </w:tcPr>
          <w:p w:rsidR="00D7234A" w:rsidRPr="00DD5BA3" w:rsidRDefault="00A77B75"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6,050</w:t>
            </w:r>
          </w:p>
        </w:tc>
        <w:tc>
          <w:tcPr>
            <w:tcW w:w="1208" w:type="dxa"/>
            <w:shd w:val="clear" w:color="auto" w:fill="D9D9D9" w:themeFill="background1" w:themeFillShade="D9"/>
          </w:tcPr>
          <w:p w:rsidR="00D7234A" w:rsidRPr="00DD5BA3" w:rsidRDefault="00A77B75"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6,050</w:t>
            </w:r>
          </w:p>
        </w:tc>
      </w:tr>
      <w:tr w:rsidR="00D7234A" w:rsidRPr="0068094B" w:rsidTr="00A72C6D">
        <w:trPr>
          <w:tblHeader/>
        </w:trPr>
        <w:tc>
          <w:tcPr>
            <w:tcW w:w="3583" w:type="dxa"/>
          </w:tcPr>
          <w:p w:rsidR="00D7234A" w:rsidRPr="00DD5BA3" w:rsidRDefault="00EB5FF8" w:rsidP="007D7B32">
            <w:pPr>
              <w:pStyle w:val="ListParagraph"/>
              <w:numPr>
                <w:ilvl w:val="0"/>
                <w:numId w:val="47"/>
              </w:numPr>
              <w:rPr>
                <w:rFonts w:asciiTheme="minorHAnsi" w:hAnsiTheme="minorHAnsi" w:cstheme="minorHAnsi"/>
                <w:color w:val="000000"/>
                <w:szCs w:val="22"/>
              </w:rPr>
            </w:pPr>
            <w:r w:rsidRPr="00DD5BA3">
              <w:rPr>
                <w:rFonts w:asciiTheme="minorHAnsi" w:hAnsiTheme="minorHAnsi" w:cstheme="minorHAnsi"/>
                <w:color w:val="000000"/>
                <w:szCs w:val="22"/>
              </w:rPr>
              <w:t>Pooled investment f</w:t>
            </w:r>
            <w:r w:rsidR="00D7234A" w:rsidRPr="00DD5BA3">
              <w:rPr>
                <w:rFonts w:asciiTheme="minorHAnsi" w:hAnsiTheme="minorHAnsi" w:cstheme="minorHAnsi"/>
                <w:color w:val="000000"/>
                <w:szCs w:val="22"/>
              </w:rPr>
              <w:t>unds</w:t>
            </w:r>
          </w:p>
          <w:p w:rsidR="00EB5FF8" w:rsidRPr="00DD5BA3" w:rsidRDefault="00EB5FF8" w:rsidP="007D7B32">
            <w:pPr>
              <w:pStyle w:val="ListParagraph"/>
              <w:numPr>
                <w:ilvl w:val="0"/>
                <w:numId w:val="47"/>
              </w:numPr>
              <w:rPr>
                <w:rFonts w:asciiTheme="minorHAnsi" w:hAnsiTheme="minorHAnsi" w:cstheme="minorHAnsi"/>
                <w:color w:val="000000"/>
                <w:szCs w:val="22"/>
              </w:rPr>
            </w:pPr>
            <w:r w:rsidRPr="00DD5BA3">
              <w:rPr>
                <w:rFonts w:asciiTheme="minorHAnsi" w:hAnsiTheme="minorHAnsi" w:cstheme="minorHAnsi"/>
                <w:color w:val="000000"/>
                <w:szCs w:val="22"/>
              </w:rPr>
              <w:t>Pooled investment funds</w:t>
            </w:r>
          </w:p>
        </w:tc>
        <w:tc>
          <w:tcPr>
            <w:tcW w:w="812" w:type="dxa"/>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w:t>
            </w:r>
          </w:p>
          <w:p w:rsidR="00EB5FF8" w:rsidRPr="00DD5BA3" w:rsidRDefault="00EB5FF8"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w:t>
            </w:r>
          </w:p>
        </w:tc>
        <w:tc>
          <w:tcPr>
            <w:tcW w:w="1330" w:type="dxa"/>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17,607</w:t>
            </w:r>
          </w:p>
          <w:p w:rsidR="00EB5FF8" w:rsidRPr="00DD5BA3" w:rsidRDefault="00EB5FF8"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w:t>
            </w:r>
          </w:p>
        </w:tc>
        <w:tc>
          <w:tcPr>
            <w:tcW w:w="1441" w:type="dxa"/>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17,607</w:t>
            </w:r>
          </w:p>
          <w:p w:rsidR="00EB5FF8" w:rsidRPr="00DD5BA3" w:rsidRDefault="00EB5FF8"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w:t>
            </w:r>
          </w:p>
        </w:tc>
        <w:tc>
          <w:tcPr>
            <w:tcW w:w="1090" w:type="dxa"/>
            <w:shd w:val="clear" w:color="auto" w:fill="D9D9D9" w:themeFill="background1" w:themeFillShade="D9"/>
          </w:tcPr>
          <w:p w:rsidR="00D7234A" w:rsidRPr="00DD5BA3" w:rsidRDefault="0066246D"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20,236</w:t>
            </w:r>
            <w:r w:rsidR="00EB5FF8" w:rsidRPr="00DD5BA3">
              <w:rPr>
                <w:rFonts w:asciiTheme="minorHAnsi" w:hAnsiTheme="minorHAnsi" w:cstheme="minorHAnsi"/>
                <w:color w:val="000000"/>
                <w:sz w:val="22"/>
                <w:szCs w:val="22"/>
              </w:rPr>
              <w:br/>
              <w:t>9,515</w:t>
            </w:r>
          </w:p>
        </w:tc>
        <w:tc>
          <w:tcPr>
            <w:tcW w:w="1208" w:type="dxa"/>
            <w:shd w:val="clear" w:color="auto" w:fill="D9D9D9" w:themeFill="background1" w:themeFillShade="D9"/>
          </w:tcPr>
          <w:p w:rsidR="00D7234A" w:rsidRPr="00DD5BA3" w:rsidRDefault="0066246D"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20,236</w:t>
            </w:r>
            <w:r w:rsidR="00EB5FF8" w:rsidRPr="00DD5BA3">
              <w:rPr>
                <w:rFonts w:asciiTheme="minorHAnsi" w:hAnsiTheme="minorHAnsi" w:cstheme="minorHAnsi"/>
                <w:color w:val="000000"/>
                <w:sz w:val="22"/>
                <w:szCs w:val="22"/>
              </w:rPr>
              <w:br/>
              <w:t>9,515</w:t>
            </w:r>
          </w:p>
        </w:tc>
      </w:tr>
      <w:tr w:rsidR="00B5102B" w:rsidRPr="0068094B" w:rsidTr="00A72C6D">
        <w:trPr>
          <w:tblHeader/>
        </w:trPr>
        <w:tc>
          <w:tcPr>
            <w:tcW w:w="3583" w:type="dxa"/>
          </w:tcPr>
          <w:p w:rsidR="00B5102B" w:rsidRPr="00DD5BA3" w:rsidRDefault="00B5102B" w:rsidP="00C11D1C">
            <w:pPr>
              <w:rPr>
                <w:rFonts w:asciiTheme="minorHAnsi" w:hAnsiTheme="minorHAnsi" w:cstheme="minorHAnsi"/>
                <w:color w:val="000000"/>
                <w:sz w:val="22"/>
                <w:szCs w:val="22"/>
              </w:rPr>
            </w:pPr>
          </w:p>
        </w:tc>
        <w:tc>
          <w:tcPr>
            <w:tcW w:w="812" w:type="dxa"/>
          </w:tcPr>
          <w:p w:rsidR="00B5102B" w:rsidRPr="00DD5BA3" w:rsidRDefault="00B5102B" w:rsidP="00C11D1C">
            <w:pPr>
              <w:jc w:val="right"/>
              <w:rPr>
                <w:rFonts w:asciiTheme="minorHAnsi" w:hAnsiTheme="minorHAnsi" w:cstheme="minorHAnsi"/>
                <w:color w:val="000000"/>
                <w:sz w:val="22"/>
                <w:szCs w:val="22"/>
              </w:rPr>
            </w:pPr>
          </w:p>
        </w:tc>
        <w:tc>
          <w:tcPr>
            <w:tcW w:w="1330" w:type="dxa"/>
          </w:tcPr>
          <w:p w:rsidR="00B5102B" w:rsidRPr="00DD5BA3" w:rsidRDefault="00B5102B" w:rsidP="00C11D1C">
            <w:pPr>
              <w:jc w:val="right"/>
              <w:rPr>
                <w:rFonts w:asciiTheme="minorHAnsi" w:hAnsiTheme="minorHAnsi" w:cstheme="minorHAnsi"/>
                <w:color w:val="000000"/>
                <w:sz w:val="22"/>
                <w:szCs w:val="22"/>
              </w:rPr>
            </w:pPr>
          </w:p>
        </w:tc>
        <w:tc>
          <w:tcPr>
            <w:tcW w:w="1441" w:type="dxa"/>
          </w:tcPr>
          <w:p w:rsidR="00B5102B" w:rsidRPr="00DD5BA3" w:rsidRDefault="00B5102B"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rsidR="00B5102B" w:rsidRPr="00DD5BA3" w:rsidRDefault="00B5102B" w:rsidP="00C11D1C">
            <w:pPr>
              <w:jc w:val="right"/>
              <w:rPr>
                <w:rFonts w:asciiTheme="minorHAnsi" w:hAnsiTheme="minorHAnsi" w:cstheme="minorHAnsi"/>
                <w:color w:val="000000"/>
                <w:sz w:val="22"/>
                <w:szCs w:val="22"/>
              </w:rPr>
            </w:pPr>
          </w:p>
        </w:tc>
        <w:tc>
          <w:tcPr>
            <w:tcW w:w="1208" w:type="dxa"/>
            <w:shd w:val="clear" w:color="auto" w:fill="D9D9D9" w:themeFill="background1" w:themeFillShade="D9"/>
          </w:tcPr>
          <w:p w:rsidR="00B5102B" w:rsidRPr="00DD5BA3" w:rsidRDefault="00B5102B" w:rsidP="00C11D1C">
            <w:pPr>
              <w:jc w:val="right"/>
              <w:rPr>
                <w:rFonts w:asciiTheme="minorHAnsi" w:hAnsiTheme="minorHAnsi" w:cstheme="minorHAnsi"/>
                <w:color w:val="000000"/>
                <w:sz w:val="22"/>
                <w:szCs w:val="22"/>
              </w:rPr>
            </w:pPr>
          </w:p>
        </w:tc>
      </w:tr>
      <w:tr w:rsidR="00D7234A" w:rsidRPr="0068094B" w:rsidTr="00A72C6D">
        <w:trPr>
          <w:tblHeader/>
        </w:trPr>
        <w:tc>
          <w:tcPr>
            <w:tcW w:w="3583" w:type="dxa"/>
          </w:tcPr>
          <w:p w:rsidR="00D7234A" w:rsidRPr="00DD5BA3" w:rsidRDefault="00D7234A"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assets held at amortised cost</w:t>
            </w:r>
          </w:p>
        </w:tc>
        <w:tc>
          <w:tcPr>
            <w:tcW w:w="812" w:type="dxa"/>
          </w:tcPr>
          <w:p w:rsidR="00D7234A" w:rsidRPr="00DD5BA3" w:rsidRDefault="00D7234A" w:rsidP="00C11D1C">
            <w:pPr>
              <w:jc w:val="right"/>
              <w:rPr>
                <w:rFonts w:asciiTheme="minorHAnsi" w:hAnsiTheme="minorHAnsi" w:cstheme="minorHAnsi"/>
                <w:color w:val="000000"/>
                <w:sz w:val="22"/>
                <w:szCs w:val="22"/>
              </w:rPr>
            </w:pPr>
          </w:p>
        </w:tc>
        <w:tc>
          <w:tcPr>
            <w:tcW w:w="1330" w:type="dxa"/>
          </w:tcPr>
          <w:p w:rsidR="00D7234A" w:rsidRPr="00DD5BA3" w:rsidRDefault="00D7234A" w:rsidP="00C11D1C">
            <w:pPr>
              <w:jc w:val="right"/>
              <w:rPr>
                <w:rFonts w:asciiTheme="minorHAnsi" w:hAnsiTheme="minorHAnsi" w:cstheme="minorHAnsi"/>
                <w:color w:val="000000"/>
                <w:sz w:val="22"/>
                <w:szCs w:val="22"/>
              </w:rPr>
            </w:pPr>
          </w:p>
        </w:tc>
        <w:tc>
          <w:tcPr>
            <w:tcW w:w="1441" w:type="dxa"/>
          </w:tcPr>
          <w:p w:rsidR="00D7234A" w:rsidRPr="00DD5BA3" w:rsidRDefault="00D7234A"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rsidR="00D7234A" w:rsidRPr="00DD5BA3" w:rsidRDefault="00D7234A" w:rsidP="00C11D1C">
            <w:pPr>
              <w:jc w:val="right"/>
              <w:rPr>
                <w:rFonts w:asciiTheme="minorHAnsi" w:hAnsiTheme="minorHAnsi" w:cstheme="minorHAnsi"/>
                <w:color w:val="000000"/>
                <w:sz w:val="22"/>
                <w:szCs w:val="22"/>
              </w:rPr>
            </w:pP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color w:val="000000"/>
                <w:sz w:val="22"/>
                <w:szCs w:val="22"/>
              </w:rPr>
            </w:pPr>
          </w:p>
        </w:tc>
      </w:tr>
      <w:tr w:rsidR="00D7234A" w:rsidRPr="0068094B" w:rsidTr="00A72C6D">
        <w:trPr>
          <w:tblHeader/>
        </w:trPr>
        <w:tc>
          <w:tcPr>
            <w:tcW w:w="3583" w:type="dxa"/>
          </w:tcPr>
          <w:p w:rsidR="00D7234A" w:rsidRPr="00DD5BA3" w:rsidRDefault="00D7234A" w:rsidP="007D7B32">
            <w:pPr>
              <w:pStyle w:val="ListParagraph"/>
              <w:numPr>
                <w:ilvl w:val="0"/>
                <w:numId w:val="47"/>
              </w:numPr>
              <w:rPr>
                <w:rFonts w:asciiTheme="minorHAnsi" w:hAnsiTheme="minorHAnsi" w:cstheme="minorHAnsi"/>
                <w:color w:val="000000"/>
                <w:szCs w:val="22"/>
              </w:rPr>
            </w:pPr>
            <w:r w:rsidRPr="00DD5BA3">
              <w:rPr>
                <w:rFonts w:asciiTheme="minorHAnsi" w:hAnsiTheme="minorHAnsi" w:cstheme="minorHAnsi"/>
                <w:color w:val="000000"/>
                <w:szCs w:val="22"/>
              </w:rPr>
              <w:t>Long term loans to local authorities</w:t>
            </w:r>
          </w:p>
          <w:p w:rsidR="00D7234A" w:rsidRPr="00DD5BA3" w:rsidRDefault="00D7234A" w:rsidP="007D7B32">
            <w:pPr>
              <w:pStyle w:val="ListParagraph"/>
              <w:numPr>
                <w:ilvl w:val="0"/>
                <w:numId w:val="47"/>
              </w:numPr>
              <w:rPr>
                <w:rFonts w:asciiTheme="minorHAnsi" w:hAnsiTheme="minorHAnsi" w:cstheme="minorHAnsi"/>
                <w:color w:val="000000"/>
                <w:szCs w:val="22"/>
              </w:rPr>
            </w:pPr>
            <w:r w:rsidRPr="00DD5BA3">
              <w:rPr>
                <w:rFonts w:asciiTheme="minorHAnsi" w:hAnsiTheme="minorHAnsi" w:cstheme="minorHAnsi"/>
                <w:color w:val="000000"/>
                <w:szCs w:val="22"/>
              </w:rPr>
              <w:t>Lease receivables</w:t>
            </w:r>
          </w:p>
          <w:p w:rsidR="00D7234A" w:rsidRPr="00DD5BA3" w:rsidRDefault="00D7234A" w:rsidP="00C11D1C">
            <w:pPr>
              <w:pStyle w:val="ListParagraph"/>
              <w:rPr>
                <w:rFonts w:asciiTheme="minorHAnsi" w:hAnsiTheme="minorHAnsi" w:cstheme="minorHAnsi"/>
                <w:color w:val="000000"/>
                <w:szCs w:val="22"/>
              </w:rPr>
            </w:pPr>
          </w:p>
        </w:tc>
        <w:tc>
          <w:tcPr>
            <w:tcW w:w="812" w:type="dxa"/>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w:t>
            </w:r>
          </w:p>
          <w:p w:rsidR="00D7234A" w:rsidRPr="00DD5BA3" w:rsidRDefault="00D7234A" w:rsidP="00C11D1C">
            <w:pPr>
              <w:jc w:val="right"/>
              <w:rPr>
                <w:rFonts w:asciiTheme="minorHAnsi" w:hAnsiTheme="minorHAnsi" w:cstheme="minorHAnsi"/>
                <w:color w:val="000000"/>
                <w:sz w:val="22"/>
                <w:szCs w:val="22"/>
              </w:rPr>
            </w:pPr>
          </w:p>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w:t>
            </w:r>
          </w:p>
        </w:tc>
        <w:tc>
          <w:tcPr>
            <w:tcW w:w="1330" w:type="dxa"/>
            <w:tcBorders>
              <w:bottom w:val="single" w:sz="4" w:space="0" w:color="auto"/>
            </w:tcBorders>
          </w:tcPr>
          <w:p w:rsidR="00D7234A" w:rsidRPr="00DD5BA3" w:rsidRDefault="00D7234A" w:rsidP="006B63F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3,000</w:t>
            </w:r>
          </w:p>
          <w:p w:rsidR="00D7234A" w:rsidRPr="00DD5BA3" w:rsidRDefault="00D7234A" w:rsidP="006B63F0">
            <w:pPr>
              <w:jc w:val="right"/>
              <w:rPr>
                <w:rFonts w:asciiTheme="minorHAnsi" w:hAnsiTheme="minorHAnsi" w:cstheme="minorHAnsi"/>
                <w:color w:val="000000"/>
                <w:sz w:val="22"/>
                <w:szCs w:val="22"/>
              </w:rPr>
            </w:pPr>
          </w:p>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737</w:t>
            </w:r>
          </w:p>
        </w:tc>
        <w:tc>
          <w:tcPr>
            <w:tcW w:w="1441" w:type="dxa"/>
            <w:tcBorders>
              <w:bottom w:val="single" w:sz="4" w:space="0" w:color="auto"/>
            </w:tcBorders>
          </w:tcPr>
          <w:p w:rsidR="00D7234A" w:rsidRPr="00DD5BA3" w:rsidRDefault="00D7234A" w:rsidP="006B63F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3,069</w:t>
            </w:r>
          </w:p>
          <w:p w:rsidR="00D7234A" w:rsidRPr="00DD5BA3" w:rsidRDefault="00D7234A" w:rsidP="006B63F0">
            <w:pPr>
              <w:jc w:val="right"/>
              <w:rPr>
                <w:rFonts w:asciiTheme="minorHAnsi" w:hAnsiTheme="minorHAnsi" w:cstheme="minorHAnsi"/>
                <w:color w:val="000000"/>
                <w:sz w:val="22"/>
                <w:szCs w:val="22"/>
              </w:rPr>
            </w:pPr>
          </w:p>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2,230</w:t>
            </w:r>
          </w:p>
        </w:tc>
        <w:tc>
          <w:tcPr>
            <w:tcW w:w="1090" w:type="dxa"/>
            <w:tcBorders>
              <w:bottom w:val="single" w:sz="4" w:space="0" w:color="auto"/>
            </w:tcBorders>
            <w:shd w:val="clear" w:color="auto" w:fill="D9D9D9" w:themeFill="background1" w:themeFillShade="D9"/>
          </w:tcPr>
          <w:p w:rsidR="00D7234A" w:rsidRPr="00DD5BA3" w:rsidRDefault="00300ACF"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w:t>
            </w:r>
          </w:p>
          <w:p w:rsidR="00897B6A" w:rsidRPr="00DD5BA3" w:rsidRDefault="00897B6A" w:rsidP="00C11D1C">
            <w:pPr>
              <w:jc w:val="right"/>
              <w:rPr>
                <w:rFonts w:asciiTheme="minorHAnsi" w:hAnsiTheme="minorHAnsi" w:cstheme="minorHAnsi"/>
                <w:color w:val="000000"/>
                <w:sz w:val="22"/>
                <w:szCs w:val="22"/>
              </w:rPr>
            </w:pPr>
          </w:p>
          <w:p w:rsidR="00897B6A" w:rsidRPr="00DD5BA3" w:rsidRDefault="00897B6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700</w:t>
            </w:r>
          </w:p>
        </w:tc>
        <w:tc>
          <w:tcPr>
            <w:tcW w:w="1208" w:type="dxa"/>
            <w:tcBorders>
              <w:bottom w:val="single" w:sz="4" w:space="0" w:color="auto"/>
            </w:tcBorders>
            <w:shd w:val="clear" w:color="auto" w:fill="D9D9D9" w:themeFill="background1" w:themeFillShade="D9"/>
          </w:tcPr>
          <w:p w:rsidR="00D7234A" w:rsidRPr="00DD5BA3" w:rsidRDefault="00300ACF"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w:t>
            </w:r>
          </w:p>
          <w:p w:rsidR="00897B6A" w:rsidRPr="00DD5BA3" w:rsidRDefault="00897B6A" w:rsidP="00C11D1C">
            <w:pPr>
              <w:jc w:val="right"/>
              <w:rPr>
                <w:rFonts w:asciiTheme="minorHAnsi" w:hAnsiTheme="minorHAnsi" w:cstheme="minorHAnsi"/>
                <w:color w:val="000000"/>
                <w:sz w:val="22"/>
                <w:szCs w:val="22"/>
              </w:rPr>
            </w:pPr>
          </w:p>
          <w:p w:rsidR="00897B6A" w:rsidRPr="00DD5BA3" w:rsidRDefault="00897B6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2,115</w:t>
            </w:r>
          </w:p>
        </w:tc>
      </w:tr>
      <w:tr w:rsidR="00D7234A" w:rsidRPr="0068094B" w:rsidTr="00A72C6D">
        <w:trPr>
          <w:trHeight w:val="349"/>
          <w:tblHeader/>
        </w:trPr>
        <w:tc>
          <w:tcPr>
            <w:tcW w:w="3583" w:type="dxa"/>
          </w:tcPr>
          <w:p w:rsidR="00D7234A" w:rsidRPr="00DD5BA3" w:rsidRDefault="00D7234A"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Total</w:t>
            </w:r>
          </w:p>
        </w:tc>
        <w:tc>
          <w:tcPr>
            <w:tcW w:w="812" w:type="dxa"/>
          </w:tcPr>
          <w:p w:rsidR="00D7234A" w:rsidRPr="00DD5BA3" w:rsidRDefault="00D7234A" w:rsidP="00C11D1C">
            <w:pPr>
              <w:jc w:val="right"/>
              <w:rPr>
                <w:rFonts w:asciiTheme="minorHAnsi" w:hAnsiTheme="minorHAnsi" w:cstheme="minorHAnsi"/>
                <w:color w:val="000000"/>
                <w:sz w:val="22"/>
                <w:szCs w:val="22"/>
              </w:rPr>
            </w:pPr>
          </w:p>
        </w:tc>
        <w:tc>
          <w:tcPr>
            <w:tcW w:w="1330" w:type="dxa"/>
            <w:tcBorders>
              <w:top w:val="single" w:sz="4" w:space="0" w:color="auto"/>
            </w:tcBorders>
            <w:vAlign w:val="center"/>
          </w:tcPr>
          <w:p w:rsidR="00D7234A" w:rsidRPr="00DD5BA3" w:rsidRDefault="00D7234A" w:rsidP="00C76435">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25,694</w:t>
            </w:r>
          </w:p>
        </w:tc>
        <w:tc>
          <w:tcPr>
            <w:tcW w:w="1441" w:type="dxa"/>
            <w:tcBorders>
              <w:top w:val="single" w:sz="4" w:space="0" w:color="auto"/>
            </w:tcBorders>
            <w:vAlign w:val="center"/>
          </w:tcPr>
          <w:p w:rsidR="00D7234A" w:rsidRPr="00DD5BA3" w:rsidRDefault="00D7234A" w:rsidP="00C76435">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27,256</w:t>
            </w:r>
          </w:p>
        </w:tc>
        <w:tc>
          <w:tcPr>
            <w:tcW w:w="1090" w:type="dxa"/>
            <w:tcBorders>
              <w:top w:val="single" w:sz="4" w:space="0" w:color="auto"/>
            </w:tcBorders>
            <w:shd w:val="clear" w:color="auto" w:fill="D9D9D9" w:themeFill="background1" w:themeFillShade="D9"/>
            <w:vAlign w:val="center"/>
          </w:tcPr>
          <w:p w:rsidR="00D7234A" w:rsidRPr="00DD5BA3" w:rsidRDefault="00897B6A" w:rsidP="00C76435">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36,501</w:t>
            </w:r>
          </w:p>
        </w:tc>
        <w:tc>
          <w:tcPr>
            <w:tcW w:w="1208" w:type="dxa"/>
            <w:tcBorders>
              <w:top w:val="single" w:sz="4" w:space="0" w:color="auto"/>
            </w:tcBorders>
            <w:shd w:val="clear" w:color="auto" w:fill="D9D9D9" w:themeFill="background1" w:themeFillShade="D9"/>
            <w:vAlign w:val="center"/>
          </w:tcPr>
          <w:p w:rsidR="00D7234A" w:rsidRPr="00DD5BA3" w:rsidRDefault="00897B6A" w:rsidP="00C76435">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37,916</w:t>
            </w:r>
          </w:p>
        </w:tc>
      </w:tr>
      <w:tr w:rsidR="00D7234A" w:rsidRPr="0068094B" w:rsidTr="00A72C6D">
        <w:trPr>
          <w:tblHeader/>
        </w:trPr>
        <w:tc>
          <w:tcPr>
            <w:tcW w:w="3583" w:type="dxa"/>
          </w:tcPr>
          <w:p w:rsidR="00D7234A" w:rsidRPr="00DD5BA3" w:rsidRDefault="00D7234A" w:rsidP="00C11D1C">
            <w:pPr>
              <w:rPr>
                <w:rFonts w:asciiTheme="minorHAnsi" w:hAnsiTheme="minorHAnsi" w:cstheme="minorHAnsi"/>
                <w:color w:val="000000"/>
                <w:sz w:val="22"/>
                <w:szCs w:val="22"/>
              </w:rPr>
            </w:pPr>
          </w:p>
        </w:tc>
        <w:tc>
          <w:tcPr>
            <w:tcW w:w="812" w:type="dxa"/>
          </w:tcPr>
          <w:p w:rsidR="00D7234A" w:rsidRPr="00DD5BA3" w:rsidRDefault="00D7234A" w:rsidP="00C11D1C">
            <w:pPr>
              <w:jc w:val="right"/>
              <w:rPr>
                <w:rFonts w:asciiTheme="minorHAnsi" w:hAnsiTheme="minorHAnsi" w:cstheme="minorHAnsi"/>
                <w:color w:val="000000"/>
                <w:sz w:val="22"/>
                <w:szCs w:val="22"/>
              </w:rPr>
            </w:pPr>
          </w:p>
        </w:tc>
        <w:tc>
          <w:tcPr>
            <w:tcW w:w="1330" w:type="dxa"/>
          </w:tcPr>
          <w:p w:rsidR="00D7234A" w:rsidRPr="00DD5BA3" w:rsidRDefault="00D7234A" w:rsidP="00C11D1C">
            <w:pPr>
              <w:jc w:val="right"/>
              <w:rPr>
                <w:rFonts w:asciiTheme="minorHAnsi" w:hAnsiTheme="minorHAnsi" w:cstheme="minorHAnsi"/>
                <w:color w:val="000000"/>
                <w:sz w:val="22"/>
                <w:szCs w:val="22"/>
              </w:rPr>
            </w:pPr>
          </w:p>
        </w:tc>
        <w:tc>
          <w:tcPr>
            <w:tcW w:w="1441" w:type="dxa"/>
          </w:tcPr>
          <w:p w:rsidR="00D7234A" w:rsidRPr="00DD5BA3" w:rsidRDefault="00D7234A"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rsidR="00D7234A" w:rsidRPr="00DD5BA3" w:rsidRDefault="00D7234A">
            <w:pPr>
              <w:jc w:val="right"/>
              <w:rPr>
                <w:rFonts w:asciiTheme="minorHAnsi" w:hAnsiTheme="minorHAnsi" w:cstheme="minorHAnsi"/>
                <w:color w:val="000000"/>
                <w:sz w:val="22"/>
                <w:szCs w:val="22"/>
              </w:rPr>
            </w:pP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color w:val="000000"/>
                <w:sz w:val="22"/>
                <w:szCs w:val="22"/>
              </w:rPr>
            </w:pPr>
          </w:p>
        </w:tc>
      </w:tr>
      <w:tr w:rsidR="00D7234A" w:rsidRPr="0068094B" w:rsidTr="00A72C6D">
        <w:trPr>
          <w:tblHeader/>
        </w:trPr>
        <w:tc>
          <w:tcPr>
            <w:tcW w:w="3583" w:type="dxa"/>
          </w:tcPr>
          <w:p w:rsidR="00D7234A" w:rsidRPr="00DD5BA3" w:rsidRDefault="00D7234A"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Assets for which a fair value is not disclosed</w:t>
            </w:r>
          </w:p>
        </w:tc>
        <w:tc>
          <w:tcPr>
            <w:tcW w:w="812" w:type="dxa"/>
          </w:tcPr>
          <w:p w:rsidR="00D7234A" w:rsidRPr="00DD5BA3" w:rsidRDefault="00D7234A" w:rsidP="00C11D1C">
            <w:pPr>
              <w:jc w:val="right"/>
              <w:rPr>
                <w:rFonts w:asciiTheme="minorHAnsi" w:hAnsiTheme="minorHAnsi" w:cstheme="minorHAnsi"/>
                <w:color w:val="000000"/>
                <w:sz w:val="22"/>
                <w:szCs w:val="22"/>
              </w:rPr>
            </w:pPr>
          </w:p>
        </w:tc>
        <w:tc>
          <w:tcPr>
            <w:tcW w:w="1330" w:type="dxa"/>
            <w:tcBorders>
              <w:bottom w:val="single" w:sz="4" w:space="0" w:color="auto"/>
            </w:tcBorders>
          </w:tcPr>
          <w:p w:rsidR="00D7234A" w:rsidRPr="00DD5BA3" w:rsidRDefault="00897B6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46,399</w:t>
            </w:r>
          </w:p>
        </w:tc>
        <w:tc>
          <w:tcPr>
            <w:tcW w:w="1441" w:type="dxa"/>
          </w:tcPr>
          <w:p w:rsidR="00D7234A" w:rsidRPr="00DD5BA3" w:rsidRDefault="00D7234A" w:rsidP="00C11D1C">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rsidR="00D7234A" w:rsidRPr="00DD5BA3" w:rsidRDefault="00FA1D4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38</w:t>
            </w:r>
            <w:r w:rsidR="00CE2F98" w:rsidRPr="00DD5BA3">
              <w:rPr>
                <w:rFonts w:asciiTheme="minorHAnsi" w:hAnsiTheme="minorHAnsi" w:cstheme="minorHAnsi"/>
                <w:color w:val="000000"/>
                <w:sz w:val="22"/>
                <w:szCs w:val="22"/>
              </w:rPr>
              <w:t>,0</w:t>
            </w:r>
            <w:r w:rsidRPr="00DD5BA3">
              <w:rPr>
                <w:rFonts w:asciiTheme="minorHAnsi" w:hAnsiTheme="minorHAnsi" w:cstheme="minorHAnsi"/>
                <w:color w:val="000000"/>
                <w:sz w:val="22"/>
                <w:szCs w:val="22"/>
              </w:rPr>
              <w:t>94</w:t>
            </w: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color w:val="000000"/>
                <w:sz w:val="22"/>
                <w:szCs w:val="22"/>
              </w:rPr>
            </w:pPr>
          </w:p>
        </w:tc>
      </w:tr>
      <w:tr w:rsidR="00D7234A" w:rsidRPr="0068094B" w:rsidTr="00A72C6D">
        <w:trPr>
          <w:trHeight w:val="289"/>
          <w:tblHeader/>
        </w:trPr>
        <w:tc>
          <w:tcPr>
            <w:tcW w:w="3583" w:type="dxa"/>
          </w:tcPr>
          <w:p w:rsidR="00D7234A" w:rsidRPr="00DD5BA3" w:rsidRDefault="00D7234A" w:rsidP="00C11D1C">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assets</w:t>
            </w:r>
          </w:p>
        </w:tc>
        <w:tc>
          <w:tcPr>
            <w:tcW w:w="812" w:type="dxa"/>
          </w:tcPr>
          <w:p w:rsidR="00D7234A" w:rsidRPr="00DD5BA3" w:rsidRDefault="00D7234A" w:rsidP="00C11D1C">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vAlign w:val="center"/>
          </w:tcPr>
          <w:p w:rsidR="00D7234A" w:rsidRPr="00DD5BA3" w:rsidRDefault="00D7234A" w:rsidP="00253257">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72,0</w:t>
            </w:r>
            <w:r w:rsidR="00253257" w:rsidRPr="00DD5BA3">
              <w:rPr>
                <w:rFonts w:asciiTheme="minorHAnsi" w:hAnsiTheme="minorHAnsi" w:cstheme="minorHAnsi"/>
                <w:color w:val="000000"/>
                <w:sz w:val="22"/>
                <w:szCs w:val="22"/>
              </w:rPr>
              <w:t>93</w:t>
            </w:r>
          </w:p>
        </w:tc>
        <w:tc>
          <w:tcPr>
            <w:tcW w:w="1441" w:type="dxa"/>
          </w:tcPr>
          <w:p w:rsidR="00D7234A" w:rsidRPr="00DD5BA3" w:rsidRDefault="00D7234A" w:rsidP="00C76435">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rsidR="00D7234A" w:rsidRPr="00DD5BA3" w:rsidRDefault="00CE2F98" w:rsidP="009E3A0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74,5</w:t>
            </w:r>
            <w:r w:rsidR="00FA1D49" w:rsidRPr="00DD5BA3">
              <w:rPr>
                <w:rFonts w:asciiTheme="minorHAnsi" w:hAnsiTheme="minorHAnsi" w:cstheme="minorHAnsi"/>
                <w:color w:val="000000"/>
                <w:sz w:val="22"/>
                <w:szCs w:val="22"/>
              </w:rPr>
              <w:t>95</w:t>
            </w: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b/>
                <w:color w:val="000000"/>
                <w:sz w:val="22"/>
                <w:szCs w:val="22"/>
              </w:rPr>
            </w:pPr>
          </w:p>
        </w:tc>
      </w:tr>
      <w:tr w:rsidR="00D7234A" w:rsidRPr="0068094B" w:rsidTr="00A72C6D">
        <w:trPr>
          <w:tblHeader/>
        </w:trPr>
        <w:tc>
          <w:tcPr>
            <w:tcW w:w="3583" w:type="dxa"/>
          </w:tcPr>
          <w:p w:rsidR="00D7234A" w:rsidRPr="00DD5BA3" w:rsidRDefault="00D7234A" w:rsidP="009F2360">
            <w:pPr>
              <w:rPr>
                <w:rFonts w:asciiTheme="minorHAnsi" w:hAnsiTheme="minorHAnsi" w:cstheme="minorHAnsi"/>
                <w:b/>
                <w:color w:val="000000"/>
                <w:sz w:val="22"/>
                <w:szCs w:val="22"/>
              </w:rPr>
            </w:pPr>
          </w:p>
          <w:p w:rsidR="00D7234A" w:rsidRPr="00DD5BA3" w:rsidRDefault="00D7234A" w:rsidP="009F2360">
            <w:pPr>
              <w:rPr>
                <w:rFonts w:asciiTheme="minorHAnsi" w:hAnsiTheme="minorHAnsi" w:cstheme="minorHAnsi"/>
                <w:color w:val="000000"/>
                <w:sz w:val="22"/>
                <w:szCs w:val="22"/>
              </w:rPr>
            </w:pPr>
            <w:r w:rsidRPr="00DD5BA3">
              <w:rPr>
                <w:rFonts w:asciiTheme="minorHAnsi" w:hAnsiTheme="minorHAnsi" w:cstheme="minorHAnsi"/>
                <w:color w:val="000000"/>
                <w:sz w:val="22"/>
                <w:szCs w:val="22"/>
              </w:rPr>
              <w:t>Recorded on the Balance sheet as:</w:t>
            </w:r>
          </w:p>
        </w:tc>
        <w:tc>
          <w:tcPr>
            <w:tcW w:w="812" w:type="dxa"/>
          </w:tcPr>
          <w:p w:rsidR="00D7234A" w:rsidRPr="00DD5BA3" w:rsidRDefault="00D7234A" w:rsidP="009F2360">
            <w:pPr>
              <w:jc w:val="right"/>
              <w:rPr>
                <w:rFonts w:asciiTheme="minorHAnsi" w:hAnsiTheme="minorHAnsi" w:cstheme="minorHAnsi"/>
                <w:b/>
                <w:color w:val="000000"/>
                <w:sz w:val="22"/>
                <w:szCs w:val="22"/>
              </w:rPr>
            </w:pPr>
          </w:p>
        </w:tc>
        <w:tc>
          <w:tcPr>
            <w:tcW w:w="1330" w:type="dxa"/>
            <w:tcBorders>
              <w:top w:val="single" w:sz="4" w:space="0" w:color="auto"/>
            </w:tcBorders>
          </w:tcPr>
          <w:p w:rsidR="00D7234A" w:rsidRPr="00DD5BA3" w:rsidRDefault="00D7234A" w:rsidP="009F2360">
            <w:pPr>
              <w:jc w:val="right"/>
              <w:rPr>
                <w:rFonts w:asciiTheme="minorHAnsi" w:hAnsiTheme="minorHAnsi" w:cstheme="minorHAnsi"/>
                <w:b/>
                <w:color w:val="000000"/>
                <w:sz w:val="22"/>
                <w:szCs w:val="22"/>
              </w:rPr>
            </w:pPr>
          </w:p>
        </w:tc>
        <w:tc>
          <w:tcPr>
            <w:tcW w:w="1441" w:type="dxa"/>
          </w:tcPr>
          <w:p w:rsidR="00D7234A" w:rsidRPr="00DD5BA3" w:rsidRDefault="00D7234A" w:rsidP="009F2360">
            <w:pPr>
              <w:jc w:val="right"/>
              <w:rPr>
                <w:rFonts w:asciiTheme="minorHAnsi" w:hAnsiTheme="minorHAnsi" w:cstheme="minorHAnsi"/>
                <w:b/>
                <w:color w:val="000000"/>
                <w:sz w:val="22"/>
                <w:szCs w:val="22"/>
              </w:rPr>
            </w:pPr>
          </w:p>
        </w:tc>
        <w:tc>
          <w:tcPr>
            <w:tcW w:w="1090" w:type="dxa"/>
            <w:tcBorders>
              <w:top w:val="single" w:sz="4" w:space="0" w:color="auto"/>
            </w:tcBorders>
            <w:shd w:val="clear" w:color="auto" w:fill="D9D9D9" w:themeFill="background1" w:themeFillShade="D9"/>
          </w:tcPr>
          <w:p w:rsidR="00D7234A" w:rsidRPr="00DD5BA3" w:rsidRDefault="00D7234A" w:rsidP="009F2360">
            <w:pPr>
              <w:jc w:val="right"/>
              <w:rPr>
                <w:rFonts w:asciiTheme="minorHAnsi" w:hAnsiTheme="minorHAnsi" w:cstheme="minorHAnsi"/>
                <w:b/>
                <w:color w:val="000000"/>
                <w:sz w:val="22"/>
                <w:szCs w:val="22"/>
              </w:rPr>
            </w:pPr>
          </w:p>
        </w:tc>
        <w:tc>
          <w:tcPr>
            <w:tcW w:w="1208" w:type="dxa"/>
            <w:shd w:val="clear" w:color="auto" w:fill="D9D9D9" w:themeFill="background1" w:themeFillShade="D9"/>
          </w:tcPr>
          <w:p w:rsidR="00D7234A" w:rsidRPr="00DD5BA3" w:rsidRDefault="00D7234A" w:rsidP="009F2360">
            <w:pPr>
              <w:jc w:val="right"/>
              <w:rPr>
                <w:rFonts w:asciiTheme="minorHAnsi" w:hAnsiTheme="minorHAnsi" w:cstheme="minorHAnsi"/>
                <w:b/>
                <w:color w:val="000000"/>
                <w:sz w:val="22"/>
                <w:szCs w:val="22"/>
              </w:rPr>
            </w:pPr>
          </w:p>
        </w:tc>
      </w:tr>
      <w:tr w:rsidR="00D7234A" w:rsidRPr="0068094B" w:rsidTr="00A72C6D">
        <w:trPr>
          <w:tblHeader/>
        </w:trPr>
        <w:tc>
          <w:tcPr>
            <w:tcW w:w="3583" w:type="dxa"/>
          </w:tcPr>
          <w:p w:rsidR="00D7234A" w:rsidRPr="00DD5BA3" w:rsidRDefault="00D7234A"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Long-term debtors</w:t>
            </w:r>
          </w:p>
        </w:tc>
        <w:tc>
          <w:tcPr>
            <w:tcW w:w="812" w:type="dxa"/>
          </w:tcPr>
          <w:p w:rsidR="00D7234A" w:rsidRPr="00DD5BA3" w:rsidRDefault="00D7234A" w:rsidP="00C11D1C">
            <w:pPr>
              <w:jc w:val="right"/>
              <w:rPr>
                <w:rFonts w:asciiTheme="minorHAnsi" w:hAnsiTheme="minorHAnsi" w:cstheme="minorHAnsi"/>
                <w:color w:val="000000"/>
                <w:sz w:val="22"/>
                <w:szCs w:val="22"/>
              </w:rPr>
            </w:pPr>
          </w:p>
        </w:tc>
        <w:tc>
          <w:tcPr>
            <w:tcW w:w="1330" w:type="dxa"/>
          </w:tcPr>
          <w:p w:rsidR="00D7234A" w:rsidRPr="00DD5BA3" w:rsidRDefault="00D7234A" w:rsidP="00030BC2">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1,137</w:t>
            </w:r>
          </w:p>
        </w:tc>
        <w:tc>
          <w:tcPr>
            <w:tcW w:w="1441" w:type="dxa"/>
          </w:tcPr>
          <w:p w:rsidR="00D7234A" w:rsidRPr="00DD5BA3" w:rsidRDefault="00D7234A"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rsidR="00D7234A" w:rsidRPr="00DD5BA3" w:rsidRDefault="00897B6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1,093</w:t>
            </w: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color w:val="000000"/>
                <w:sz w:val="22"/>
                <w:szCs w:val="22"/>
              </w:rPr>
            </w:pPr>
          </w:p>
        </w:tc>
      </w:tr>
      <w:tr w:rsidR="00D7234A" w:rsidRPr="0068094B" w:rsidTr="00A72C6D">
        <w:trPr>
          <w:tblHeader/>
        </w:trPr>
        <w:tc>
          <w:tcPr>
            <w:tcW w:w="3583" w:type="dxa"/>
          </w:tcPr>
          <w:p w:rsidR="00D7234A" w:rsidRPr="0068094B" w:rsidRDefault="00D7234A" w:rsidP="00C11D1C">
            <w:pPr>
              <w:rPr>
                <w:rFonts w:asciiTheme="minorHAnsi" w:hAnsiTheme="minorHAnsi" w:cstheme="minorHAnsi"/>
                <w:color w:val="000000"/>
                <w:sz w:val="22"/>
                <w:szCs w:val="22"/>
              </w:rPr>
            </w:pPr>
            <w:r w:rsidRPr="0068094B">
              <w:rPr>
                <w:rFonts w:asciiTheme="minorHAnsi" w:hAnsiTheme="minorHAnsi" w:cstheme="minorHAnsi"/>
                <w:color w:val="000000"/>
                <w:sz w:val="22"/>
                <w:szCs w:val="22"/>
              </w:rPr>
              <w:t>Long-term investments</w:t>
            </w:r>
          </w:p>
        </w:tc>
        <w:tc>
          <w:tcPr>
            <w:tcW w:w="812" w:type="dxa"/>
          </w:tcPr>
          <w:p w:rsidR="00D7234A" w:rsidRPr="0068094B" w:rsidRDefault="00D7234A" w:rsidP="00C11D1C">
            <w:pPr>
              <w:jc w:val="right"/>
              <w:rPr>
                <w:rFonts w:asciiTheme="minorHAnsi" w:hAnsiTheme="minorHAnsi" w:cstheme="minorHAnsi"/>
                <w:color w:val="000000"/>
                <w:sz w:val="22"/>
                <w:szCs w:val="22"/>
              </w:rPr>
            </w:pPr>
          </w:p>
        </w:tc>
        <w:tc>
          <w:tcPr>
            <w:tcW w:w="1330" w:type="dxa"/>
          </w:tcPr>
          <w:p w:rsidR="00D7234A" w:rsidRPr="0068094B" w:rsidRDefault="00D7234A" w:rsidP="00C11D1C">
            <w:pPr>
              <w:jc w:val="right"/>
              <w:rPr>
                <w:rFonts w:asciiTheme="minorHAnsi" w:hAnsiTheme="minorHAnsi" w:cstheme="minorHAnsi"/>
                <w:color w:val="000000"/>
                <w:sz w:val="22"/>
                <w:szCs w:val="22"/>
              </w:rPr>
            </w:pPr>
            <w:r w:rsidRPr="00D16CC2">
              <w:rPr>
                <w:rFonts w:asciiTheme="minorHAnsi" w:hAnsiTheme="minorHAnsi" w:cstheme="minorHAnsi"/>
                <w:color w:val="000000"/>
                <w:sz w:val="22"/>
                <w:szCs w:val="22"/>
              </w:rPr>
              <w:t>20,607</w:t>
            </w:r>
          </w:p>
        </w:tc>
        <w:tc>
          <w:tcPr>
            <w:tcW w:w="1441" w:type="dxa"/>
          </w:tcPr>
          <w:p w:rsidR="00D7234A" w:rsidRPr="0068094B" w:rsidRDefault="00D7234A"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rsidR="00D7234A" w:rsidRPr="00D16CC2" w:rsidRDefault="00A77B75"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29,751</w:t>
            </w:r>
          </w:p>
        </w:tc>
        <w:tc>
          <w:tcPr>
            <w:tcW w:w="1208" w:type="dxa"/>
            <w:shd w:val="clear" w:color="auto" w:fill="D9D9D9" w:themeFill="background1" w:themeFillShade="D9"/>
          </w:tcPr>
          <w:p w:rsidR="00D7234A" w:rsidRPr="0068094B" w:rsidRDefault="00D7234A" w:rsidP="00C11D1C">
            <w:pPr>
              <w:jc w:val="right"/>
              <w:rPr>
                <w:rFonts w:asciiTheme="minorHAnsi" w:hAnsiTheme="minorHAnsi" w:cstheme="minorHAnsi"/>
                <w:color w:val="000000"/>
                <w:sz w:val="22"/>
                <w:szCs w:val="22"/>
              </w:rPr>
            </w:pPr>
          </w:p>
        </w:tc>
      </w:tr>
      <w:tr w:rsidR="00D7234A" w:rsidRPr="00DD5BA3" w:rsidTr="00A72C6D">
        <w:trPr>
          <w:tblHeader/>
        </w:trPr>
        <w:tc>
          <w:tcPr>
            <w:tcW w:w="3583" w:type="dxa"/>
          </w:tcPr>
          <w:p w:rsidR="00D7234A" w:rsidRPr="00DD5BA3" w:rsidRDefault="00D7234A"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Short-term debtors</w:t>
            </w:r>
          </w:p>
        </w:tc>
        <w:tc>
          <w:tcPr>
            <w:tcW w:w="812" w:type="dxa"/>
          </w:tcPr>
          <w:p w:rsidR="00D7234A" w:rsidRPr="00DD5BA3" w:rsidRDefault="00D7234A" w:rsidP="00C11D1C">
            <w:pPr>
              <w:jc w:val="right"/>
              <w:rPr>
                <w:rFonts w:asciiTheme="minorHAnsi" w:hAnsiTheme="minorHAnsi" w:cstheme="minorHAnsi"/>
                <w:color w:val="000000"/>
                <w:sz w:val="22"/>
                <w:szCs w:val="22"/>
              </w:rPr>
            </w:pPr>
          </w:p>
        </w:tc>
        <w:tc>
          <w:tcPr>
            <w:tcW w:w="1330" w:type="dxa"/>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6,342</w:t>
            </w:r>
          </w:p>
        </w:tc>
        <w:tc>
          <w:tcPr>
            <w:tcW w:w="1441" w:type="dxa"/>
          </w:tcPr>
          <w:p w:rsidR="00D7234A" w:rsidRPr="00DD5BA3" w:rsidRDefault="00D7234A"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rsidR="00D7234A" w:rsidRPr="00DD5BA3" w:rsidRDefault="00FA1D4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2,308</w:t>
            </w: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color w:val="000000"/>
                <w:sz w:val="22"/>
                <w:szCs w:val="22"/>
              </w:rPr>
            </w:pPr>
          </w:p>
        </w:tc>
      </w:tr>
      <w:tr w:rsidR="00D7234A" w:rsidRPr="00DD5BA3" w:rsidTr="00A72C6D">
        <w:trPr>
          <w:tblHeader/>
        </w:trPr>
        <w:tc>
          <w:tcPr>
            <w:tcW w:w="3583" w:type="dxa"/>
          </w:tcPr>
          <w:p w:rsidR="00D7234A" w:rsidRPr="00DD5BA3" w:rsidRDefault="00D7234A"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Short-term investments</w:t>
            </w:r>
          </w:p>
        </w:tc>
        <w:tc>
          <w:tcPr>
            <w:tcW w:w="812" w:type="dxa"/>
          </w:tcPr>
          <w:p w:rsidR="00D7234A" w:rsidRPr="00DD5BA3" w:rsidRDefault="00D7234A" w:rsidP="00C11D1C">
            <w:pPr>
              <w:jc w:val="right"/>
              <w:rPr>
                <w:rFonts w:asciiTheme="minorHAnsi" w:hAnsiTheme="minorHAnsi" w:cstheme="minorHAnsi"/>
                <w:color w:val="000000"/>
                <w:sz w:val="22"/>
                <w:szCs w:val="22"/>
              </w:rPr>
            </w:pPr>
          </w:p>
        </w:tc>
        <w:tc>
          <w:tcPr>
            <w:tcW w:w="1330" w:type="dxa"/>
          </w:tcPr>
          <w:p w:rsidR="00D7234A" w:rsidRPr="00DD5BA3" w:rsidRDefault="00D7234A" w:rsidP="00030BC2">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39,145</w:t>
            </w:r>
          </w:p>
        </w:tc>
        <w:tc>
          <w:tcPr>
            <w:tcW w:w="1441" w:type="dxa"/>
          </w:tcPr>
          <w:p w:rsidR="00D7234A" w:rsidRPr="00DD5BA3" w:rsidRDefault="00D7234A"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rsidR="00D7234A" w:rsidRPr="00DD5BA3" w:rsidRDefault="00A77B75" w:rsidP="00AB78FE">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35,123</w:t>
            </w: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color w:val="000000"/>
                <w:sz w:val="22"/>
                <w:szCs w:val="22"/>
              </w:rPr>
            </w:pPr>
          </w:p>
        </w:tc>
      </w:tr>
      <w:tr w:rsidR="00D7234A" w:rsidRPr="00DD5BA3" w:rsidTr="00A72C6D">
        <w:trPr>
          <w:tblHeader/>
        </w:trPr>
        <w:tc>
          <w:tcPr>
            <w:tcW w:w="3583" w:type="dxa"/>
          </w:tcPr>
          <w:p w:rsidR="00D7234A" w:rsidRPr="00DD5BA3" w:rsidRDefault="00D7234A"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Cash and cash equivalents</w:t>
            </w:r>
          </w:p>
        </w:tc>
        <w:tc>
          <w:tcPr>
            <w:tcW w:w="812" w:type="dxa"/>
          </w:tcPr>
          <w:p w:rsidR="00D7234A" w:rsidRPr="00DD5BA3" w:rsidRDefault="00D7234A" w:rsidP="00C11D1C">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rsidR="00D7234A" w:rsidRPr="00DD5BA3" w:rsidRDefault="00D7234A"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4,862</w:t>
            </w:r>
          </w:p>
        </w:tc>
        <w:tc>
          <w:tcPr>
            <w:tcW w:w="1441" w:type="dxa"/>
            <w:shd w:val="clear" w:color="auto" w:fill="auto"/>
          </w:tcPr>
          <w:p w:rsidR="00D7234A" w:rsidRPr="00DD5BA3" w:rsidRDefault="00D7234A" w:rsidP="00C11D1C">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rsidR="00D7234A" w:rsidRPr="00DD5BA3" w:rsidRDefault="00A77B75" w:rsidP="00300ACF">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w:t>
            </w:r>
            <w:r w:rsidR="00CE2F98" w:rsidRPr="00DD5BA3">
              <w:rPr>
                <w:rFonts w:asciiTheme="minorHAnsi" w:hAnsiTheme="minorHAnsi" w:cstheme="minorHAnsi"/>
                <w:color w:val="000000"/>
                <w:sz w:val="22"/>
                <w:szCs w:val="22"/>
              </w:rPr>
              <w:t>3</w:t>
            </w:r>
            <w:r w:rsidR="00300ACF" w:rsidRPr="00DD5BA3">
              <w:rPr>
                <w:rFonts w:asciiTheme="minorHAnsi" w:hAnsiTheme="minorHAnsi" w:cstheme="minorHAnsi"/>
                <w:color w:val="000000"/>
                <w:sz w:val="22"/>
                <w:szCs w:val="22"/>
              </w:rPr>
              <w:t>20</w:t>
            </w: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color w:val="000000"/>
                <w:sz w:val="22"/>
                <w:szCs w:val="22"/>
              </w:rPr>
            </w:pPr>
          </w:p>
        </w:tc>
      </w:tr>
      <w:tr w:rsidR="00D7234A" w:rsidRPr="00DD5BA3" w:rsidTr="00A72C6D">
        <w:trPr>
          <w:trHeight w:val="371"/>
          <w:tblHeader/>
        </w:trPr>
        <w:tc>
          <w:tcPr>
            <w:tcW w:w="3583" w:type="dxa"/>
          </w:tcPr>
          <w:p w:rsidR="00D7234A" w:rsidRPr="00DD5BA3" w:rsidRDefault="00D7234A" w:rsidP="00C11D1C">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assets</w:t>
            </w:r>
          </w:p>
        </w:tc>
        <w:tc>
          <w:tcPr>
            <w:tcW w:w="812" w:type="dxa"/>
          </w:tcPr>
          <w:p w:rsidR="00D7234A" w:rsidRPr="00DD5BA3" w:rsidRDefault="00D7234A" w:rsidP="00C11D1C">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rsidR="00D7234A" w:rsidRPr="00DD5BA3" w:rsidRDefault="00D7234A" w:rsidP="00BC13E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72,093</w:t>
            </w:r>
          </w:p>
        </w:tc>
        <w:tc>
          <w:tcPr>
            <w:tcW w:w="1441" w:type="dxa"/>
            <w:shd w:val="clear" w:color="auto" w:fill="auto"/>
          </w:tcPr>
          <w:p w:rsidR="00D7234A" w:rsidRPr="00DD5BA3" w:rsidRDefault="00D7234A" w:rsidP="00C76435">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rsidR="00D7234A" w:rsidRPr="00DD5BA3" w:rsidRDefault="00FA1D49" w:rsidP="00AB78FE">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74</w:t>
            </w:r>
            <w:r w:rsidR="00CE2F98" w:rsidRPr="00DD5BA3">
              <w:rPr>
                <w:rFonts w:asciiTheme="minorHAnsi" w:hAnsiTheme="minorHAnsi" w:cstheme="minorHAnsi"/>
                <w:color w:val="000000"/>
                <w:sz w:val="22"/>
                <w:szCs w:val="22"/>
              </w:rPr>
              <w:t>,5</w:t>
            </w:r>
            <w:r w:rsidRPr="00DD5BA3">
              <w:rPr>
                <w:rFonts w:asciiTheme="minorHAnsi" w:hAnsiTheme="minorHAnsi" w:cstheme="minorHAnsi"/>
                <w:color w:val="000000"/>
                <w:sz w:val="22"/>
                <w:szCs w:val="22"/>
              </w:rPr>
              <w:t>95</w:t>
            </w:r>
          </w:p>
        </w:tc>
        <w:tc>
          <w:tcPr>
            <w:tcW w:w="1208" w:type="dxa"/>
            <w:shd w:val="clear" w:color="auto" w:fill="D9D9D9" w:themeFill="background1" w:themeFillShade="D9"/>
          </w:tcPr>
          <w:p w:rsidR="00D7234A" w:rsidRPr="00DD5BA3" w:rsidRDefault="00D7234A" w:rsidP="00C11D1C">
            <w:pPr>
              <w:jc w:val="right"/>
              <w:rPr>
                <w:rFonts w:asciiTheme="minorHAnsi" w:hAnsiTheme="minorHAnsi" w:cstheme="minorHAnsi"/>
                <w:b/>
                <w:color w:val="000000"/>
                <w:sz w:val="22"/>
                <w:szCs w:val="22"/>
              </w:rPr>
            </w:pPr>
          </w:p>
        </w:tc>
      </w:tr>
    </w:tbl>
    <w:p w:rsidR="000853D8" w:rsidRPr="00DD5BA3" w:rsidRDefault="00A10FE3" w:rsidP="000853D8">
      <w:pPr>
        <w:rPr>
          <w:rFonts w:asciiTheme="minorHAnsi" w:hAnsiTheme="minorHAnsi" w:cstheme="minorHAnsi"/>
          <w:b/>
          <w:sz w:val="22"/>
          <w:szCs w:val="22"/>
        </w:rPr>
      </w:pPr>
      <w:r w:rsidRPr="00DD5BA3">
        <w:rPr>
          <w:rFonts w:asciiTheme="minorHAnsi" w:hAnsiTheme="minorHAnsi" w:cstheme="minorHAnsi"/>
          <w:sz w:val="22"/>
          <w:szCs w:val="22"/>
        </w:rPr>
        <w:br/>
      </w:r>
      <w:r w:rsidRPr="00DD5BA3">
        <w:rPr>
          <w:rFonts w:asciiTheme="minorHAnsi" w:hAnsiTheme="minorHAnsi" w:cstheme="minorHAnsi"/>
          <w:sz w:val="22"/>
          <w:szCs w:val="22"/>
        </w:rPr>
        <w:br/>
      </w:r>
      <w:r w:rsidR="000853D8" w:rsidRPr="00DD5BA3">
        <w:rPr>
          <w:rFonts w:asciiTheme="minorHAnsi" w:hAnsiTheme="minorHAnsi" w:cstheme="minorHAnsi"/>
          <w:b/>
          <w:sz w:val="22"/>
          <w:szCs w:val="22"/>
        </w:rPr>
        <w:t>Financial Liabilities</w:t>
      </w:r>
    </w:p>
    <w:p w:rsidR="00C11D1C" w:rsidRPr="00DD5BA3" w:rsidRDefault="00C11D1C" w:rsidP="00C11D1C">
      <w:pPr>
        <w:rPr>
          <w:rFonts w:asciiTheme="minorHAnsi" w:hAnsiTheme="minorHAnsi" w:cstheme="minorHAnsi"/>
          <w:b/>
          <w:color w:val="000000"/>
          <w:sz w:val="22"/>
          <w:szCs w:val="2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Liabilities"/>
      </w:tblPr>
      <w:tblGrid>
        <w:gridCol w:w="3936"/>
        <w:gridCol w:w="850"/>
        <w:gridCol w:w="1134"/>
        <w:gridCol w:w="1134"/>
        <w:gridCol w:w="1134"/>
        <w:gridCol w:w="1134"/>
      </w:tblGrid>
      <w:tr w:rsidR="00C11D1C" w:rsidRPr="00DD5BA3" w:rsidTr="003B5F7F">
        <w:trPr>
          <w:tblHeader/>
        </w:trPr>
        <w:tc>
          <w:tcPr>
            <w:tcW w:w="3936" w:type="dxa"/>
          </w:tcPr>
          <w:p w:rsidR="00C11D1C" w:rsidRPr="00DD5BA3" w:rsidRDefault="00C11D1C" w:rsidP="009F2360">
            <w:pPr>
              <w:jc w:val="right"/>
              <w:rPr>
                <w:rFonts w:asciiTheme="minorHAnsi" w:hAnsiTheme="minorHAnsi" w:cstheme="minorHAnsi"/>
                <w:color w:val="000000"/>
                <w:sz w:val="22"/>
                <w:szCs w:val="22"/>
              </w:rPr>
            </w:pPr>
          </w:p>
        </w:tc>
        <w:tc>
          <w:tcPr>
            <w:tcW w:w="850" w:type="dxa"/>
          </w:tcPr>
          <w:p w:rsidR="00C11D1C" w:rsidRPr="00DD5BA3" w:rsidRDefault="00C11D1C" w:rsidP="009F2360">
            <w:pPr>
              <w:jc w:val="right"/>
              <w:rPr>
                <w:rFonts w:asciiTheme="minorHAnsi" w:hAnsiTheme="minorHAnsi" w:cstheme="minorHAnsi"/>
                <w:color w:val="000000"/>
                <w:sz w:val="22"/>
                <w:szCs w:val="22"/>
              </w:rPr>
            </w:pPr>
          </w:p>
        </w:tc>
        <w:tc>
          <w:tcPr>
            <w:tcW w:w="1134" w:type="dxa"/>
          </w:tcPr>
          <w:p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 xml:space="preserve">Balance </w:t>
            </w:r>
            <w:r w:rsidR="00FC1D6F" w:rsidRPr="00DD5BA3">
              <w:rPr>
                <w:rFonts w:asciiTheme="minorHAnsi" w:hAnsiTheme="minorHAnsi" w:cstheme="minorHAnsi"/>
                <w:color w:val="000000"/>
                <w:sz w:val="22"/>
                <w:szCs w:val="22"/>
              </w:rPr>
              <w:t>S</w:t>
            </w:r>
            <w:r w:rsidRPr="00DD5BA3">
              <w:rPr>
                <w:rFonts w:asciiTheme="minorHAnsi" w:hAnsiTheme="minorHAnsi" w:cstheme="minorHAnsi"/>
                <w:color w:val="000000"/>
                <w:sz w:val="22"/>
                <w:szCs w:val="22"/>
              </w:rPr>
              <w:t>heet</w:t>
            </w:r>
          </w:p>
          <w:p w:rsidR="00C11D1C" w:rsidRPr="00DD5BA3" w:rsidRDefault="00C11D1C" w:rsidP="00A60206">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Pr="00DD5BA3">
              <w:rPr>
                <w:rFonts w:asciiTheme="minorHAnsi" w:hAnsiTheme="minorHAnsi" w:cstheme="minorHAnsi"/>
                <w:color w:val="000000"/>
                <w:sz w:val="22"/>
                <w:szCs w:val="22"/>
              </w:rPr>
              <w:t>201</w:t>
            </w:r>
            <w:r w:rsidR="00A60206" w:rsidRPr="00DD5BA3">
              <w:rPr>
                <w:rFonts w:asciiTheme="minorHAnsi" w:hAnsiTheme="minorHAnsi" w:cstheme="minorHAnsi"/>
                <w:color w:val="000000"/>
                <w:sz w:val="22"/>
                <w:szCs w:val="22"/>
              </w:rPr>
              <w:t>9</w:t>
            </w:r>
          </w:p>
        </w:tc>
        <w:tc>
          <w:tcPr>
            <w:tcW w:w="1134" w:type="dxa"/>
          </w:tcPr>
          <w:p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Fair value</w:t>
            </w:r>
          </w:p>
          <w:p w:rsidR="00FC1D6F" w:rsidRPr="00DD5BA3" w:rsidRDefault="00FC1D6F" w:rsidP="00FC1D6F">
            <w:pPr>
              <w:jc w:val="right"/>
              <w:rPr>
                <w:rFonts w:asciiTheme="minorHAnsi" w:hAnsiTheme="minorHAnsi" w:cstheme="minorHAnsi"/>
                <w:color w:val="000000"/>
                <w:sz w:val="22"/>
                <w:szCs w:val="22"/>
              </w:rPr>
            </w:pPr>
          </w:p>
          <w:p w:rsidR="00C11D1C" w:rsidRPr="00DD5BA3" w:rsidRDefault="00C11D1C" w:rsidP="00A60206">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Pr="00DD5BA3">
              <w:rPr>
                <w:rFonts w:asciiTheme="minorHAnsi" w:hAnsiTheme="minorHAnsi" w:cstheme="minorHAnsi"/>
                <w:color w:val="000000"/>
                <w:sz w:val="22"/>
                <w:szCs w:val="22"/>
              </w:rPr>
              <w:t>201</w:t>
            </w:r>
            <w:r w:rsidR="00A60206" w:rsidRPr="00DD5BA3">
              <w:rPr>
                <w:rFonts w:asciiTheme="minorHAnsi" w:hAnsiTheme="minorHAnsi" w:cstheme="minorHAnsi"/>
                <w:color w:val="000000"/>
                <w:sz w:val="22"/>
                <w:szCs w:val="22"/>
              </w:rPr>
              <w:t>9</w:t>
            </w:r>
          </w:p>
        </w:tc>
        <w:tc>
          <w:tcPr>
            <w:tcW w:w="1134" w:type="dxa"/>
            <w:shd w:val="clear" w:color="auto" w:fill="D9D9D9" w:themeFill="background1" w:themeFillShade="D9"/>
          </w:tcPr>
          <w:p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 xml:space="preserve">Balance </w:t>
            </w:r>
            <w:r w:rsidR="00FC1D6F" w:rsidRPr="00DD5BA3">
              <w:rPr>
                <w:rFonts w:asciiTheme="minorHAnsi" w:hAnsiTheme="minorHAnsi" w:cstheme="minorHAnsi"/>
                <w:color w:val="000000"/>
                <w:sz w:val="22"/>
                <w:szCs w:val="22"/>
              </w:rPr>
              <w:t>S</w:t>
            </w:r>
            <w:r w:rsidRPr="00DD5BA3">
              <w:rPr>
                <w:rFonts w:asciiTheme="minorHAnsi" w:hAnsiTheme="minorHAnsi" w:cstheme="minorHAnsi"/>
                <w:color w:val="000000"/>
                <w:sz w:val="22"/>
                <w:szCs w:val="22"/>
              </w:rPr>
              <w:t>heet</w:t>
            </w:r>
          </w:p>
          <w:p w:rsidR="00C11D1C" w:rsidRPr="00DD5BA3" w:rsidRDefault="00C11D1C" w:rsidP="00A60206">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w:t>
            </w:r>
            <w:r w:rsidR="00FC1D6F" w:rsidRPr="00DD5BA3">
              <w:rPr>
                <w:rFonts w:asciiTheme="minorHAnsi" w:hAnsiTheme="minorHAnsi" w:cstheme="minorHAnsi"/>
                <w:color w:val="000000"/>
                <w:sz w:val="22"/>
                <w:szCs w:val="22"/>
              </w:rPr>
              <w:t xml:space="preserve">1 March </w:t>
            </w:r>
            <w:r w:rsidR="0005679A" w:rsidRPr="00DD5BA3">
              <w:rPr>
                <w:rFonts w:asciiTheme="minorHAnsi" w:hAnsiTheme="minorHAnsi" w:cstheme="minorHAnsi"/>
                <w:color w:val="000000"/>
                <w:sz w:val="22"/>
                <w:szCs w:val="22"/>
              </w:rPr>
              <w:t>20</w:t>
            </w:r>
            <w:r w:rsidR="00A60206" w:rsidRPr="00DD5BA3">
              <w:rPr>
                <w:rFonts w:asciiTheme="minorHAnsi" w:hAnsiTheme="minorHAnsi" w:cstheme="minorHAnsi"/>
                <w:color w:val="000000"/>
                <w:sz w:val="22"/>
                <w:szCs w:val="22"/>
              </w:rPr>
              <w:t>20</w:t>
            </w:r>
          </w:p>
        </w:tc>
        <w:tc>
          <w:tcPr>
            <w:tcW w:w="1134" w:type="dxa"/>
            <w:shd w:val="clear" w:color="auto" w:fill="D9D9D9" w:themeFill="background1" w:themeFillShade="D9"/>
          </w:tcPr>
          <w:p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Fair value</w:t>
            </w:r>
          </w:p>
          <w:p w:rsidR="00FC1D6F" w:rsidRPr="00DD5BA3" w:rsidRDefault="00FC1D6F" w:rsidP="00FC1D6F">
            <w:pPr>
              <w:jc w:val="right"/>
              <w:rPr>
                <w:rFonts w:asciiTheme="minorHAnsi" w:hAnsiTheme="minorHAnsi" w:cstheme="minorHAnsi"/>
                <w:color w:val="000000"/>
                <w:sz w:val="22"/>
                <w:szCs w:val="22"/>
              </w:rPr>
            </w:pPr>
          </w:p>
          <w:p w:rsidR="00C11D1C" w:rsidRPr="00DD5BA3" w:rsidRDefault="00C11D1C" w:rsidP="00A60206">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0005679A" w:rsidRPr="00DD5BA3">
              <w:rPr>
                <w:rFonts w:asciiTheme="minorHAnsi" w:hAnsiTheme="minorHAnsi" w:cstheme="minorHAnsi"/>
                <w:color w:val="000000"/>
                <w:sz w:val="22"/>
                <w:szCs w:val="22"/>
              </w:rPr>
              <w:t>20</w:t>
            </w:r>
            <w:r w:rsidR="00A60206" w:rsidRPr="00DD5BA3">
              <w:rPr>
                <w:rFonts w:asciiTheme="minorHAnsi" w:hAnsiTheme="minorHAnsi" w:cstheme="minorHAnsi"/>
                <w:color w:val="000000"/>
                <w:sz w:val="22"/>
                <w:szCs w:val="22"/>
              </w:rPr>
              <w:t>20</w:t>
            </w:r>
          </w:p>
        </w:tc>
      </w:tr>
      <w:tr w:rsidR="00C11D1C" w:rsidRPr="00DD5BA3" w:rsidTr="00811B2B">
        <w:tc>
          <w:tcPr>
            <w:tcW w:w="3936" w:type="dxa"/>
          </w:tcPr>
          <w:p w:rsidR="00C11D1C" w:rsidRPr="00DD5BA3" w:rsidRDefault="00C11D1C" w:rsidP="009F2360">
            <w:pPr>
              <w:jc w:val="right"/>
              <w:rPr>
                <w:rFonts w:asciiTheme="minorHAnsi" w:hAnsiTheme="minorHAnsi" w:cstheme="minorHAnsi"/>
                <w:color w:val="000000"/>
                <w:sz w:val="22"/>
                <w:szCs w:val="22"/>
              </w:rPr>
            </w:pPr>
          </w:p>
        </w:tc>
        <w:tc>
          <w:tcPr>
            <w:tcW w:w="850" w:type="dxa"/>
          </w:tcPr>
          <w:p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Level</w:t>
            </w:r>
          </w:p>
        </w:tc>
        <w:tc>
          <w:tcPr>
            <w:tcW w:w="1134" w:type="dxa"/>
          </w:tcPr>
          <w:p w:rsidR="000F0098" w:rsidRPr="00DD5BA3" w:rsidRDefault="00C11D1C" w:rsidP="00811B2B">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tcPr>
          <w:p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shd w:val="clear" w:color="auto" w:fill="D9D9D9" w:themeFill="background1" w:themeFillShade="D9"/>
          </w:tcPr>
          <w:p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shd w:val="clear" w:color="auto" w:fill="D9D9D9" w:themeFill="background1" w:themeFillShade="D9"/>
          </w:tcPr>
          <w:p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r>
      <w:tr w:rsidR="00C11D1C" w:rsidRPr="00DD5BA3" w:rsidTr="00811B2B">
        <w:tc>
          <w:tcPr>
            <w:tcW w:w="3936" w:type="dxa"/>
          </w:tcPr>
          <w:p w:rsidR="00C11D1C" w:rsidRPr="00DD5BA3" w:rsidRDefault="00C11D1C"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liabilities held at amortised cost</w:t>
            </w:r>
          </w:p>
        </w:tc>
        <w:tc>
          <w:tcPr>
            <w:tcW w:w="850" w:type="dxa"/>
            <w:tcBorders>
              <w:top w:val="single" w:sz="4" w:space="0" w:color="auto"/>
            </w:tcBorders>
          </w:tcPr>
          <w:p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rsidR="00C11D1C" w:rsidRPr="00DD5BA3" w:rsidRDefault="00C11D1C" w:rsidP="009F2360">
            <w:pPr>
              <w:jc w:val="right"/>
              <w:rPr>
                <w:rFonts w:asciiTheme="minorHAnsi" w:hAnsiTheme="minorHAnsi" w:cstheme="minorHAnsi"/>
                <w:color w:val="000000"/>
                <w:sz w:val="22"/>
                <w:szCs w:val="22"/>
              </w:rPr>
            </w:pPr>
          </w:p>
        </w:tc>
      </w:tr>
      <w:tr w:rsidR="00A60206" w:rsidRPr="00DD5BA3" w:rsidTr="0005679A">
        <w:tc>
          <w:tcPr>
            <w:tcW w:w="3936" w:type="dxa"/>
          </w:tcPr>
          <w:p w:rsidR="00A60206" w:rsidRPr="00DD5BA3" w:rsidRDefault="00A60206" w:rsidP="007D7B32">
            <w:pPr>
              <w:pStyle w:val="ListParagraph"/>
              <w:numPr>
                <w:ilvl w:val="0"/>
                <w:numId w:val="47"/>
              </w:numPr>
              <w:rPr>
                <w:rFonts w:asciiTheme="minorHAnsi" w:hAnsiTheme="minorHAnsi" w:cstheme="minorHAnsi"/>
                <w:color w:val="000000"/>
                <w:szCs w:val="22"/>
              </w:rPr>
            </w:pPr>
            <w:r w:rsidRPr="00DD5BA3">
              <w:rPr>
                <w:rFonts w:asciiTheme="minorHAnsi" w:hAnsiTheme="minorHAnsi" w:cstheme="minorHAnsi"/>
                <w:color w:val="000000"/>
                <w:szCs w:val="22"/>
              </w:rPr>
              <w:t>Lease payables</w:t>
            </w:r>
          </w:p>
        </w:tc>
        <w:tc>
          <w:tcPr>
            <w:tcW w:w="850" w:type="dxa"/>
          </w:tcPr>
          <w:p w:rsidR="00A60206" w:rsidRPr="00DD5BA3" w:rsidRDefault="00A60206"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w:t>
            </w:r>
          </w:p>
        </w:tc>
        <w:tc>
          <w:tcPr>
            <w:tcW w:w="1134" w:type="dxa"/>
          </w:tcPr>
          <w:p w:rsidR="00A60206" w:rsidRPr="00DD5BA3" w:rsidRDefault="00A60206"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12</w:t>
            </w:r>
          </w:p>
        </w:tc>
        <w:tc>
          <w:tcPr>
            <w:tcW w:w="1134" w:type="dxa"/>
          </w:tcPr>
          <w:p w:rsidR="00A60206" w:rsidRPr="00DD5BA3" w:rsidRDefault="00A60206"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12</w:t>
            </w:r>
          </w:p>
        </w:tc>
        <w:tc>
          <w:tcPr>
            <w:tcW w:w="1134" w:type="dxa"/>
            <w:shd w:val="clear" w:color="auto" w:fill="D9D9D9" w:themeFill="background1" w:themeFillShade="D9"/>
          </w:tcPr>
          <w:p w:rsidR="00A60206" w:rsidRPr="00DD5BA3" w:rsidRDefault="00897B6A"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w:t>
            </w:r>
          </w:p>
        </w:tc>
        <w:tc>
          <w:tcPr>
            <w:tcW w:w="1134" w:type="dxa"/>
            <w:shd w:val="clear" w:color="auto" w:fill="D9D9D9" w:themeFill="background1" w:themeFillShade="D9"/>
          </w:tcPr>
          <w:p w:rsidR="00A60206" w:rsidRPr="00DD5BA3" w:rsidRDefault="007871B5"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w:t>
            </w:r>
          </w:p>
        </w:tc>
      </w:tr>
      <w:tr w:rsidR="00A60206" w:rsidRPr="00DD5BA3" w:rsidTr="0005679A">
        <w:tc>
          <w:tcPr>
            <w:tcW w:w="3936" w:type="dxa"/>
          </w:tcPr>
          <w:p w:rsidR="00A60206" w:rsidRPr="00DD5BA3" w:rsidRDefault="00A60206" w:rsidP="009F2360">
            <w:pPr>
              <w:pStyle w:val="ListParagraph"/>
              <w:rPr>
                <w:rFonts w:asciiTheme="minorHAnsi" w:hAnsiTheme="minorHAnsi" w:cstheme="minorHAnsi"/>
                <w:color w:val="000000"/>
                <w:szCs w:val="22"/>
              </w:rPr>
            </w:pPr>
          </w:p>
        </w:tc>
        <w:tc>
          <w:tcPr>
            <w:tcW w:w="850" w:type="dxa"/>
          </w:tcPr>
          <w:p w:rsidR="00A60206" w:rsidRPr="00DD5BA3" w:rsidRDefault="00A60206" w:rsidP="009F2360">
            <w:pPr>
              <w:jc w:val="right"/>
              <w:rPr>
                <w:rFonts w:asciiTheme="minorHAnsi" w:hAnsiTheme="minorHAnsi" w:cstheme="minorHAnsi"/>
                <w:color w:val="000000"/>
                <w:sz w:val="22"/>
                <w:szCs w:val="22"/>
              </w:rPr>
            </w:pPr>
          </w:p>
        </w:tc>
        <w:tc>
          <w:tcPr>
            <w:tcW w:w="1134" w:type="dxa"/>
          </w:tcPr>
          <w:p w:rsidR="00A60206" w:rsidRPr="00DD5BA3" w:rsidRDefault="00A60206" w:rsidP="009F2360">
            <w:pPr>
              <w:jc w:val="right"/>
              <w:rPr>
                <w:rFonts w:asciiTheme="minorHAnsi" w:hAnsiTheme="minorHAnsi" w:cstheme="minorHAnsi"/>
                <w:color w:val="000000"/>
                <w:sz w:val="22"/>
                <w:szCs w:val="22"/>
              </w:rPr>
            </w:pPr>
          </w:p>
        </w:tc>
        <w:tc>
          <w:tcPr>
            <w:tcW w:w="1134" w:type="dxa"/>
          </w:tcPr>
          <w:p w:rsidR="00A60206" w:rsidRPr="00DD5BA3" w:rsidRDefault="00A60206" w:rsidP="009F2360">
            <w:pPr>
              <w:jc w:val="right"/>
              <w:rPr>
                <w:rFonts w:asciiTheme="minorHAnsi" w:hAnsiTheme="minorHAnsi" w:cstheme="minorHAnsi"/>
                <w:color w:val="000000"/>
                <w:sz w:val="22"/>
                <w:szCs w:val="22"/>
              </w:rPr>
            </w:pPr>
          </w:p>
        </w:tc>
        <w:tc>
          <w:tcPr>
            <w:tcW w:w="1134" w:type="dxa"/>
            <w:shd w:val="clear" w:color="auto" w:fill="D9D9D9" w:themeFill="background1" w:themeFillShade="D9"/>
          </w:tcPr>
          <w:p w:rsidR="00A60206" w:rsidRPr="00DD5BA3" w:rsidRDefault="00A60206" w:rsidP="009F2360">
            <w:pPr>
              <w:jc w:val="right"/>
              <w:rPr>
                <w:rFonts w:asciiTheme="minorHAnsi" w:hAnsiTheme="minorHAnsi" w:cstheme="minorHAnsi"/>
                <w:color w:val="000000"/>
                <w:sz w:val="22"/>
                <w:szCs w:val="22"/>
              </w:rPr>
            </w:pPr>
          </w:p>
        </w:tc>
        <w:tc>
          <w:tcPr>
            <w:tcW w:w="1134" w:type="dxa"/>
            <w:shd w:val="clear" w:color="auto" w:fill="D9D9D9" w:themeFill="background1" w:themeFillShade="D9"/>
          </w:tcPr>
          <w:p w:rsidR="00A60206" w:rsidRPr="00DD5BA3" w:rsidRDefault="00A60206" w:rsidP="009F2360">
            <w:pPr>
              <w:jc w:val="right"/>
              <w:rPr>
                <w:rFonts w:asciiTheme="minorHAnsi" w:hAnsiTheme="minorHAnsi" w:cstheme="minorHAnsi"/>
                <w:color w:val="000000"/>
                <w:sz w:val="22"/>
                <w:szCs w:val="22"/>
              </w:rPr>
            </w:pPr>
          </w:p>
        </w:tc>
      </w:tr>
      <w:tr w:rsidR="00A60206" w:rsidRPr="00DD5BA3" w:rsidTr="0005679A">
        <w:tc>
          <w:tcPr>
            <w:tcW w:w="3936" w:type="dxa"/>
          </w:tcPr>
          <w:p w:rsidR="00A60206" w:rsidRPr="00DD5BA3" w:rsidRDefault="00A60206"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Liabilities for which a fair value is not disclosed</w:t>
            </w:r>
          </w:p>
        </w:tc>
        <w:tc>
          <w:tcPr>
            <w:tcW w:w="850" w:type="dxa"/>
          </w:tcPr>
          <w:p w:rsidR="00A60206" w:rsidRPr="00DD5BA3" w:rsidRDefault="00A60206" w:rsidP="009F2360">
            <w:pPr>
              <w:jc w:val="right"/>
              <w:rPr>
                <w:rFonts w:asciiTheme="minorHAnsi" w:hAnsiTheme="minorHAnsi" w:cstheme="minorHAnsi"/>
                <w:color w:val="000000"/>
                <w:sz w:val="22"/>
                <w:szCs w:val="22"/>
              </w:rPr>
            </w:pPr>
          </w:p>
        </w:tc>
        <w:tc>
          <w:tcPr>
            <w:tcW w:w="1134" w:type="dxa"/>
            <w:tcBorders>
              <w:bottom w:val="single" w:sz="4" w:space="0" w:color="auto"/>
            </w:tcBorders>
          </w:tcPr>
          <w:p w:rsidR="00A60206" w:rsidRPr="00DD5BA3" w:rsidRDefault="00A60206"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3,904</w:t>
            </w:r>
          </w:p>
        </w:tc>
        <w:tc>
          <w:tcPr>
            <w:tcW w:w="1134" w:type="dxa"/>
          </w:tcPr>
          <w:p w:rsidR="00A60206" w:rsidRPr="00DD5BA3" w:rsidRDefault="00A60206" w:rsidP="009F2360">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rsidR="00A60206" w:rsidRPr="00DD5BA3" w:rsidRDefault="00EB5338" w:rsidP="00535A6A">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3,175</w:t>
            </w:r>
          </w:p>
        </w:tc>
        <w:tc>
          <w:tcPr>
            <w:tcW w:w="1134" w:type="dxa"/>
            <w:shd w:val="clear" w:color="auto" w:fill="D9D9D9" w:themeFill="background1" w:themeFillShade="D9"/>
          </w:tcPr>
          <w:p w:rsidR="00A60206" w:rsidRPr="00DD5BA3" w:rsidRDefault="00A60206" w:rsidP="009F2360">
            <w:pPr>
              <w:jc w:val="right"/>
              <w:rPr>
                <w:rFonts w:asciiTheme="minorHAnsi" w:hAnsiTheme="minorHAnsi" w:cstheme="minorHAnsi"/>
                <w:color w:val="000000"/>
                <w:sz w:val="22"/>
                <w:szCs w:val="22"/>
              </w:rPr>
            </w:pPr>
          </w:p>
        </w:tc>
      </w:tr>
      <w:tr w:rsidR="00A60206" w:rsidRPr="00DD5BA3" w:rsidTr="001C43AB">
        <w:trPr>
          <w:trHeight w:val="337"/>
        </w:trPr>
        <w:tc>
          <w:tcPr>
            <w:tcW w:w="3936" w:type="dxa"/>
          </w:tcPr>
          <w:p w:rsidR="00A60206" w:rsidRPr="00DD5BA3" w:rsidRDefault="00A60206" w:rsidP="00C11D1C">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liabilities</w:t>
            </w:r>
          </w:p>
        </w:tc>
        <w:tc>
          <w:tcPr>
            <w:tcW w:w="850" w:type="dxa"/>
          </w:tcPr>
          <w:p w:rsidR="00A60206" w:rsidRPr="00DD5BA3" w:rsidRDefault="00A60206" w:rsidP="009F2360">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vAlign w:val="center"/>
          </w:tcPr>
          <w:p w:rsidR="00A60206" w:rsidRPr="00DD5BA3" w:rsidRDefault="00A60206" w:rsidP="0040457D">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3,916</w:t>
            </w:r>
          </w:p>
        </w:tc>
        <w:tc>
          <w:tcPr>
            <w:tcW w:w="1134" w:type="dxa"/>
          </w:tcPr>
          <w:p w:rsidR="00A60206" w:rsidRPr="00DD5BA3" w:rsidRDefault="00A60206" w:rsidP="002671A7">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rsidR="00A60206" w:rsidRPr="00DD5BA3" w:rsidRDefault="00EB5338">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3,181</w:t>
            </w:r>
          </w:p>
        </w:tc>
        <w:tc>
          <w:tcPr>
            <w:tcW w:w="1134" w:type="dxa"/>
            <w:shd w:val="clear" w:color="auto" w:fill="D9D9D9" w:themeFill="background1" w:themeFillShade="D9"/>
          </w:tcPr>
          <w:p w:rsidR="00A60206" w:rsidRPr="00DD5BA3" w:rsidRDefault="00A60206" w:rsidP="009F2360">
            <w:pPr>
              <w:jc w:val="right"/>
              <w:rPr>
                <w:rFonts w:asciiTheme="minorHAnsi" w:hAnsiTheme="minorHAnsi" w:cstheme="minorHAnsi"/>
                <w:b/>
                <w:color w:val="000000"/>
                <w:sz w:val="22"/>
                <w:szCs w:val="22"/>
              </w:rPr>
            </w:pPr>
          </w:p>
        </w:tc>
      </w:tr>
      <w:tr w:rsidR="00A60206" w:rsidRPr="00DD5BA3" w:rsidTr="0005679A">
        <w:tc>
          <w:tcPr>
            <w:tcW w:w="3936" w:type="dxa"/>
          </w:tcPr>
          <w:p w:rsidR="00A60206" w:rsidRPr="00DD5BA3" w:rsidRDefault="00A60206" w:rsidP="00C11D1C">
            <w:pPr>
              <w:rPr>
                <w:rFonts w:asciiTheme="minorHAnsi" w:hAnsiTheme="minorHAnsi" w:cstheme="minorHAnsi"/>
                <w:color w:val="000000"/>
                <w:sz w:val="22"/>
                <w:szCs w:val="22"/>
              </w:rPr>
            </w:pPr>
          </w:p>
          <w:p w:rsidR="00A60206" w:rsidRPr="00DD5BA3" w:rsidRDefault="00A60206"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Recorded on the Balance sheet as:</w:t>
            </w:r>
          </w:p>
        </w:tc>
        <w:tc>
          <w:tcPr>
            <w:tcW w:w="850" w:type="dxa"/>
          </w:tcPr>
          <w:p w:rsidR="00A60206" w:rsidRPr="00DD5BA3" w:rsidRDefault="00A60206" w:rsidP="009F2360">
            <w:pPr>
              <w:jc w:val="right"/>
              <w:rPr>
                <w:rFonts w:asciiTheme="minorHAnsi" w:hAnsiTheme="minorHAnsi" w:cstheme="minorHAnsi"/>
                <w:color w:val="000000"/>
                <w:sz w:val="22"/>
                <w:szCs w:val="22"/>
              </w:rPr>
            </w:pPr>
          </w:p>
        </w:tc>
        <w:tc>
          <w:tcPr>
            <w:tcW w:w="1134" w:type="dxa"/>
            <w:tcBorders>
              <w:top w:val="single" w:sz="4" w:space="0" w:color="auto"/>
            </w:tcBorders>
          </w:tcPr>
          <w:p w:rsidR="00A60206" w:rsidRPr="00DD5BA3" w:rsidRDefault="00A60206" w:rsidP="009F2360">
            <w:pPr>
              <w:jc w:val="right"/>
              <w:rPr>
                <w:rFonts w:asciiTheme="minorHAnsi" w:hAnsiTheme="minorHAnsi" w:cstheme="minorHAnsi"/>
                <w:color w:val="000000"/>
                <w:sz w:val="22"/>
                <w:szCs w:val="22"/>
              </w:rPr>
            </w:pPr>
          </w:p>
        </w:tc>
        <w:tc>
          <w:tcPr>
            <w:tcW w:w="1134" w:type="dxa"/>
          </w:tcPr>
          <w:p w:rsidR="00A60206" w:rsidRPr="00DD5BA3" w:rsidRDefault="00A60206"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rsidR="00A60206" w:rsidRPr="00DD5BA3" w:rsidRDefault="00A60206" w:rsidP="009F2360">
            <w:pPr>
              <w:jc w:val="right"/>
              <w:rPr>
                <w:rFonts w:asciiTheme="minorHAnsi" w:hAnsiTheme="minorHAnsi" w:cstheme="minorHAnsi"/>
                <w:color w:val="000000"/>
                <w:sz w:val="22"/>
                <w:szCs w:val="22"/>
              </w:rPr>
            </w:pPr>
          </w:p>
        </w:tc>
        <w:tc>
          <w:tcPr>
            <w:tcW w:w="1134" w:type="dxa"/>
            <w:shd w:val="clear" w:color="auto" w:fill="D9D9D9" w:themeFill="background1" w:themeFillShade="D9"/>
          </w:tcPr>
          <w:p w:rsidR="00A60206" w:rsidRPr="00DD5BA3" w:rsidRDefault="00A60206" w:rsidP="009F2360">
            <w:pPr>
              <w:jc w:val="right"/>
              <w:rPr>
                <w:rFonts w:asciiTheme="minorHAnsi" w:hAnsiTheme="minorHAnsi" w:cstheme="minorHAnsi"/>
                <w:color w:val="000000"/>
                <w:sz w:val="22"/>
                <w:szCs w:val="22"/>
              </w:rPr>
            </w:pPr>
          </w:p>
        </w:tc>
      </w:tr>
      <w:tr w:rsidR="00A60206" w:rsidRPr="00DD5BA3" w:rsidTr="0005679A">
        <w:tc>
          <w:tcPr>
            <w:tcW w:w="3936" w:type="dxa"/>
          </w:tcPr>
          <w:p w:rsidR="00A60206" w:rsidRPr="00DD5BA3" w:rsidRDefault="00A60206"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Short-term creditors</w:t>
            </w:r>
          </w:p>
        </w:tc>
        <w:tc>
          <w:tcPr>
            <w:tcW w:w="850" w:type="dxa"/>
          </w:tcPr>
          <w:p w:rsidR="00A60206" w:rsidRPr="00DD5BA3" w:rsidRDefault="00A60206" w:rsidP="009F2360">
            <w:pPr>
              <w:jc w:val="right"/>
              <w:rPr>
                <w:rFonts w:asciiTheme="minorHAnsi" w:hAnsiTheme="minorHAnsi" w:cstheme="minorHAnsi"/>
                <w:color w:val="000000"/>
                <w:sz w:val="22"/>
                <w:szCs w:val="22"/>
              </w:rPr>
            </w:pPr>
          </w:p>
        </w:tc>
        <w:tc>
          <w:tcPr>
            <w:tcW w:w="1134" w:type="dxa"/>
          </w:tcPr>
          <w:p w:rsidR="00A60206" w:rsidRPr="00DD5BA3" w:rsidRDefault="00A60206"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3,904</w:t>
            </w:r>
          </w:p>
        </w:tc>
        <w:tc>
          <w:tcPr>
            <w:tcW w:w="1134" w:type="dxa"/>
          </w:tcPr>
          <w:p w:rsidR="00A60206" w:rsidRPr="00DD5BA3" w:rsidRDefault="00A60206" w:rsidP="009F2360">
            <w:pPr>
              <w:jc w:val="right"/>
              <w:rPr>
                <w:rFonts w:asciiTheme="minorHAnsi" w:hAnsiTheme="minorHAnsi" w:cstheme="minorHAnsi"/>
                <w:color w:val="000000"/>
                <w:sz w:val="22"/>
                <w:szCs w:val="22"/>
              </w:rPr>
            </w:pPr>
          </w:p>
        </w:tc>
        <w:tc>
          <w:tcPr>
            <w:tcW w:w="1134" w:type="dxa"/>
            <w:shd w:val="clear" w:color="auto" w:fill="D9D9D9" w:themeFill="background1" w:themeFillShade="D9"/>
          </w:tcPr>
          <w:p w:rsidR="00A60206" w:rsidRPr="00DD5BA3" w:rsidRDefault="00EB5338" w:rsidP="00535A6A">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3,181</w:t>
            </w:r>
          </w:p>
        </w:tc>
        <w:tc>
          <w:tcPr>
            <w:tcW w:w="1134" w:type="dxa"/>
            <w:shd w:val="clear" w:color="auto" w:fill="D9D9D9" w:themeFill="background1" w:themeFillShade="D9"/>
          </w:tcPr>
          <w:p w:rsidR="00A60206" w:rsidRPr="00DD5BA3" w:rsidRDefault="00A60206" w:rsidP="009F2360">
            <w:pPr>
              <w:jc w:val="right"/>
              <w:rPr>
                <w:rFonts w:asciiTheme="minorHAnsi" w:hAnsiTheme="minorHAnsi" w:cstheme="minorHAnsi"/>
                <w:color w:val="000000"/>
                <w:sz w:val="22"/>
                <w:szCs w:val="22"/>
              </w:rPr>
            </w:pPr>
          </w:p>
        </w:tc>
      </w:tr>
      <w:tr w:rsidR="00A60206" w:rsidRPr="00DD5BA3" w:rsidTr="0005679A">
        <w:tc>
          <w:tcPr>
            <w:tcW w:w="3936" w:type="dxa"/>
          </w:tcPr>
          <w:p w:rsidR="00A60206" w:rsidRPr="00DD5BA3" w:rsidRDefault="00A60206"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Long-term creditors</w:t>
            </w:r>
          </w:p>
        </w:tc>
        <w:tc>
          <w:tcPr>
            <w:tcW w:w="850" w:type="dxa"/>
          </w:tcPr>
          <w:p w:rsidR="00A60206" w:rsidRPr="00DD5BA3" w:rsidRDefault="00A60206" w:rsidP="009F2360">
            <w:pPr>
              <w:jc w:val="right"/>
              <w:rPr>
                <w:rFonts w:asciiTheme="minorHAnsi" w:hAnsiTheme="minorHAnsi" w:cstheme="minorHAnsi"/>
                <w:color w:val="000000"/>
                <w:sz w:val="22"/>
                <w:szCs w:val="22"/>
              </w:rPr>
            </w:pPr>
          </w:p>
        </w:tc>
        <w:tc>
          <w:tcPr>
            <w:tcW w:w="1134" w:type="dxa"/>
          </w:tcPr>
          <w:p w:rsidR="00A60206" w:rsidRPr="00DD5BA3" w:rsidRDefault="002A41A9" w:rsidP="002A41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w:t>
            </w:r>
          </w:p>
        </w:tc>
        <w:tc>
          <w:tcPr>
            <w:tcW w:w="1134" w:type="dxa"/>
          </w:tcPr>
          <w:p w:rsidR="00A60206" w:rsidRPr="00DD5BA3" w:rsidRDefault="00A60206" w:rsidP="009F2360">
            <w:pPr>
              <w:jc w:val="right"/>
              <w:rPr>
                <w:rFonts w:asciiTheme="minorHAnsi" w:hAnsiTheme="minorHAnsi" w:cstheme="minorHAnsi"/>
                <w:color w:val="000000"/>
                <w:sz w:val="22"/>
                <w:szCs w:val="22"/>
              </w:rPr>
            </w:pPr>
          </w:p>
        </w:tc>
        <w:tc>
          <w:tcPr>
            <w:tcW w:w="1134" w:type="dxa"/>
            <w:shd w:val="clear" w:color="auto" w:fill="D9D9D9" w:themeFill="background1" w:themeFillShade="D9"/>
          </w:tcPr>
          <w:p w:rsidR="00A60206" w:rsidRPr="00DD5BA3" w:rsidRDefault="00C13D4E"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w:t>
            </w:r>
          </w:p>
        </w:tc>
        <w:tc>
          <w:tcPr>
            <w:tcW w:w="1134" w:type="dxa"/>
            <w:shd w:val="clear" w:color="auto" w:fill="D9D9D9" w:themeFill="background1" w:themeFillShade="D9"/>
          </w:tcPr>
          <w:p w:rsidR="00A60206" w:rsidRPr="00DD5BA3" w:rsidRDefault="00A60206" w:rsidP="009F2360">
            <w:pPr>
              <w:jc w:val="right"/>
              <w:rPr>
                <w:rFonts w:asciiTheme="minorHAnsi" w:hAnsiTheme="minorHAnsi" w:cstheme="minorHAnsi"/>
                <w:color w:val="000000"/>
                <w:sz w:val="22"/>
                <w:szCs w:val="22"/>
              </w:rPr>
            </w:pPr>
          </w:p>
        </w:tc>
      </w:tr>
      <w:tr w:rsidR="00A60206" w:rsidRPr="00DD5BA3" w:rsidTr="0005679A">
        <w:tc>
          <w:tcPr>
            <w:tcW w:w="3936" w:type="dxa"/>
          </w:tcPr>
          <w:p w:rsidR="00A60206" w:rsidRPr="00DD5BA3" w:rsidRDefault="00A60206"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Other long term liabilities</w:t>
            </w:r>
          </w:p>
        </w:tc>
        <w:tc>
          <w:tcPr>
            <w:tcW w:w="850" w:type="dxa"/>
          </w:tcPr>
          <w:p w:rsidR="00A60206" w:rsidRPr="00DD5BA3" w:rsidRDefault="00A60206" w:rsidP="009F2360">
            <w:pPr>
              <w:jc w:val="right"/>
              <w:rPr>
                <w:rFonts w:asciiTheme="minorHAnsi" w:hAnsiTheme="minorHAnsi" w:cstheme="minorHAnsi"/>
                <w:color w:val="000000"/>
                <w:sz w:val="22"/>
                <w:szCs w:val="22"/>
              </w:rPr>
            </w:pPr>
          </w:p>
        </w:tc>
        <w:tc>
          <w:tcPr>
            <w:tcW w:w="1134" w:type="dxa"/>
            <w:tcBorders>
              <w:bottom w:val="single" w:sz="4" w:space="0" w:color="auto"/>
            </w:tcBorders>
          </w:tcPr>
          <w:p w:rsidR="00A60206" w:rsidRPr="00DD5BA3" w:rsidRDefault="00A60206"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12</w:t>
            </w:r>
          </w:p>
        </w:tc>
        <w:tc>
          <w:tcPr>
            <w:tcW w:w="1134" w:type="dxa"/>
          </w:tcPr>
          <w:p w:rsidR="00A60206" w:rsidRPr="00DD5BA3" w:rsidRDefault="00A60206" w:rsidP="009F2360">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rsidR="00A60206" w:rsidRPr="00DD5BA3" w:rsidRDefault="00EB5338"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w:t>
            </w:r>
          </w:p>
        </w:tc>
        <w:tc>
          <w:tcPr>
            <w:tcW w:w="1134" w:type="dxa"/>
            <w:shd w:val="clear" w:color="auto" w:fill="D9D9D9" w:themeFill="background1" w:themeFillShade="D9"/>
          </w:tcPr>
          <w:p w:rsidR="00A60206" w:rsidRPr="00DD5BA3" w:rsidRDefault="00A60206" w:rsidP="009F2360">
            <w:pPr>
              <w:jc w:val="right"/>
              <w:rPr>
                <w:rFonts w:asciiTheme="minorHAnsi" w:hAnsiTheme="minorHAnsi" w:cstheme="minorHAnsi"/>
                <w:color w:val="000000"/>
                <w:sz w:val="22"/>
                <w:szCs w:val="22"/>
              </w:rPr>
            </w:pPr>
          </w:p>
        </w:tc>
      </w:tr>
      <w:tr w:rsidR="00A60206" w:rsidRPr="0068094B" w:rsidTr="001C43AB">
        <w:trPr>
          <w:trHeight w:val="357"/>
        </w:trPr>
        <w:tc>
          <w:tcPr>
            <w:tcW w:w="3936" w:type="dxa"/>
          </w:tcPr>
          <w:p w:rsidR="00A60206" w:rsidRPr="00DD5BA3" w:rsidRDefault="00A60206" w:rsidP="00C11D1C">
            <w:pPr>
              <w:rPr>
                <w:rFonts w:asciiTheme="minorHAnsi" w:hAnsiTheme="minorHAnsi" w:cstheme="minorHAnsi"/>
                <w:b/>
                <w:color w:val="000000"/>
                <w:sz w:val="22"/>
                <w:szCs w:val="22"/>
              </w:rPr>
            </w:pPr>
          </w:p>
        </w:tc>
        <w:tc>
          <w:tcPr>
            <w:tcW w:w="850" w:type="dxa"/>
          </w:tcPr>
          <w:p w:rsidR="00A60206" w:rsidRPr="00DD5BA3" w:rsidRDefault="00A60206" w:rsidP="009F2360">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vAlign w:val="center"/>
          </w:tcPr>
          <w:p w:rsidR="00A60206" w:rsidRPr="00DD5BA3" w:rsidRDefault="00A60206" w:rsidP="002671A7">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3,916</w:t>
            </w:r>
          </w:p>
        </w:tc>
        <w:tc>
          <w:tcPr>
            <w:tcW w:w="1134" w:type="dxa"/>
          </w:tcPr>
          <w:p w:rsidR="00A60206" w:rsidRPr="00DD5BA3" w:rsidRDefault="00A60206" w:rsidP="002671A7">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rsidR="00A60206" w:rsidRPr="00D16CC2" w:rsidRDefault="00EB5338" w:rsidP="005F012E">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3,181</w:t>
            </w:r>
          </w:p>
        </w:tc>
        <w:tc>
          <w:tcPr>
            <w:tcW w:w="1134" w:type="dxa"/>
            <w:shd w:val="clear" w:color="auto" w:fill="D9D9D9" w:themeFill="background1" w:themeFillShade="D9"/>
          </w:tcPr>
          <w:p w:rsidR="00A60206" w:rsidRPr="0068094B" w:rsidRDefault="00A60206" w:rsidP="009F2360">
            <w:pPr>
              <w:jc w:val="right"/>
              <w:rPr>
                <w:rFonts w:asciiTheme="minorHAnsi" w:hAnsiTheme="minorHAnsi" w:cstheme="minorHAnsi"/>
                <w:b/>
                <w:color w:val="000000"/>
                <w:sz w:val="22"/>
                <w:szCs w:val="22"/>
              </w:rPr>
            </w:pPr>
          </w:p>
        </w:tc>
      </w:tr>
    </w:tbl>
    <w:p w:rsidR="00C11D1C" w:rsidRPr="0068094B" w:rsidRDefault="00C11D1C" w:rsidP="000853D8">
      <w:pPr>
        <w:rPr>
          <w:rFonts w:asciiTheme="minorHAnsi" w:hAnsiTheme="minorHAnsi" w:cstheme="minorHAnsi"/>
          <w:b/>
          <w:sz w:val="22"/>
          <w:szCs w:val="22"/>
        </w:rPr>
      </w:pPr>
    </w:p>
    <w:p w:rsidR="0066246D" w:rsidRPr="00DD5BA3" w:rsidRDefault="0066246D" w:rsidP="0066246D">
      <w:pPr>
        <w:widowControl/>
        <w:tabs>
          <w:tab w:val="left" w:pos="0"/>
        </w:tabs>
        <w:autoSpaceDE w:val="0"/>
        <w:rPr>
          <w:rFonts w:asciiTheme="minorHAnsi" w:hAnsiTheme="minorHAnsi" w:cstheme="minorHAnsi"/>
          <w:sz w:val="22"/>
          <w:szCs w:val="22"/>
        </w:rPr>
      </w:pPr>
      <w:r w:rsidRPr="00DD5BA3">
        <w:rPr>
          <w:rFonts w:asciiTheme="minorHAnsi" w:hAnsiTheme="minorHAnsi" w:cstheme="minorHAnsi"/>
          <w:color w:val="000000"/>
          <w:sz w:val="22"/>
          <w:szCs w:val="22"/>
        </w:rPr>
        <w:lastRenderedPageBreak/>
        <w:t>During 2019-20 the Council re-categorised the fair value level of its valuation of the CCLA local authority property fund and transferred these funds from fair value level</w:t>
      </w:r>
      <w:r w:rsidR="00BB5C3C" w:rsidRPr="00DD5BA3">
        <w:rPr>
          <w:rFonts w:asciiTheme="minorHAnsi" w:hAnsiTheme="minorHAnsi" w:cstheme="minorHAnsi"/>
          <w:color w:val="000000"/>
          <w:sz w:val="22"/>
          <w:szCs w:val="22"/>
        </w:rPr>
        <w:t xml:space="preserve"> 1 </w:t>
      </w:r>
      <w:r w:rsidRPr="00DD5BA3">
        <w:rPr>
          <w:rFonts w:asciiTheme="minorHAnsi" w:hAnsiTheme="minorHAnsi" w:cstheme="minorHAnsi"/>
          <w:color w:val="000000"/>
          <w:sz w:val="22"/>
          <w:szCs w:val="22"/>
        </w:rPr>
        <w:t>to level</w:t>
      </w:r>
      <w:r w:rsidR="00BB5C3C" w:rsidRPr="00DD5BA3">
        <w:rPr>
          <w:rFonts w:asciiTheme="minorHAnsi" w:hAnsiTheme="minorHAnsi" w:cstheme="minorHAnsi"/>
          <w:color w:val="000000"/>
          <w:sz w:val="22"/>
          <w:szCs w:val="22"/>
        </w:rPr>
        <w:t xml:space="preserve"> 2</w:t>
      </w:r>
      <w:r w:rsidRPr="00DD5BA3">
        <w:rPr>
          <w:rFonts w:asciiTheme="minorHAnsi" w:hAnsiTheme="minorHAnsi" w:cstheme="minorHAnsi"/>
          <w:color w:val="000000"/>
          <w:sz w:val="22"/>
          <w:szCs w:val="22"/>
        </w:rPr>
        <w:t>. This decision followed the suspension of dealing in this fund in March 2020. At the measurement date, the Council no longer had access to an active market in these funds which is required to reach a level 1 valuation.</w:t>
      </w:r>
    </w:p>
    <w:p w:rsidR="0066246D" w:rsidRPr="00DD5BA3" w:rsidRDefault="0066246D" w:rsidP="00BB5C3C">
      <w:pPr>
        <w:widowControl/>
        <w:tabs>
          <w:tab w:val="left" w:pos="0"/>
        </w:tabs>
        <w:autoSpaceDE w:val="0"/>
        <w:rPr>
          <w:rFonts w:asciiTheme="minorHAnsi" w:hAnsiTheme="minorHAnsi" w:cstheme="minorHAnsi"/>
          <w:sz w:val="22"/>
          <w:szCs w:val="22"/>
        </w:rPr>
      </w:pPr>
    </w:p>
    <w:p w:rsidR="00BB5C3C" w:rsidRPr="00DD5BA3" w:rsidRDefault="00BB5C3C" w:rsidP="00BB5C3C">
      <w:pPr>
        <w:widowControl/>
        <w:tabs>
          <w:tab w:val="left" w:pos="0"/>
        </w:tabs>
        <w:autoSpaceDE w:val="0"/>
        <w:rPr>
          <w:rFonts w:asciiTheme="minorHAnsi" w:hAnsiTheme="minorHAnsi" w:cstheme="minorHAnsi"/>
          <w:sz w:val="22"/>
          <w:szCs w:val="22"/>
        </w:rPr>
      </w:pPr>
      <w:r w:rsidRPr="00DD5BA3">
        <w:rPr>
          <w:rFonts w:asciiTheme="minorHAnsi" w:hAnsiTheme="minorHAnsi" w:cstheme="minorHAnsi"/>
          <w:sz w:val="22"/>
          <w:szCs w:val="22"/>
        </w:rPr>
        <w:t>The value shown for debtors and creditors are different to the figures reported under notes 1</w:t>
      </w:r>
      <w:r w:rsidR="00A90626" w:rsidRPr="00DD5BA3">
        <w:rPr>
          <w:rFonts w:asciiTheme="minorHAnsi" w:hAnsiTheme="minorHAnsi" w:cstheme="minorHAnsi"/>
          <w:sz w:val="22"/>
          <w:szCs w:val="22"/>
        </w:rPr>
        <w:t>6</w:t>
      </w:r>
      <w:r w:rsidRPr="00DD5BA3">
        <w:rPr>
          <w:rFonts w:asciiTheme="minorHAnsi" w:hAnsiTheme="minorHAnsi" w:cstheme="minorHAnsi"/>
          <w:sz w:val="22"/>
          <w:szCs w:val="22"/>
        </w:rPr>
        <w:t xml:space="preserve"> and 1</w:t>
      </w:r>
      <w:r w:rsidR="00A90626" w:rsidRPr="00DD5BA3">
        <w:rPr>
          <w:rFonts w:asciiTheme="minorHAnsi" w:hAnsiTheme="minorHAnsi" w:cstheme="minorHAnsi"/>
          <w:sz w:val="22"/>
          <w:szCs w:val="22"/>
        </w:rPr>
        <w:t>8</w:t>
      </w:r>
      <w:r w:rsidRPr="00DD5BA3">
        <w:rPr>
          <w:rFonts w:asciiTheme="minorHAnsi" w:hAnsiTheme="minorHAnsi" w:cstheme="minorHAnsi"/>
          <w:sz w:val="22"/>
          <w:szCs w:val="22"/>
        </w:rPr>
        <w:t xml:space="preserve"> due to the exclusion of </w:t>
      </w:r>
      <w:r w:rsidR="000F0098" w:rsidRPr="00DD5BA3">
        <w:rPr>
          <w:rFonts w:asciiTheme="minorHAnsi" w:hAnsiTheme="minorHAnsi" w:cstheme="minorHAnsi"/>
          <w:sz w:val="22"/>
          <w:szCs w:val="22"/>
        </w:rPr>
        <w:t>amounts</w:t>
      </w:r>
      <w:r w:rsidRPr="00DD5BA3">
        <w:rPr>
          <w:rFonts w:asciiTheme="minorHAnsi" w:hAnsiTheme="minorHAnsi" w:cstheme="minorHAnsi"/>
          <w:sz w:val="22"/>
          <w:szCs w:val="22"/>
        </w:rPr>
        <w:t xml:space="preserve"> not considered to be financial instruments.</w:t>
      </w:r>
    </w:p>
    <w:p w:rsidR="000853D8" w:rsidRPr="00DD5BA3" w:rsidRDefault="000853D8" w:rsidP="000853D8">
      <w:pPr>
        <w:rPr>
          <w:rFonts w:asciiTheme="minorHAnsi" w:hAnsiTheme="minorHAnsi" w:cstheme="minorHAnsi"/>
          <w:sz w:val="22"/>
          <w:szCs w:val="22"/>
        </w:rPr>
      </w:pPr>
    </w:p>
    <w:p w:rsidR="00183652" w:rsidRPr="00DD5BA3"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DD5BA3">
        <w:rPr>
          <w:rFonts w:asciiTheme="minorHAnsi" w:hAnsiTheme="minorHAnsi" w:cstheme="minorHAnsi"/>
          <w:b/>
          <w:bCs/>
          <w:szCs w:val="22"/>
        </w:rPr>
        <w:t>Short Term Debtors</w:t>
      </w:r>
    </w:p>
    <w:p w:rsidR="0031760C" w:rsidRPr="00DD5BA3" w:rsidRDefault="0031760C" w:rsidP="00ED3B24">
      <w:pPr>
        <w:tabs>
          <w:tab w:val="left" w:pos="0"/>
        </w:tabs>
        <w:jc w:val="both"/>
        <w:rPr>
          <w:rFonts w:asciiTheme="minorHAnsi" w:hAnsiTheme="minorHAnsi" w:cstheme="minorHAnsi"/>
          <w:b/>
          <w:bCs/>
          <w:sz w:val="22"/>
          <w:szCs w:val="22"/>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hort Term Debtors"/>
      </w:tblPr>
      <w:tblGrid>
        <w:gridCol w:w="993"/>
        <w:gridCol w:w="1134"/>
        <w:gridCol w:w="1134"/>
        <w:gridCol w:w="2835"/>
        <w:gridCol w:w="900"/>
        <w:gridCol w:w="1107"/>
        <w:gridCol w:w="1019"/>
      </w:tblGrid>
      <w:tr w:rsidR="00156DA9" w:rsidRPr="00DD5BA3" w:rsidTr="003B5F7F">
        <w:trPr>
          <w:tblHeader/>
        </w:trPr>
        <w:tc>
          <w:tcPr>
            <w:tcW w:w="3261" w:type="dxa"/>
            <w:gridSpan w:val="3"/>
          </w:tcPr>
          <w:p w:rsidR="00156DA9" w:rsidRPr="00DD5BA3" w:rsidRDefault="00156DA9" w:rsidP="00D05924">
            <w:pPr>
              <w:tabs>
                <w:tab w:val="left" w:pos="0"/>
              </w:tabs>
              <w:jc w:val="center"/>
              <w:rPr>
                <w:rFonts w:asciiTheme="minorHAnsi" w:hAnsiTheme="minorHAnsi" w:cstheme="minorHAnsi"/>
                <w:b/>
                <w:bCs/>
                <w:sz w:val="22"/>
                <w:szCs w:val="22"/>
              </w:rPr>
            </w:pPr>
            <w:r w:rsidRPr="00DD5BA3">
              <w:rPr>
                <w:rFonts w:asciiTheme="minorHAnsi" w:hAnsiTheme="minorHAnsi" w:cstheme="minorHAnsi"/>
                <w:b/>
                <w:bCs/>
                <w:sz w:val="22"/>
                <w:szCs w:val="22"/>
              </w:rPr>
              <w:t>31 March 201</w:t>
            </w:r>
            <w:r w:rsidR="00D05924" w:rsidRPr="00DD5BA3">
              <w:rPr>
                <w:rFonts w:asciiTheme="minorHAnsi" w:hAnsiTheme="minorHAnsi" w:cstheme="minorHAnsi"/>
                <w:b/>
                <w:bCs/>
                <w:sz w:val="22"/>
                <w:szCs w:val="22"/>
              </w:rPr>
              <w:t>9</w:t>
            </w:r>
          </w:p>
        </w:tc>
        <w:tc>
          <w:tcPr>
            <w:tcW w:w="2835" w:type="dxa"/>
          </w:tcPr>
          <w:p w:rsidR="00156DA9" w:rsidRPr="00DD5BA3" w:rsidRDefault="00156DA9" w:rsidP="0031760C">
            <w:pPr>
              <w:tabs>
                <w:tab w:val="left" w:pos="0"/>
              </w:tabs>
              <w:jc w:val="both"/>
              <w:rPr>
                <w:rFonts w:asciiTheme="minorHAnsi" w:hAnsiTheme="minorHAnsi" w:cstheme="minorHAnsi"/>
                <w:b/>
                <w:bCs/>
                <w:sz w:val="22"/>
                <w:szCs w:val="22"/>
              </w:rPr>
            </w:pPr>
          </w:p>
        </w:tc>
        <w:tc>
          <w:tcPr>
            <w:tcW w:w="3026" w:type="dxa"/>
            <w:gridSpan w:val="3"/>
            <w:shd w:val="clear" w:color="auto" w:fill="D9D9D9" w:themeFill="background1" w:themeFillShade="D9"/>
          </w:tcPr>
          <w:p w:rsidR="00156DA9" w:rsidRPr="00DD5BA3" w:rsidRDefault="00156DA9" w:rsidP="00D05924">
            <w:pPr>
              <w:tabs>
                <w:tab w:val="left" w:pos="0"/>
              </w:tabs>
              <w:jc w:val="center"/>
              <w:rPr>
                <w:rFonts w:asciiTheme="minorHAnsi" w:hAnsiTheme="minorHAnsi" w:cstheme="minorHAnsi"/>
                <w:b/>
                <w:bCs/>
                <w:sz w:val="22"/>
                <w:szCs w:val="22"/>
              </w:rPr>
            </w:pPr>
            <w:r w:rsidRPr="00DD5BA3">
              <w:rPr>
                <w:rFonts w:asciiTheme="minorHAnsi" w:hAnsiTheme="minorHAnsi" w:cstheme="minorHAnsi"/>
                <w:b/>
                <w:bCs/>
                <w:sz w:val="22"/>
                <w:szCs w:val="22"/>
              </w:rPr>
              <w:t>31 March 20</w:t>
            </w:r>
            <w:r w:rsidR="00D05924" w:rsidRPr="00DD5BA3">
              <w:rPr>
                <w:rFonts w:asciiTheme="minorHAnsi" w:hAnsiTheme="minorHAnsi" w:cstheme="minorHAnsi"/>
                <w:b/>
                <w:bCs/>
                <w:sz w:val="22"/>
                <w:szCs w:val="22"/>
              </w:rPr>
              <w:t>20</w:t>
            </w:r>
          </w:p>
        </w:tc>
      </w:tr>
      <w:tr w:rsidR="0031760C" w:rsidRPr="00DD5BA3" w:rsidTr="005F262C">
        <w:tc>
          <w:tcPr>
            <w:tcW w:w="993" w:type="dxa"/>
          </w:tcPr>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Gross</w:t>
            </w:r>
          </w:p>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1134" w:type="dxa"/>
          </w:tcPr>
          <w:p w:rsidR="00156DA9" w:rsidRPr="00DD5BA3" w:rsidRDefault="00156DA9" w:rsidP="00156DA9">
            <w:pPr>
              <w:tabs>
                <w:tab w:val="left" w:pos="0"/>
              </w:tabs>
              <w:jc w:val="right"/>
              <w:rPr>
                <w:rFonts w:asciiTheme="minorHAnsi" w:hAnsiTheme="minorHAnsi" w:cstheme="minorHAnsi"/>
                <w:b/>
                <w:bCs/>
                <w:sz w:val="22"/>
                <w:szCs w:val="22"/>
              </w:rPr>
            </w:pPr>
          </w:p>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Provision</w:t>
            </w:r>
          </w:p>
        </w:tc>
        <w:tc>
          <w:tcPr>
            <w:tcW w:w="1134" w:type="dxa"/>
          </w:tcPr>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Carrying</w:t>
            </w:r>
          </w:p>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2835" w:type="dxa"/>
          </w:tcPr>
          <w:p w:rsidR="0031760C" w:rsidRPr="00DD5BA3" w:rsidRDefault="0031760C" w:rsidP="0031760C">
            <w:pPr>
              <w:tabs>
                <w:tab w:val="left" w:pos="0"/>
              </w:tabs>
              <w:jc w:val="both"/>
              <w:rPr>
                <w:rFonts w:asciiTheme="minorHAnsi" w:hAnsiTheme="minorHAnsi" w:cstheme="minorHAnsi"/>
                <w:b/>
                <w:bCs/>
                <w:sz w:val="22"/>
                <w:szCs w:val="22"/>
              </w:rPr>
            </w:pPr>
          </w:p>
        </w:tc>
        <w:tc>
          <w:tcPr>
            <w:tcW w:w="900" w:type="dxa"/>
            <w:shd w:val="clear" w:color="auto" w:fill="D9D9D9" w:themeFill="background1" w:themeFillShade="D9"/>
          </w:tcPr>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Gross</w:t>
            </w:r>
          </w:p>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1107" w:type="dxa"/>
            <w:shd w:val="clear" w:color="auto" w:fill="D9D9D9" w:themeFill="background1" w:themeFillShade="D9"/>
          </w:tcPr>
          <w:p w:rsidR="00156DA9" w:rsidRPr="00DD5BA3" w:rsidRDefault="00156DA9" w:rsidP="00156DA9">
            <w:pPr>
              <w:tabs>
                <w:tab w:val="left" w:pos="0"/>
              </w:tabs>
              <w:jc w:val="right"/>
              <w:rPr>
                <w:rFonts w:asciiTheme="minorHAnsi" w:hAnsiTheme="minorHAnsi" w:cstheme="minorHAnsi"/>
                <w:b/>
                <w:bCs/>
                <w:sz w:val="22"/>
                <w:szCs w:val="22"/>
              </w:rPr>
            </w:pPr>
          </w:p>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Provision</w:t>
            </w:r>
          </w:p>
        </w:tc>
        <w:tc>
          <w:tcPr>
            <w:tcW w:w="1019" w:type="dxa"/>
            <w:shd w:val="clear" w:color="auto" w:fill="D9D9D9" w:themeFill="background1" w:themeFillShade="D9"/>
          </w:tcPr>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Carrying</w:t>
            </w:r>
          </w:p>
          <w:p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r>
      <w:tr w:rsidR="00156DA9" w:rsidRPr="00DD5BA3" w:rsidTr="005F262C">
        <w:tc>
          <w:tcPr>
            <w:tcW w:w="993" w:type="dxa"/>
          </w:tcPr>
          <w:p w:rsidR="00156DA9" w:rsidRPr="00DD5BA3" w:rsidRDefault="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£000</w:t>
            </w:r>
          </w:p>
        </w:tc>
        <w:tc>
          <w:tcPr>
            <w:tcW w:w="1134" w:type="dxa"/>
          </w:tcPr>
          <w:p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1134" w:type="dxa"/>
          </w:tcPr>
          <w:p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2835" w:type="dxa"/>
          </w:tcPr>
          <w:p w:rsidR="00156DA9" w:rsidRPr="00DD5BA3" w:rsidRDefault="00156DA9" w:rsidP="00ED3B24">
            <w:pPr>
              <w:tabs>
                <w:tab w:val="left" w:pos="0"/>
              </w:tabs>
              <w:rPr>
                <w:rFonts w:asciiTheme="minorHAnsi" w:hAnsiTheme="minorHAnsi" w:cstheme="minorHAnsi"/>
                <w:sz w:val="22"/>
                <w:szCs w:val="22"/>
              </w:rPr>
            </w:pPr>
          </w:p>
        </w:tc>
        <w:tc>
          <w:tcPr>
            <w:tcW w:w="900" w:type="dxa"/>
            <w:shd w:val="clear" w:color="auto" w:fill="D9D9D9" w:themeFill="background1" w:themeFillShade="D9"/>
          </w:tcPr>
          <w:p w:rsidR="00156DA9" w:rsidRPr="00DD5BA3" w:rsidRDefault="00156DA9"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£000</w:t>
            </w:r>
          </w:p>
        </w:tc>
        <w:tc>
          <w:tcPr>
            <w:tcW w:w="1107" w:type="dxa"/>
            <w:shd w:val="clear" w:color="auto" w:fill="D9D9D9" w:themeFill="background1" w:themeFillShade="D9"/>
          </w:tcPr>
          <w:p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1019" w:type="dxa"/>
            <w:shd w:val="clear" w:color="auto" w:fill="D9D9D9" w:themeFill="background1" w:themeFillShade="D9"/>
          </w:tcPr>
          <w:p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r>
      <w:tr w:rsidR="00D05924" w:rsidRPr="00DD5BA3" w:rsidTr="005F262C">
        <w:tc>
          <w:tcPr>
            <w:tcW w:w="993"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847</w:t>
            </w:r>
          </w:p>
        </w:tc>
        <w:tc>
          <w:tcPr>
            <w:tcW w:w="1134" w:type="dxa"/>
          </w:tcPr>
          <w:p w:rsidR="00D05924" w:rsidRPr="00DD5BA3" w:rsidRDefault="002A41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0</w:t>
            </w:r>
          </w:p>
        </w:tc>
        <w:tc>
          <w:tcPr>
            <w:tcW w:w="1134" w:type="dxa"/>
          </w:tcPr>
          <w:p w:rsidR="00D05924" w:rsidRPr="00DD5BA3" w:rsidRDefault="00D05924"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847</w:t>
            </w:r>
          </w:p>
        </w:tc>
        <w:tc>
          <w:tcPr>
            <w:tcW w:w="2835" w:type="dxa"/>
          </w:tcPr>
          <w:p w:rsidR="00D05924" w:rsidRPr="00DD5BA3" w:rsidRDefault="00D05924" w:rsidP="00ED3B24">
            <w:pPr>
              <w:tabs>
                <w:tab w:val="left" w:pos="0"/>
              </w:tabs>
              <w:rPr>
                <w:rFonts w:asciiTheme="minorHAnsi" w:hAnsiTheme="minorHAnsi" w:cstheme="minorHAnsi"/>
                <w:bCs/>
                <w:sz w:val="22"/>
                <w:szCs w:val="22"/>
              </w:rPr>
            </w:pPr>
            <w:r w:rsidRPr="00DD5BA3">
              <w:rPr>
                <w:rFonts w:asciiTheme="minorHAnsi" w:hAnsiTheme="minorHAnsi" w:cstheme="minorHAnsi"/>
                <w:sz w:val="22"/>
                <w:szCs w:val="22"/>
              </w:rPr>
              <w:t>Central Government Bodies</w:t>
            </w:r>
          </w:p>
        </w:tc>
        <w:tc>
          <w:tcPr>
            <w:tcW w:w="900" w:type="dxa"/>
            <w:shd w:val="clear" w:color="auto" w:fill="D9D9D9" w:themeFill="background1" w:themeFillShade="D9"/>
          </w:tcPr>
          <w:p w:rsidR="00D05924" w:rsidRPr="00DD5BA3" w:rsidRDefault="00C13D4E"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241</w:t>
            </w:r>
          </w:p>
        </w:tc>
        <w:tc>
          <w:tcPr>
            <w:tcW w:w="1107" w:type="dxa"/>
            <w:shd w:val="clear" w:color="auto" w:fill="D9D9D9" w:themeFill="background1" w:themeFillShade="D9"/>
          </w:tcPr>
          <w:p w:rsidR="00D05924" w:rsidRPr="00DD5BA3" w:rsidRDefault="002A41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0</w:t>
            </w:r>
          </w:p>
        </w:tc>
        <w:tc>
          <w:tcPr>
            <w:tcW w:w="1019" w:type="dxa"/>
            <w:shd w:val="clear" w:color="auto" w:fill="D9D9D9" w:themeFill="background1" w:themeFillShade="D9"/>
          </w:tcPr>
          <w:p w:rsidR="00D05924" w:rsidRPr="00DD5BA3" w:rsidRDefault="00C13D4E"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241</w:t>
            </w:r>
          </w:p>
        </w:tc>
      </w:tr>
      <w:tr w:rsidR="00D05924" w:rsidRPr="00DD5BA3" w:rsidTr="005F262C">
        <w:tc>
          <w:tcPr>
            <w:tcW w:w="993" w:type="dxa"/>
          </w:tcPr>
          <w:p w:rsidR="00D05924" w:rsidRPr="00DD5BA3" w:rsidRDefault="00D05924"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810</w:t>
            </w:r>
          </w:p>
        </w:tc>
        <w:tc>
          <w:tcPr>
            <w:tcW w:w="1134"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(372)</w:t>
            </w:r>
          </w:p>
        </w:tc>
        <w:tc>
          <w:tcPr>
            <w:tcW w:w="1134"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438</w:t>
            </w:r>
          </w:p>
        </w:tc>
        <w:tc>
          <w:tcPr>
            <w:tcW w:w="2835" w:type="dxa"/>
          </w:tcPr>
          <w:p w:rsidR="00D05924" w:rsidRPr="00DD5BA3" w:rsidRDefault="00D05924" w:rsidP="00ED3B24">
            <w:pPr>
              <w:tabs>
                <w:tab w:val="left" w:pos="0"/>
              </w:tabs>
              <w:rPr>
                <w:rFonts w:asciiTheme="minorHAnsi" w:hAnsiTheme="minorHAnsi" w:cstheme="minorHAnsi"/>
                <w:sz w:val="22"/>
                <w:szCs w:val="22"/>
              </w:rPr>
            </w:pPr>
            <w:r w:rsidRPr="00DD5BA3">
              <w:rPr>
                <w:rFonts w:asciiTheme="minorHAnsi" w:hAnsiTheme="minorHAnsi" w:cstheme="minorHAnsi"/>
                <w:sz w:val="22"/>
                <w:szCs w:val="22"/>
              </w:rPr>
              <w:t>Council Tax</w:t>
            </w:r>
          </w:p>
        </w:tc>
        <w:tc>
          <w:tcPr>
            <w:tcW w:w="900" w:type="dxa"/>
            <w:shd w:val="clear" w:color="auto" w:fill="D9D9D9" w:themeFill="background1" w:themeFillShade="D9"/>
          </w:tcPr>
          <w:p w:rsidR="00D05924" w:rsidRPr="00DD5BA3" w:rsidRDefault="00894C60"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923</w:t>
            </w:r>
          </w:p>
        </w:tc>
        <w:tc>
          <w:tcPr>
            <w:tcW w:w="1107" w:type="dxa"/>
            <w:shd w:val="clear" w:color="auto" w:fill="D9D9D9" w:themeFill="background1" w:themeFillShade="D9"/>
          </w:tcPr>
          <w:p w:rsidR="00D05924" w:rsidRPr="00DD5BA3" w:rsidRDefault="002A41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(506)</w:t>
            </w:r>
          </w:p>
        </w:tc>
        <w:tc>
          <w:tcPr>
            <w:tcW w:w="1019" w:type="dxa"/>
            <w:shd w:val="clear" w:color="auto" w:fill="D9D9D9" w:themeFill="background1" w:themeFillShade="D9"/>
          </w:tcPr>
          <w:p w:rsidR="00D05924" w:rsidRPr="00DD5BA3" w:rsidRDefault="00894C60"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417</w:t>
            </w:r>
          </w:p>
        </w:tc>
      </w:tr>
      <w:tr w:rsidR="00D05924" w:rsidRPr="00DD5BA3" w:rsidTr="005F262C">
        <w:tc>
          <w:tcPr>
            <w:tcW w:w="993"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719</w:t>
            </w:r>
          </w:p>
        </w:tc>
        <w:tc>
          <w:tcPr>
            <w:tcW w:w="1134"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(212)</w:t>
            </w:r>
          </w:p>
        </w:tc>
        <w:tc>
          <w:tcPr>
            <w:tcW w:w="1134"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507</w:t>
            </w:r>
          </w:p>
        </w:tc>
        <w:tc>
          <w:tcPr>
            <w:tcW w:w="2835" w:type="dxa"/>
          </w:tcPr>
          <w:p w:rsidR="00D05924" w:rsidRPr="00DD5BA3" w:rsidRDefault="00D05924" w:rsidP="00ED3B24">
            <w:pPr>
              <w:tabs>
                <w:tab w:val="left" w:pos="0"/>
              </w:tabs>
              <w:rPr>
                <w:rFonts w:asciiTheme="minorHAnsi" w:hAnsiTheme="minorHAnsi" w:cstheme="minorHAnsi"/>
                <w:sz w:val="22"/>
                <w:szCs w:val="22"/>
              </w:rPr>
            </w:pPr>
            <w:r w:rsidRPr="00DD5BA3">
              <w:rPr>
                <w:rFonts w:asciiTheme="minorHAnsi" w:hAnsiTheme="minorHAnsi" w:cstheme="minorHAnsi"/>
                <w:sz w:val="22"/>
                <w:szCs w:val="22"/>
              </w:rPr>
              <w:t>Business Rates</w:t>
            </w:r>
          </w:p>
        </w:tc>
        <w:tc>
          <w:tcPr>
            <w:tcW w:w="900" w:type="dxa"/>
            <w:shd w:val="clear" w:color="auto" w:fill="D9D9D9" w:themeFill="background1" w:themeFillShade="D9"/>
          </w:tcPr>
          <w:p w:rsidR="00D05924" w:rsidRPr="00DD5BA3" w:rsidRDefault="00C13D4E" w:rsidP="00F966E7">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372</w:t>
            </w:r>
          </w:p>
        </w:tc>
        <w:tc>
          <w:tcPr>
            <w:tcW w:w="1107" w:type="dxa"/>
            <w:shd w:val="clear" w:color="auto" w:fill="D9D9D9" w:themeFill="background1" w:themeFillShade="D9"/>
          </w:tcPr>
          <w:p w:rsidR="00D05924" w:rsidRPr="00DD5BA3" w:rsidRDefault="00C13D4E"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(188</w:t>
            </w:r>
            <w:r w:rsidR="002A41A9" w:rsidRPr="00DD5BA3">
              <w:rPr>
                <w:rFonts w:asciiTheme="minorHAnsi" w:hAnsiTheme="minorHAnsi" w:cstheme="minorHAnsi"/>
                <w:bCs/>
                <w:sz w:val="22"/>
                <w:szCs w:val="22"/>
              </w:rPr>
              <w:t>)</w:t>
            </w:r>
          </w:p>
        </w:tc>
        <w:tc>
          <w:tcPr>
            <w:tcW w:w="1019" w:type="dxa"/>
            <w:shd w:val="clear" w:color="auto" w:fill="D9D9D9" w:themeFill="background1" w:themeFillShade="D9"/>
          </w:tcPr>
          <w:p w:rsidR="00D05924" w:rsidRPr="00DD5BA3" w:rsidRDefault="00C13D4E"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184</w:t>
            </w:r>
          </w:p>
        </w:tc>
      </w:tr>
      <w:tr w:rsidR="00D05924" w:rsidRPr="00DD5BA3" w:rsidTr="005F262C">
        <w:tc>
          <w:tcPr>
            <w:tcW w:w="993" w:type="dxa"/>
          </w:tcPr>
          <w:p w:rsidR="00D05924" w:rsidRPr="00DD5BA3" w:rsidRDefault="00D05924"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4,815</w:t>
            </w:r>
          </w:p>
        </w:tc>
        <w:tc>
          <w:tcPr>
            <w:tcW w:w="1134" w:type="dxa"/>
          </w:tcPr>
          <w:p w:rsidR="00D05924" w:rsidRPr="00DD5BA3" w:rsidRDefault="002A41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0</w:t>
            </w:r>
          </w:p>
        </w:tc>
        <w:tc>
          <w:tcPr>
            <w:tcW w:w="1134"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4,815</w:t>
            </w:r>
          </w:p>
        </w:tc>
        <w:tc>
          <w:tcPr>
            <w:tcW w:w="2835" w:type="dxa"/>
          </w:tcPr>
          <w:p w:rsidR="00D05924" w:rsidRPr="00DD5BA3" w:rsidRDefault="00D05924" w:rsidP="00ED3B24">
            <w:pPr>
              <w:tabs>
                <w:tab w:val="left" w:pos="0"/>
              </w:tabs>
              <w:rPr>
                <w:rFonts w:asciiTheme="minorHAnsi" w:hAnsiTheme="minorHAnsi" w:cstheme="minorHAnsi"/>
                <w:sz w:val="22"/>
                <w:szCs w:val="22"/>
              </w:rPr>
            </w:pPr>
            <w:r w:rsidRPr="00DD5BA3">
              <w:rPr>
                <w:rFonts w:asciiTheme="minorHAnsi" w:hAnsiTheme="minorHAnsi" w:cstheme="minorHAnsi"/>
                <w:sz w:val="22"/>
                <w:szCs w:val="22"/>
              </w:rPr>
              <w:t>Other local authorities and public bodies</w:t>
            </w:r>
          </w:p>
        </w:tc>
        <w:tc>
          <w:tcPr>
            <w:tcW w:w="900" w:type="dxa"/>
            <w:shd w:val="clear" w:color="auto" w:fill="D9D9D9" w:themeFill="background1" w:themeFillShade="D9"/>
          </w:tcPr>
          <w:p w:rsidR="00D05924" w:rsidRPr="00DD5BA3" w:rsidRDefault="00C13D4E"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252</w:t>
            </w:r>
          </w:p>
        </w:tc>
        <w:tc>
          <w:tcPr>
            <w:tcW w:w="1107" w:type="dxa"/>
            <w:shd w:val="clear" w:color="auto" w:fill="D9D9D9" w:themeFill="background1" w:themeFillShade="D9"/>
          </w:tcPr>
          <w:p w:rsidR="00D05924" w:rsidRPr="00DD5BA3" w:rsidRDefault="00C13D4E"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(4)</w:t>
            </w:r>
          </w:p>
        </w:tc>
        <w:tc>
          <w:tcPr>
            <w:tcW w:w="1019" w:type="dxa"/>
            <w:shd w:val="clear" w:color="auto" w:fill="D9D9D9" w:themeFill="background1" w:themeFillShade="D9"/>
          </w:tcPr>
          <w:p w:rsidR="00D05924" w:rsidRPr="00DD5BA3" w:rsidRDefault="00C13D4E"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248</w:t>
            </w:r>
          </w:p>
        </w:tc>
      </w:tr>
      <w:tr w:rsidR="00D05924" w:rsidRPr="00DD5BA3" w:rsidTr="005F262C">
        <w:tc>
          <w:tcPr>
            <w:tcW w:w="993"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435</w:t>
            </w:r>
          </w:p>
        </w:tc>
        <w:tc>
          <w:tcPr>
            <w:tcW w:w="1134" w:type="dxa"/>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(271)</w:t>
            </w:r>
          </w:p>
        </w:tc>
        <w:tc>
          <w:tcPr>
            <w:tcW w:w="1134" w:type="dxa"/>
          </w:tcPr>
          <w:p w:rsidR="00D05924" w:rsidRPr="00DD5BA3" w:rsidRDefault="00D05924" w:rsidP="0025170F">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164</w:t>
            </w:r>
          </w:p>
        </w:tc>
        <w:tc>
          <w:tcPr>
            <w:tcW w:w="2835" w:type="dxa"/>
          </w:tcPr>
          <w:p w:rsidR="00D05924" w:rsidRPr="00DD5BA3" w:rsidRDefault="00D05924" w:rsidP="0025170F">
            <w:pPr>
              <w:tabs>
                <w:tab w:val="left" w:pos="0"/>
              </w:tabs>
              <w:rPr>
                <w:rFonts w:asciiTheme="minorHAnsi" w:hAnsiTheme="minorHAnsi" w:cstheme="minorHAnsi"/>
                <w:sz w:val="22"/>
                <w:szCs w:val="22"/>
              </w:rPr>
            </w:pPr>
            <w:r w:rsidRPr="00DD5BA3">
              <w:rPr>
                <w:rFonts w:asciiTheme="minorHAnsi" w:hAnsiTheme="minorHAnsi" w:cstheme="minorHAnsi"/>
                <w:sz w:val="22"/>
                <w:szCs w:val="22"/>
              </w:rPr>
              <w:t>Housing Rents</w:t>
            </w:r>
          </w:p>
        </w:tc>
        <w:tc>
          <w:tcPr>
            <w:tcW w:w="900" w:type="dxa"/>
            <w:shd w:val="clear" w:color="auto" w:fill="D9D9D9" w:themeFill="background1" w:themeFillShade="D9"/>
          </w:tcPr>
          <w:p w:rsidR="00D05924" w:rsidRPr="00DD5BA3" w:rsidRDefault="00C13D4E" w:rsidP="0025170F">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534</w:t>
            </w:r>
          </w:p>
        </w:tc>
        <w:tc>
          <w:tcPr>
            <w:tcW w:w="1107" w:type="dxa"/>
            <w:shd w:val="clear" w:color="auto" w:fill="D9D9D9" w:themeFill="background1" w:themeFillShade="D9"/>
          </w:tcPr>
          <w:p w:rsidR="00D05924" w:rsidRPr="00DD5BA3" w:rsidRDefault="00C13D4E" w:rsidP="0008035D">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(299)</w:t>
            </w:r>
          </w:p>
        </w:tc>
        <w:tc>
          <w:tcPr>
            <w:tcW w:w="1019" w:type="dxa"/>
            <w:shd w:val="clear" w:color="auto" w:fill="D9D9D9" w:themeFill="background1" w:themeFillShade="D9"/>
          </w:tcPr>
          <w:p w:rsidR="00D05924" w:rsidRPr="00DD5BA3" w:rsidRDefault="00C13D4E" w:rsidP="0008035D">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235</w:t>
            </w:r>
          </w:p>
        </w:tc>
      </w:tr>
      <w:tr w:rsidR="00D05924" w:rsidRPr="00DD5BA3" w:rsidTr="005F262C">
        <w:tc>
          <w:tcPr>
            <w:tcW w:w="993" w:type="dxa"/>
            <w:tcBorders>
              <w:bottom w:val="single" w:sz="4" w:space="0" w:color="auto"/>
            </w:tcBorders>
          </w:tcPr>
          <w:p w:rsidR="00D05924" w:rsidRPr="00DD5BA3" w:rsidRDefault="00D05924" w:rsidP="00A9611A">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8,5</w:t>
            </w:r>
            <w:r w:rsidR="00A9611A" w:rsidRPr="00DD5BA3">
              <w:rPr>
                <w:rFonts w:asciiTheme="minorHAnsi" w:hAnsiTheme="minorHAnsi" w:cstheme="minorHAnsi"/>
                <w:bCs/>
                <w:sz w:val="22"/>
                <w:szCs w:val="22"/>
              </w:rPr>
              <w:t>82</w:t>
            </w:r>
          </w:p>
        </w:tc>
        <w:tc>
          <w:tcPr>
            <w:tcW w:w="1134" w:type="dxa"/>
            <w:tcBorders>
              <w:bottom w:val="single" w:sz="4" w:space="0" w:color="auto"/>
            </w:tcBorders>
          </w:tcPr>
          <w:p w:rsidR="00D05924" w:rsidRPr="00DD5BA3" w:rsidRDefault="00D059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(2,586)</w:t>
            </w:r>
          </w:p>
        </w:tc>
        <w:tc>
          <w:tcPr>
            <w:tcW w:w="1134" w:type="dxa"/>
            <w:tcBorders>
              <w:bottom w:val="single" w:sz="4" w:space="0" w:color="auto"/>
            </w:tcBorders>
          </w:tcPr>
          <w:p w:rsidR="00D05924" w:rsidRPr="00DD5BA3" w:rsidRDefault="00D05924" w:rsidP="00A9611A">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5,9</w:t>
            </w:r>
            <w:r w:rsidR="00A9611A" w:rsidRPr="00DD5BA3">
              <w:rPr>
                <w:rFonts w:asciiTheme="minorHAnsi" w:hAnsiTheme="minorHAnsi" w:cstheme="minorHAnsi"/>
                <w:bCs/>
                <w:sz w:val="22"/>
                <w:szCs w:val="22"/>
              </w:rPr>
              <w:t>96</w:t>
            </w:r>
          </w:p>
        </w:tc>
        <w:tc>
          <w:tcPr>
            <w:tcW w:w="2835" w:type="dxa"/>
            <w:tcBorders>
              <w:bottom w:val="single" w:sz="4" w:space="0" w:color="auto"/>
            </w:tcBorders>
          </w:tcPr>
          <w:p w:rsidR="00D05924" w:rsidRPr="00DD5BA3" w:rsidRDefault="00D05924" w:rsidP="0025170F">
            <w:pPr>
              <w:tabs>
                <w:tab w:val="left" w:pos="0"/>
              </w:tabs>
              <w:rPr>
                <w:rFonts w:asciiTheme="minorHAnsi" w:hAnsiTheme="minorHAnsi" w:cstheme="minorHAnsi"/>
                <w:sz w:val="22"/>
                <w:szCs w:val="22"/>
              </w:rPr>
            </w:pPr>
            <w:r w:rsidRPr="00DD5BA3">
              <w:rPr>
                <w:rFonts w:asciiTheme="minorHAnsi" w:hAnsiTheme="minorHAnsi" w:cstheme="minorHAnsi"/>
                <w:sz w:val="22"/>
                <w:szCs w:val="22"/>
              </w:rPr>
              <w:t>Other Sundry Debtors</w:t>
            </w:r>
          </w:p>
        </w:tc>
        <w:tc>
          <w:tcPr>
            <w:tcW w:w="900" w:type="dxa"/>
            <w:tcBorders>
              <w:bottom w:val="single" w:sz="4" w:space="0" w:color="auto"/>
            </w:tcBorders>
            <w:shd w:val="clear" w:color="auto" w:fill="D9D9D9" w:themeFill="background1" w:themeFillShade="D9"/>
          </w:tcPr>
          <w:p w:rsidR="00D05924" w:rsidRPr="00DD5BA3" w:rsidRDefault="00894C60" w:rsidP="00862902">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8,825</w:t>
            </w:r>
          </w:p>
        </w:tc>
        <w:tc>
          <w:tcPr>
            <w:tcW w:w="1107" w:type="dxa"/>
            <w:tcBorders>
              <w:bottom w:val="single" w:sz="4" w:space="0" w:color="auto"/>
            </w:tcBorders>
            <w:shd w:val="clear" w:color="auto" w:fill="D9D9D9" w:themeFill="background1" w:themeFillShade="D9"/>
          </w:tcPr>
          <w:p w:rsidR="00D05924" w:rsidRPr="00DD5BA3" w:rsidRDefault="00894C60" w:rsidP="0025170F">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(2,099</w:t>
            </w:r>
            <w:r w:rsidR="002A41A9" w:rsidRPr="00DD5BA3">
              <w:rPr>
                <w:rFonts w:asciiTheme="minorHAnsi" w:hAnsiTheme="minorHAnsi" w:cstheme="minorHAnsi"/>
                <w:bCs/>
                <w:sz w:val="22"/>
                <w:szCs w:val="22"/>
              </w:rPr>
              <w:t>)</w:t>
            </w:r>
          </w:p>
        </w:tc>
        <w:tc>
          <w:tcPr>
            <w:tcW w:w="1019" w:type="dxa"/>
            <w:tcBorders>
              <w:bottom w:val="single" w:sz="4" w:space="0" w:color="auto"/>
            </w:tcBorders>
            <w:shd w:val="clear" w:color="auto" w:fill="D9D9D9" w:themeFill="background1" w:themeFillShade="D9"/>
          </w:tcPr>
          <w:p w:rsidR="00D05924" w:rsidRPr="00DD5BA3" w:rsidRDefault="00894C60" w:rsidP="00862902">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6,726</w:t>
            </w:r>
          </w:p>
        </w:tc>
      </w:tr>
      <w:tr w:rsidR="00D05924" w:rsidRPr="00DD5BA3" w:rsidTr="005F262C">
        <w:tc>
          <w:tcPr>
            <w:tcW w:w="993" w:type="dxa"/>
            <w:tcBorders>
              <w:top w:val="single" w:sz="4" w:space="0" w:color="auto"/>
              <w:bottom w:val="single" w:sz="4" w:space="0" w:color="auto"/>
            </w:tcBorders>
          </w:tcPr>
          <w:p w:rsidR="00D05924" w:rsidRPr="00DD5BA3" w:rsidRDefault="00D05924" w:rsidP="00A9611A">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16,</w:t>
            </w:r>
            <w:r w:rsidR="00A9611A" w:rsidRPr="00DD5BA3">
              <w:rPr>
                <w:rFonts w:asciiTheme="minorHAnsi" w:hAnsiTheme="minorHAnsi" w:cstheme="minorHAnsi"/>
                <w:b/>
                <w:bCs/>
                <w:sz w:val="22"/>
                <w:szCs w:val="22"/>
              </w:rPr>
              <w:t>218</w:t>
            </w:r>
          </w:p>
        </w:tc>
        <w:tc>
          <w:tcPr>
            <w:tcW w:w="1134" w:type="dxa"/>
            <w:tcBorders>
              <w:top w:val="single" w:sz="4" w:space="0" w:color="auto"/>
              <w:bottom w:val="single" w:sz="4" w:space="0" w:color="auto"/>
            </w:tcBorders>
          </w:tcPr>
          <w:p w:rsidR="00D05924" w:rsidRPr="00DD5BA3" w:rsidRDefault="00D05924" w:rsidP="0025170F">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(3,441)</w:t>
            </w:r>
          </w:p>
        </w:tc>
        <w:tc>
          <w:tcPr>
            <w:tcW w:w="1134" w:type="dxa"/>
            <w:tcBorders>
              <w:top w:val="single" w:sz="4" w:space="0" w:color="auto"/>
              <w:bottom w:val="single" w:sz="4" w:space="0" w:color="auto"/>
            </w:tcBorders>
          </w:tcPr>
          <w:p w:rsidR="00D05924" w:rsidRPr="00DD5BA3" w:rsidRDefault="00D05924" w:rsidP="00A9611A">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12,7</w:t>
            </w:r>
            <w:r w:rsidR="00A9611A" w:rsidRPr="00DD5BA3">
              <w:rPr>
                <w:rFonts w:asciiTheme="minorHAnsi" w:hAnsiTheme="minorHAnsi" w:cstheme="minorHAnsi"/>
                <w:b/>
                <w:bCs/>
                <w:sz w:val="22"/>
                <w:szCs w:val="22"/>
              </w:rPr>
              <w:t>77</w:t>
            </w:r>
          </w:p>
        </w:tc>
        <w:tc>
          <w:tcPr>
            <w:tcW w:w="2835" w:type="dxa"/>
            <w:tcBorders>
              <w:top w:val="single" w:sz="4" w:space="0" w:color="auto"/>
              <w:bottom w:val="single" w:sz="4" w:space="0" w:color="auto"/>
            </w:tcBorders>
          </w:tcPr>
          <w:p w:rsidR="00D05924" w:rsidRPr="00DD5BA3" w:rsidRDefault="00D05924" w:rsidP="0025170F">
            <w:pPr>
              <w:tabs>
                <w:tab w:val="left" w:pos="0"/>
              </w:tabs>
              <w:rPr>
                <w:rFonts w:asciiTheme="minorHAnsi" w:hAnsiTheme="minorHAnsi" w:cstheme="minorHAnsi"/>
                <w:b/>
                <w:sz w:val="22"/>
                <w:szCs w:val="22"/>
              </w:rPr>
            </w:pPr>
            <w:r w:rsidRPr="00DD5BA3">
              <w:rPr>
                <w:rFonts w:asciiTheme="minorHAnsi" w:hAnsiTheme="minorHAnsi" w:cstheme="minorHAnsi"/>
                <w:b/>
                <w:sz w:val="22"/>
                <w:szCs w:val="22"/>
              </w:rPr>
              <w:t>Total short term debtors</w:t>
            </w:r>
          </w:p>
        </w:tc>
        <w:tc>
          <w:tcPr>
            <w:tcW w:w="900" w:type="dxa"/>
            <w:tcBorders>
              <w:top w:val="single" w:sz="4" w:space="0" w:color="auto"/>
              <w:bottom w:val="single" w:sz="4" w:space="0" w:color="auto"/>
            </w:tcBorders>
            <w:shd w:val="clear" w:color="auto" w:fill="D9D9D9" w:themeFill="background1" w:themeFillShade="D9"/>
          </w:tcPr>
          <w:p w:rsidR="00D05924" w:rsidRPr="00DD5BA3" w:rsidRDefault="00894C60" w:rsidP="00862902">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11,146</w:t>
            </w:r>
          </w:p>
        </w:tc>
        <w:tc>
          <w:tcPr>
            <w:tcW w:w="1107" w:type="dxa"/>
            <w:tcBorders>
              <w:top w:val="single" w:sz="4" w:space="0" w:color="auto"/>
              <w:bottom w:val="single" w:sz="4" w:space="0" w:color="auto"/>
            </w:tcBorders>
            <w:shd w:val="clear" w:color="auto" w:fill="D9D9D9" w:themeFill="background1" w:themeFillShade="D9"/>
          </w:tcPr>
          <w:p w:rsidR="00D05924" w:rsidRPr="00DD5BA3" w:rsidRDefault="00894C60" w:rsidP="002A41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(3,096</w:t>
            </w:r>
            <w:r w:rsidR="00FF092B" w:rsidRPr="00DD5BA3">
              <w:rPr>
                <w:rFonts w:asciiTheme="minorHAnsi" w:hAnsiTheme="minorHAnsi" w:cstheme="minorHAnsi"/>
                <w:b/>
                <w:bCs/>
                <w:sz w:val="22"/>
                <w:szCs w:val="22"/>
              </w:rPr>
              <w:t>)</w:t>
            </w:r>
          </w:p>
        </w:tc>
        <w:tc>
          <w:tcPr>
            <w:tcW w:w="1019" w:type="dxa"/>
            <w:tcBorders>
              <w:top w:val="single" w:sz="4" w:space="0" w:color="auto"/>
              <w:bottom w:val="single" w:sz="4" w:space="0" w:color="auto"/>
            </w:tcBorders>
            <w:shd w:val="clear" w:color="auto" w:fill="D9D9D9" w:themeFill="background1" w:themeFillShade="D9"/>
          </w:tcPr>
          <w:p w:rsidR="00D05924" w:rsidRPr="00DD5BA3" w:rsidRDefault="00894C60" w:rsidP="00862902">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8,051</w:t>
            </w:r>
          </w:p>
        </w:tc>
      </w:tr>
      <w:tr w:rsidR="00D05924" w:rsidRPr="00DD5BA3" w:rsidTr="005F262C">
        <w:tc>
          <w:tcPr>
            <w:tcW w:w="993" w:type="dxa"/>
            <w:tcBorders>
              <w:top w:val="single" w:sz="4" w:space="0" w:color="auto"/>
            </w:tcBorders>
          </w:tcPr>
          <w:p w:rsidR="00D05924" w:rsidRPr="00DD5BA3" w:rsidRDefault="00D05924" w:rsidP="0025170F">
            <w:pPr>
              <w:tabs>
                <w:tab w:val="left" w:pos="0"/>
              </w:tabs>
              <w:jc w:val="right"/>
              <w:rPr>
                <w:rFonts w:asciiTheme="minorHAnsi" w:hAnsiTheme="minorHAnsi" w:cstheme="minorHAnsi"/>
                <w:bCs/>
                <w:sz w:val="22"/>
                <w:szCs w:val="22"/>
              </w:rPr>
            </w:pPr>
          </w:p>
        </w:tc>
        <w:tc>
          <w:tcPr>
            <w:tcW w:w="1134" w:type="dxa"/>
            <w:tcBorders>
              <w:top w:val="single" w:sz="4" w:space="0" w:color="auto"/>
            </w:tcBorders>
          </w:tcPr>
          <w:p w:rsidR="00D05924" w:rsidRPr="00DD5BA3" w:rsidRDefault="00D05924" w:rsidP="0025170F">
            <w:pPr>
              <w:tabs>
                <w:tab w:val="left" w:pos="0"/>
              </w:tabs>
              <w:jc w:val="right"/>
              <w:rPr>
                <w:rFonts w:asciiTheme="minorHAnsi" w:hAnsiTheme="minorHAnsi" w:cstheme="minorHAnsi"/>
                <w:bCs/>
                <w:sz w:val="22"/>
                <w:szCs w:val="22"/>
              </w:rPr>
            </w:pPr>
          </w:p>
        </w:tc>
        <w:tc>
          <w:tcPr>
            <w:tcW w:w="1134" w:type="dxa"/>
            <w:tcBorders>
              <w:top w:val="single" w:sz="4" w:space="0" w:color="auto"/>
              <w:bottom w:val="single" w:sz="4" w:space="0" w:color="auto"/>
            </w:tcBorders>
          </w:tcPr>
          <w:p w:rsidR="00D05924" w:rsidRPr="00DD5BA3" w:rsidRDefault="00D05924" w:rsidP="0025170F">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587</w:t>
            </w:r>
          </w:p>
        </w:tc>
        <w:tc>
          <w:tcPr>
            <w:tcW w:w="2835" w:type="dxa"/>
            <w:tcBorders>
              <w:top w:val="single" w:sz="4" w:space="0" w:color="auto"/>
              <w:bottom w:val="single" w:sz="4" w:space="0" w:color="auto"/>
            </w:tcBorders>
          </w:tcPr>
          <w:p w:rsidR="00D05924" w:rsidRPr="00DD5BA3" w:rsidRDefault="00D05924" w:rsidP="0025170F">
            <w:pPr>
              <w:tabs>
                <w:tab w:val="left" w:pos="0"/>
              </w:tabs>
              <w:rPr>
                <w:rFonts w:asciiTheme="minorHAnsi" w:hAnsiTheme="minorHAnsi" w:cstheme="minorHAnsi"/>
                <w:sz w:val="22"/>
                <w:szCs w:val="22"/>
              </w:rPr>
            </w:pPr>
            <w:r w:rsidRPr="00DD5BA3">
              <w:rPr>
                <w:rFonts w:asciiTheme="minorHAnsi" w:hAnsiTheme="minorHAnsi" w:cstheme="minorHAnsi"/>
                <w:sz w:val="22"/>
                <w:szCs w:val="22"/>
              </w:rPr>
              <w:t>Payments in advance</w:t>
            </w:r>
          </w:p>
        </w:tc>
        <w:tc>
          <w:tcPr>
            <w:tcW w:w="900" w:type="dxa"/>
            <w:tcBorders>
              <w:top w:val="single" w:sz="4" w:space="0" w:color="auto"/>
            </w:tcBorders>
            <w:shd w:val="clear" w:color="auto" w:fill="auto"/>
          </w:tcPr>
          <w:p w:rsidR="00D05924" w:rsidRPr="00DD5BA3" w:rsidRDefault="00D05924" w:rsidP="0025170F">
            <w:pPr>
              <w:tabs>
                <w:tab w:val="left" w:pos="0"/>
              </w:tabs>
              <w:jc w:val="right"/>
              <w:rPr>
                <w:rFonts w:asciiTheme="minorHAnsi" w:hAnsiTheme="minorHAnsi" w:cstheme="minorHAnsi"/>
                <w:bCs/>
                <w:sz w:val="22"/>
                <w:szCs w:val="22"/>
              </w:rPr>
            </w:pPr>
          </w:p>
        </w:tc>
        <w:tc>
          <w:tcPr>
            <w:tcW w:w="1107" w:type="dxa"/>
            <w:tcBorders>
              <w:top w:val="single" w:sz="4" w:space="0" w:color="auto"/>
            </w:tcBorders>
            <w:shd w:val="clear" w:color="auto" w:fill="auto"/>
          </w:tcPr>
          <w:p w:rsidR="00D05924" w:rsidRPr="00DD5BA3" w:rsidRDefault="00D05924" w:rsidP="0025170F">
            <w:pPr>
              <w:tabs>
                <w:tab w:val="left" w:pos="0"/>
              </w:tabs>
              <w:jc w:val="right"/>
              <w:rPr>
                <w:rFonts w:asciiTheme="minorHAnsi" w:hAnsiTheme="minorHAnsi" w:cstheme="minorHAnsi"/>
                <w:bCs/>
                <w:sz w:val="22"/>
                <w:szCs w:val="22"/>
              </w:rPr>
            </w:pPr>
          </w:p>
        </w:tc>
        <w:tc>
          <w:tcPr>
            <w:tcW w:w="1019" w:type="dxa"/>
            <w:tcBorders>
              <w:top w:val="single" w:sz="4" w:space="0" w:color="auto"/>
              <w:bottom w:val="single" w:sz="4" w:space="0" w:color="auto"/>
            </w:tcBorders>
            <w:shd w:val="clear" w:color="auto" w:fill="D9D9D9" w:themeFill="background1" w:themeFillShade="D9"/>
          </w:tcPr>
          <w:p w:rsidR="00D05924" w:rsidRPr="00DD5BA3" w:rsidRDefault="00FF092B" w:rsidP="0025170F">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218</w:t>
            </w:r>
          </w:p>
        </w:tc>
      </w:tr>
      <w:tr w:rsidR="00D05924" w:rsidRPr="0068094B" w:rsidTr="004177CF">
        <w:tc>
          <w:tcPr>
            <w:tcW w:w="993" w:type="dxa"/>
          </w:tcPr>
          <w:p w:rsidR="00D05924" w:rsidRPr="00DD5BA3" w:rsidRDefault="00D05924" w:rsidP="0025170F">
            <w:pPr>
              <w:tabs>
                <w:tab w:val="left" w:pos="0"/>
              </w:tabs>
              <w:jc w:val="right"/>
              <w:rPr>
                <w:rFonts w:asciiTheme="minorHAnsi" w:hAnsiTheme="minorHAnsi" w:cstheme="minorHAnsi"/>
                <w:b/>
                <w:bCs/>
                <w:sz w:val="22"/>
                <w:szCs w:val="22"/>
              </w:rPr>
            </w:pPr>
          </w:p>
        </w:tc>
        <w:tc>
          <w:tcPr>
            <w:tcW w:w="1134" w:type="dxa"/>
          </w:tcPr>
          <w:p w:rsidR="00D05924" w:rsidRPr="00DD5BA3" w:rsidRDefault="00D05924" w:rsidP="0025170F">
            <w:pPr>
              <w:tabs>
                <w:tab w:val="left" w:pos="0"/>
              </w:tabs>
              <w:jc w:val="right"/>
              <w:rPr>
                <w:rFonts w:asciiTheme="minorHAnsi" w:hAnsiTheme="minorHAnsi" w:cstheme="minorHAnsi"/>
                <w:b/>
                <w:bCs/>
                <w:sz w:val="22"/>
                <w:szCs w:val="22"/>
              </w:rPr>
            </w:pPr>
          </w:p>
        </w:tc>
        <w:tc>
          <w:tcPr>
            <w:tcW w:w="1134" w:type="dxa"/>
            <w:tcBorders>
              <w:top w:val="single" w:sz="4" w:space="0" w:color="auto"/>
              <w:bottom w:val="single" w:sz="4" w:space="0" w:color="auto"/>
            </w:tcBorders>
            <w:vAlign w:val="center"/>
          </w:tcPr>
          <w:p w:rsidR="00D05924" w:rsidRPr="00DD5BA3" w:rsidRDefault="00D05924" w:rsidP="00D05924">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13,364</w:t>
            </w:r>
          </w:p>
        </w:tc>
        <w:tc>
          <w:tcPr>
            <w:tcW w:w="2835" w:type="dxa"/>
            <w:tcBorders>
              <w:top w:val="single" w:sz="4" w:space="0" w:color="auto"/>
              <w:bottom w:val="single" w:sz="4" w:space="0" w:color="auto"/>
            </w:tcBorders>
          </w:tcPr>
          <w:p w:rsidR="00D05924" w:rsidRPr="00DD5BA3" w:rsidRDefault="00D05924" w:rsidP="0025170F">
            <w:pPr>
              <w:tabs>
                <w:tab w:val="left" w:pos="0"/>
              </w:tabs>
              <w:rPr>
                <w:rFonts w:asciiTheme="minorHAnsi" w:hAnsiTheme="minorHAnsi" w:cstheme="minorHAnsi"/>
                <w:b/>
                <w:sz w:val="22"/>
                <w:szCs w:val="22"/>
              </w:rPr>
            </w:pPr>
            <w:r w:rsidRPr="00DD5BA3">
              <w:rPr>
                <w:rFonts w:asciiTheme="minorHAnsi" w:hAnsiTheme="minorHAnsi" w:cstheme="minorHAnsi"/>
                <w:b/>
                <w:sz w:val="22"/>
                <w:szCs w:val="22"/>
              </w:rPr>
              <w:t>Total net Debtors &amp; Payments in advance</w:t>
            </w:r>
          </w:p>
        </w:tc>
        <w:tc>
          <w:tcPr>
            <w:tcW w:w="900" w:type="dxa"/>
            <w:shd w:val="clear" w:color="auto" w:fill="auto"/>
          </w:tcPr>
          <w:p w:rsidR="00D05924" w:rsidRPr="00DD5BA3" w:rsidRDefault="00D05924" w:rsidP="0025170F">
            <w:pPr>
              <w:tabs>
                <w:tab w:val="left" w:pos="0"/>
              </w:tabs>
              <w:jc w:val="right"/>
              <w:rPr>
                <w:rFonts w:asciiTheme="minorHAnsi" w:hAnsiTheme="minorHAnsi" w:cstheme="minorHAnsi"/>
                <w:b/>
                <w:bCs/>
                <w:sz w:val="22"/>
                <w:szCs w:val="22"/>
              </w:rPr>
            </w:pPr>
          </w:p>
        </w:tc>
        <w:tc>
          <w:tcPr>
            <w:tcW w:w="1107" w:type="dxa"/>
            <w:shd w:val="clear" w:color="auto" w:fill="auto"/>
          </w:tcPr>
          <w:p w:rsidR="00D05924" w:rsidRPr="00DD5BA3" w:rsidRDefault="00D05924" w:rsidP="0025170F">
            <w:pPr>
              <w:tabs>
                <w:tab w:val="left" w:pos="0"/>
              </w:tabs>
              <w:jc w:val="right"/>
              <w:rPr>
                <w:rFonts w:asciiTheme="minorHAnsi" w:hAnsiTheme="minorHAnsi" w:cstheme="minorHAnsi"/>
                <w:b/>
                <w:bCs/>
                <w:sz w:val="22"/>
                <w:szCs w:val="22"/>
              </w:rPr>
            </w:pPr>
          </w:p>
        </w:tc>
        <w:tc>
          <w:tcPr>
            <w:tcW w:w="1019" w:type="dxa"/>
            <w:tcBorders>
              <w:top w:val="single" w:sz="4" w:space="0" w:color="auto"/>
              <w:bottom w:val="single" w:sz="4" w:space="0" w:color="auto"/>
            </w:tcBorders>
            <w:shd w:val="clear" w:color="auto" w:fill="D9D9D9" w:themeFill="background1" w:themeFillShade="D9"/>
            <w:vAlign w:val="center"/>
          </w:tcPr>
          <w:p w:rsidR="00D05924" w:rsidRPr="00D16CC2" w:rsidRDefault="00FF092B" w:rsidP="00C73BB0">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8,</w:t>
            </w:r>
            <w:r w:rsidR="00C73BB0" w:rsidRPr="00DD5BA3">
              <w:rPr>
                <w:rFonts w:asciiTheme="minorHAnsi" w:hAnsiTheme="minorHAnsi" w:cstheme="minorHAnsi"/>
                <w:b/>
                <w:bCs/>
                <w:sz w:val="22"/>
                <w:szCs w:val="22"/>
              </w:rPr>
              <w:t>269</w:t>
            </w:r>
          </w:p>
        </w:tc>
      </w:tr>
    </w:tbl>
    <w:p w:rsidR="0031760C" w:rsidRPr="0068094B" w:rsidRDefault="0025170F" w:rsidP="00ED3B24">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ab/>
      </w: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Cash and cash equivalents</w:t>
      </w:r>
    </w:p>
    <w:p w:rsidR="00F002FD" w:rsidRPr="0068094B" w:rsidRDefault="00F002FD" w:rsidP="00F002FD">
      <w:pPr>
        <w:tabs>
          <w:tab w:val="left" w:pos="0"/>
        </w:tabs>
        <w:jc w:val="both"/>
        <w:rPr>
          <w:rFonts w:asciiTheme="minorHAnsi" w:hAnsiTheme="minorHAnsi" w:cstheme="minorHAnsi"/>
          <w:sz w:val="22"/>
          <w:szCs w:val="22"/>
        </w:rPr>
      </w:pPr>
    </w:p>
    <w:p w:rsidR="00F002FD" w:rsidRPr="0068094B" w:rsidRDefault="00F002FD" w:rsidP="00F002FD">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The balance of Cash and Cash Equivalents is made up of the following elements:</w:t>
      </w:r>
    </w:p>
    <w:p w:rsidR="00F002FD" w:rsidRPr="0068094B" w:rsidRDefault="00F002FD" w:rsidP="00F002FD">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495"/>
        <w:gridCol w:w="1559"/>
        <w:gridCol w:w="1418"/>
      </w:tblGrid>
      <w:tr w:rsidR="00F002FD" w:rsidRPr="00DD5BA3" w:rsidTr="00092430">
        <w:tc>
          <w:tcPr>
            <w:tcW w:w="5495" w:type="dxa"/>
          </w:tcPr>
          <w:p w:rsidR="00F002FD" w:rsidRPr="0068094B" w:rsidRDefault="00F002FD" w:rsidP="000307B3">
            <w:pPr>
              <w:tabs>
                <w:tab w:val="left" w:pos="0"/>
              </w:tabs>
              <w:snapToGrid w:val="0"/>
              <w:jc w:val="both"/>
              <w:rPr>
                <w:rFonts w:asciiTheme="minorHAnsi" w:hAnsiTheme="minorHAnsi" w:cstheme="minorHAnsi"/>
                <w:sz w:val="22"/>
                <w:szCs w:val="22"/>
              </w:rPr>
            </w:pPr>
          </w:p>
        </w:tc>
        <w:tc>
          <w:tcPr>
            <w:tcW w:w="1559" w:type="dxa"/>
            <w:vAlign w:val="center"/>
          </w:tcPr>
          <w:p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31 March</w:t>
            </w:r>
          </w:p>
          <w:p w:rsidR="00F002FD" w:rsidRPr="00DD5BA3" w:rsidRDefault="00AD6BD1" w:rsidP="00F84A99">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 xml:space="preserve"> 201</w:t>
            </w:r>
            <w:r w:rsidR="00F84A99" w:rsidRPr="00DD5BA3">
              <w:rPr>
                <w:rFonts w:asciiTheme="minorHAnsi" w:hAnsiTheme="minorHAnsi" w:cstheme="minorHAnsi"/>
                <w:b/>
                <w:sz w:val="22"/>
                <w:szCs w:val="22"/>
              </w:rPr>
              <w:t>9</w:t>
            </w:r>
          </w:p>
        </w:tc>
        <w:tc>
          <w:tcPr>
            <w:tcW w:w="1418" w:type="dxa"/>
            <w:shd w:val="clear" w:color="auto" w:fill="D9D9D9" w:themeFill="background1" w:themeFillShade="D9"/>
            <w:vAlign w:val="center"/>
          </w:tcPr>
          <w:p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31 March</w:t>
            </w:r>
          </w:p>
          <w:p w:rsidR="00F002FD" w:rsidRPr="00DD5BA3" w:rsidRDefault="002566E1" w:rsidP="00F84A99">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 xml:space="preserve"> 20</w:t>
            </w:r>
            <w:r w:rsidR="00F84A99" w:rsidRPr="00DD5BA3">
              <w:rPr>
                <w:rFonts w:asciiTheme="minorHAnsi" w:hAnsiTheme="minorHAnsi" w:cstheme="minorHAnsi"/>
                <w:b/>
                <w:sz w:val="22"/>
                <w:szCs w:val="22"/>
              </w:rPr>
              <w:t>20</w:t>
            </w:r>
          </w:p>
        </w:tc>
      </w:tr>
      <w:tr w:rsidR="00F002FD" w:rsidRPr="00DD5BA3" w:rsidTr="00092430">
        <w:tc>
          <w:tcPr>
            <w:tcW w:w="5495" w:type="dxa"/>
          </w:tcPr>
          <w:p w:rsidR="00F002FD" w:rsidRPr="00DD5BA3" w:rsidRDefault="00F002FD" w:rsidP="000307B3">
            <w:pPr>
              <w:tabs>
                <w:tab w:val="left" w:pos="0"/>
              </w:tabs>
              <w:snapToGrid w:val="0"/>
              <w:jc w:val="both"/>
              <w:rPr>
                <w:rFonts w:asciiTheme="minorHAnsi" w:hAnsiTheme="minorHAnsi" w:cstheme="minorHAnsi"/>
                <w:b/>
                <w:bCs/>
                <w:color w:val="999999"/>
                <w:sz w:val="22"/>
                <w:szCs w:val="22"/>
              </w:rPr>
            </w:pPr>
          </w:p>
        </w:tc>
        <w:tc>
          <w:tcPr>
            <w:tcW w:w="1559" w:type="dxa"/>
            <w:tcBorders>
              <w:bottom w:val="single" w:sz="4" w:space="0" w:color="auto"/>
            </w:tcBorders>
            <w:vAlign w:val="center"/>
          </w:tcPr>
          <w:p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£000</w:t>
            </w:r>
          </w:p>
        </w:tc>
        <w:tc>
          <w:tcPr>
            <w:tcW w:w="1418" w:type="dxa"/>
            <w:tcBorders>
              <w:bottom w:val="single" w:sz="4" w:space="0" w:color="808080"/>
            </w:tcBorders>
            <w:shd w:val="clear" w:color="auto" w:fill="D9D9D9" w:themeFill="background1" w:themeFillShade="D9"/>
            <w:vAlign w:val="center"/>
          </w:tcPr>
          <w:p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£000</w:t>
            </w:r>
          </w:p>
        </w:tc>
      </w:tr>
      <w:tr w:rsidR="00F84A99" w:rsidRPr="00DD5BA3" w:rsidTr="00092430">
        <w:tc>
          <w:tcPr>
            <w:tcW w:w="5495" w:type="dxa"/>
          </w:tcPr>
          <w:p w:rsidR="00F84A99" w:rsidRPr="00DD5BA3" w:rsidRDefault="00F84A99" w:rsidP="000307B3">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Cash held by the Authority</w:t>
            </w:r>
          </w:p>
        </w:tc>
        <w:tc>
          <w:tcPr>
            <w:tcW w:w="1559" w:type="dxa"/>
            <w:tcBorders>
              <w:top w:val="single" w:sz="4" w:space="0" w:color="auto"/>
            </w:tcBorders>
            <w:vAlign w:val="center"/>
          </w:tcPr>
          <w:p w:rsidR="00F84A99" w:rsidRPr="00DD5BA3" w:rsidRDefault="00F84A99" w:rsidP="000307B3">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3</w:t>
            </w:r>
          </w:p>
        </w:tc>
        <w:tc>
          <w:tcPr>
            <w:tcW w:w="1418" w:type="dxa"/>
            <w:tcBorders>
              <w:top w:val="single" w:sz="4" w:space="0" w:color="808080"/>
            </w:tcBorders>
            <w:shd w:val="clear" w:color="auto" w:fill="D9D9D9" w:themeFill="background1" w:themeFillShade="D9"/>
            <w:vAlign w:val="center"/>
          </w:tcPr>
          <w:p w:rsidR="00F84A99" w:rsidRPr="00DD5BA3" w:rsidRDefault="00823EDE" w:rsidP="00AD6BD1">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w:t>
            </w:r>
          </w:p>
        </w:tc>
      </w:tr>
      <w:tr w:rsidR="00F84A99" w:rsidRPr="00DD5BA3" w:rsidTr="00092430">
        <w:tc>
          <w:tcPr>
            <w:tcW w:w="5495" w:type="dxa"/>
          </w:tcPr>
          <w:p w:rsidR="00F84A99" w:rsidRPr="00DD5BA3" w:rsidRDefault="00F84A99" w:rsidP="000307B3">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Bank current accounts</w:t>
            </w:r>
          </w:p>
        </w:tc>
        <w:tc>
          <w:tcPr>
            <w:tcW w:w="1559" w:type="dxa"/>
            <w:vAlign w:val="center"/>
          </w:tcPr>
          <w:p w:rsidR="00F84A99" w:rsidRPr="00DD5BA3" w:rsidRDefault="00F84A99" w:rsidP="00AC1BD4">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509</w:t>
            </w:r>
          </w:p>
        </w:tc>
        <w:tc>
          <w:tcPr>
            <w:tcW w:w="1418" w:type="dxa"/>
            <w:shd w:val="clear" w:color="auto" w:fill="D9D9D9" w:themeFill="background1" w:themeFillShade="D9"/>
            <w:vAlign w:val="center"/>
          </w:tcPr>
          <w:p w:rsidR="00F84A99" w:rsidRPr="00DD5BA3" w:rsidRDefault="00212579">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w:t>
            </w:r>
            <w:r w:rsidR="00823EDE" w:rsidRPr="00DD5BA3">
              <w:rPr>
                <w:rFonts w:asciiTheme="minorHAnsi" w:hAnsiTheme="minorHAnsi" w:cstheme="minorHAnsi"/>
                <w:sz w:val="22"/>
                <w:szCs w:val="22"/>
              </w:rPr>
              <w:t>68</w:t>
            </w:r>
          </w:p>
        </w:tc>
      </w:tr>
      <w:tr w:rsidR="00F84A99" w:rsidRPr="00DD5BA3" w:rsidTr="00092430">
        <w:tc>
          <w:tcPr>
            <w:tcW w:w="5495" w:type="dxa"/>
          </w:tcPr>
          <w:p w:rsidR="00F84A99" w:rsidRPr="00DD5BA3" w:rsidRDefault="00F84A99" w:rsidP="00CB1693">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 xml:space="preserve">Cash Equivalents </w:t>
            </w:r>
          </w:p>
        </w:tc>
        <w:tc>
          <w:tcPr>
            <w:tcW w:w="1559" w:type="dxa"/>
            <w:tcBorders>
              <w:bottom w:val="single" w:sz="4" w:space="0" w:color="000000"/>
            </w:tcBorders>
            <w:vAlign w:val="center"/>
          </w:tcPr>
          <w:p w:rsidR="00F84A99" w:rsidRPr="00DD5BA3" w:rsidRDefault="00F84A99" w:rsidP="00ED430D">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4,350</w:t>
            </w:r>
          </w:p>
        </w:tc>
        <w:tc>
          <w:tcPr>
            <w:tcW w:w="1418" w:type="dxa"/>
            <w:tcBorders>
              <w:bottom w:val="single" w:sz="4" w:space="0" w:color="808080"/>
            </w:tcBorders>
            <w:shd w:val="clear" w:color="auto" w:fill="D9D9D9" w:themeFill="background1" w:themeFillShade="D9"/>
            <w:vAlign w:val="center"/>
          </w:tcPr>
          <w:p w:rsidR="00F84A99" w:rsidRPr="00DD5BA3" w:rsidRDefault="00A77B75" w:rsidP="00AD6BD1">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6,050</w:t>
            </w:r>
          </w:p>
        </w:tc>
      </w:tr>
      <w:tr w:rsidR="00F84A99" w:rsidRPr="00DD5BA3" w:rsidTr="00092430">
        <w:trPr>
          <w:trHeight w:val="355"/>
        </w:trPr>
        <w:tc>
          <w:tcPr>
            <w:tcW w:w="5495" w:type="dxa"/>
          </w:tcPr>
          <w:p w:rsidR="00F84A99" w:rsidRPr="00DD5BA3" w:rsidRDefault="00F84A99" w:rsidP="000307B3">
            <w:pPr>
              <w:tabs>
                <w:tab w:val="left" w:pos="0"/>
              </w:tabs>
              <w:snapToGrid w:val="0"/>
              <w:jc w:val="both"/>
              <w:rPr>
                <w:rFonts w:asciiTheme="minorHAnsi" w:hAnsiTheme="minorHAnsi" w:cstheme="minorHAnsi"/>
                <w:color w:val="999999"/>
                <w:sz w:val="22"/>
                <w:szCs w:val="22"/>
              </w:rPr>
            </w:pPr>
          </w:p>
        </w:tc>
        <w:tc>
          <w:tcPr>
            <w:tcW w:w="1559" w:type="dxa"/>
            <w:tcBorders>
              <w:top w:val="single" w:sz="4" w:space="0" w:color="000000"/>
              <w:bottom w:val="double" w:sz="4" w:space="0" w:color="000000"/>
            </w:tcBorders>
            <w:vAlign w:val="center"/>
          </w:tcPr>
          <w:p w:rsidR="00F84A99" w:rsidRPr="00DD5BA3" w:rsidRDefault="00F84A99" w:rsidP="005F1DDB">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4,862</w:t>
            </w:r>
          </w:p>
        </w:tc>
        <w:tc>
          <w:tcPr>
            <w:tcW w:w="1418" w:type="dxa"/>
            <w:tcBorders>
              <w:top w:val="single" w:sz="4" w:space="0" w:color="808080"/>
              <w:bottom w:val="double" w:sz="4" w:space="0" w:color="808080"/>
            </w:tcBorders>
            <w:shd w:val="clear" w:color="auto" w:fill="D9D9D9" w:themeFill="background1" w:themeFillShade="D9"/>
            <w:vAlign w:val="center"/>
          </w:tcPr>
          <w:p w:rsidR="00F84A99" w:rsidRPr="00DD5BA3" w:rsidRDefault="00823EDE" w:rsidP="00212579">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w:t>
            </w:r>
            <w:r w:rsidR="00212579" w:rsidRPr="00DD5BA3">
              <w:rPr>
                <w:rFonts w:asciiTheme="minorHAnsi" w:hAnsiTheme="minorHAnsi" w:cstheme="minorHAnsi"/>
                <w:sz w:val="22"/>
                <w:szCs w:val="22"/>
              </w:rPr>
              <w:t>3</w:t>
            </w:r>
            <w:r w:rsidRPr="00DD5BA3">
              <w:rPr>
                <w:rFonts w:asciiTheme="minorHAnsi" w:hAnsiTheme="minorHAnsi" w:cstheme="minorHAnsi"/>
                <w:sz w:val="22"/>
                <w:szCs w:val="22"/>
              </w:rPr>
              <w:t>20</w:t>
            </w:r>
          </w:p>
        </w:tc>
      </w:tr>
    </w:tbl>
    <w:p w:rsidR="008F4FB7" w:rsidRPr="00DD5BA3" w:rsidRDefault="008F4FB7" w:rsidP="008F4FB7">
      <w:pPr>
        <w:pStyle w:val="ListParagraph"/>
        <w:tabs>
          <w:tab w:val="left" w:pos="0"/>
        </w:tabs>
        <w:jc w:val="both"/>
        <w:rPr>
          <w:rFonts w:asciiTheme="minorHAnsi" w:hAnsiTheme="minorHAnsi" w:cstheme="minorHAnsi"/>
          <w:b/>
          <w:bCs/>
          <w:szCs w:val="22"/>
        </w:rPr>
      </w:pPr>
    </w:p>
    <w:p w:rsidR="00334BA3" w:rsidRPr="00DD5BA3"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DD5BA3">
        <w:rPr>
          <w:rFonts w:asciiTheme="minorHAnsi" w:hAnsiTheme="minorHAnsi" w:cstheme="minorHAnsi"/>
          <w:b/>
          <w:bCs/>
          <w:szCs w:val="22"/>
        </w:rPr>
        <w:t>Short Term Creditors (less than 12 months)</w:t>
      </w:r>
    </w:p>
    <w:p w:rsidR="000E55F1" w:rsidRPr="00DD5BA3" w:rsidRDefault="000E55F1" w:rsidP="000E55F1">
      <w:pPr>
        <w:pStyle w:val="ListParagraph"/>
        <w:tabs>
          <w:tab w:val="left" w:pos="0"/>
        </w:tabs>
        <w:jc w:val="both"/>
        <w:rPr>
          <w:rFonts w:asciiTheme="minorHAnsi" w:hAnsiTheme="minorHAnsi" w:cstheme="minorHAnsi"/>
          <w:b/>
          <w:bCs/>
          <w:szCs w:val="22"/>
        </w:rPr>
      </w:pPr>
    </w:p>
    <w:tbl>
      <w:tblPr>
        <w:tblW w:w="8501" w:type="dxa"/>
        <w:tblLayout w:type="fixed"/>
        <w:tblLook w:val="0000" w:firstRow="0" w:lastRow="0" w:firstColumn="0" w:lastColumn="0" w:noHBand="0" w:noVBand="0"/>
      </w:tblPr>
      <w:tblGrid>
        <w:gridCol w:w="5495"/>
        <w:gridCol w:w="1503"/>
        <w:gridCol w:w="1503"/>
      </w:tblGrid>
      <w:tr w:rsidR="00640176" w:rsidRPr="00DD5BA3" w:rsidTr="00572652">
        <w:trPr>
          <w:trHeight w:val="537"/>
        </w:trPr>
        <w:tc>
          <w:tcPr>
            <w:tcW w:w="5495" w:type="dxa"/>
          </w:tcPr>
          <w:p w:rsidR="000E55F1" w:rsidRPr="00DD5BA3" w:rsidRDefault="000E55F1" w:rsidP="0074718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p>
        </w:tc>
        <w:tc>
          <w:tcPr>
            <w:tcW w:w="1503" w:type="dxa"/>
            <w:vAlign w:val="center"/>
          </w:tcPr>
          <w:p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 xml:space="preserve"> 31 March </w:t>
            </w:r>
          </w:p>
          <w:p w:rsidR="000E55F1" w:rsidRPr="00DD5BA3" w:rsidRDefault="00747182" w:rsidP="00F84A99">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201</w:t>
            </w:r>
            <w:r w:rsidR="00F84A99" w:rsidRPr="00DD5BA3">
              <w:rPr>
                <w:rFonts w:asciiTheme="minorHAnsi" w:hAnsiTheme="minorHAnsi" w:cstheme="minorHAnsi"/>
                <w:b/>
                <w:sz w:val="22"/>
                <w:szCs w:val="22"/>
              </w:rPr>
              <w:t>9</w:t>
            </w:r>
          </w:p>
        </w:tc>
        <w:tc>
          <w:tcPr>
            <w:tcW w:w="1503" w:type="dxa"/>
            <w:shd w:val="clear" w:color="auto" w:fill="D9D9D9" w:themeFill="background1" w:themeFillShade="D9"/>
            <w:vAlign w:val="center"/>
          </w:tcPr>
          <w:p w:rsidR="000E55F1" w:rsidRPr="00DD5BA3" w:rsidRDefault="00747182" w:rsidP="00F84A99">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ind w:right="180"/>
              <w:jc w:val="right"/>
              <w:rPr>
                <w:rFonts w:asciiTheme="minorHAnsi" w:hAnsiTheme="minorHAnsi" w:cstheme="minorHAnsi"/>
                <w:b/>
                <w:sz w:val="22"/>
                <w:szCs w:val="22"/>
              </w:rPr>
            </w:pPr>
            <w:r w:rsidRPr="00DD5BA3">
              <w:rPr>
                <w:rFonts w:asciiTheme="minorHAnsi" w:hAnsiTheme="minorHAnsi" w:cstheme="minorHAnsi"/>
                <w:b/>
                <w:sz w:val="22"/>
                <w:szCs w:val="22"/>
              </w:rPr>
              <w:t>31 March 20</w:t>
            </w:r>
            <w:r w:rsidR="00F84A99" w:rsidRPr="00DD5BA3">
              <w:rPr>
                <w:rFonts w:asciiTheme="minorHAnsi" w:hAnsiTheme="minorHAnsi" w:cstheme="minorHAnsi"/>
                <w:b/>
                <w:sz w:val="22"/>
                <w:szCs w:val="22"/>
              </w:rPr>
              <w:t>20</w:t>
            </w:r>
          </w:p>
        </w:tc>
      </w:tr>
      <w:tr w:rsidR="00640176" w:rsidRPr="00DD5BA3" w:rsidTr="00572652">
        <w:tc>
          <w:tcPr>
            <w:tcW w:w="5495" w:type="dxa"/>
          </w:tcPr>
          <w:p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center"/>
              <w:rPr>
                <w:rFonts w:asciiTheme="minorHAnsi" w:hAnsiTheme="minorHAnsi" w:cstheme="minorHAnsi"/>
                <w:b/>
                <w:bCs/>
                <w:sz w:val="22"/>
                <w:szCs w:val="22"/>
              </w:rPr>
            </w:pPr>
          </w:p>
        </w:tc>
        <w:tc>
          <w:tcPr>
            <w:tcW w:w="1503" w:type="dxa"/>
            <w:tcBorders>
              <w:bottom w:val="single" w:sz="4" w:space="0" w:color="000000"/>
            </w:tcBorders>
            <w:vAlign w:val="center"/>
          </w:tcPr>
          <w:p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£000</w:t>
            </w:r>
          </w:p>
        </w:tc>
        <w:tc>
          <w:tcPr>
            <w:tcW w:w="1503" w:type="dxa"/>
            <w:tcBorders>
              <w:bottom w:val="single" w:sz="4" w:space="0" w:color="808080"/>
            </w:tcBorders>
            <w:shd w:val="clear" w:color="auto" w:fill="D9D9D9" w:themeFill="background1" w:themeFillShade="D9"/>
            <w:vAlign w:val="center"/>
          </w:tcPr>
          <w:p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£000</w:t>
            </w:r>
          </w:p>
        </w:tc>
      </w:tr>
      <w:tr w:rsidR="00F84A99" w:rsidRPr="00DD5BA3" w:rsidTr="00572652">
        <w:tc>
          <w:tcPr>
            <w:tcW w:w="5495" w:type="dxa"/>
            <w:vAlign w:val="center"/>
          </w:tcPr>
          <w:p w:rsidR="00F84A99" w:rsidRPr="00DD5BA3" w:rsidRDefault="00F84A99"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Council Tax</w:t>
            </w:r>
          </w:p>
        </w:tc>
        <w:tc>
          <w:tcPr>
            <w:tcW w:w="1503" w:type="dxa"/>
            <w:tcBorders>
              <w:top w:val="single" w:sz="4" w:space="0" w:color="000000"/>
            </w:tcBorders>
            <w:vAlign w:val="center"/>
          </w:tcPr>
          <w:p w:rsidR="00F84A99" w:rsidRPr="00DD5BA3" w:rsidRDefault="00F84A99" w:rsidP="00325177">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315</w:t>
            </w:r>
          </w:p>
        </w:tc>
        <w:tc>
          <w:tcPr>
            <w:tcW w:w="1503" w:type="dxa"/>
            <w:tcBorders>
              <w:top w:val="single" w:sz="4" w:space="0" w:color="808080"/>
            </w:tcBorders>
            <w:shd w:val="clear" w:color="auto" w:fill="D9D9D9" w:themeFill="background1" w:themeFillShade="D9"/>
            <w:vAlign w:val="center"/>
          </w:tcPr>
          <w:p w:rsidR="00F84A99" w:rsidRPr="00DD5BA3" w:rsidRDefault="00C13D4E"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320</w:t>
            </w:r>
          </w:p>
        </w:tc>
      </w:tr>
      <w:tr w:rsidR="00F84A99" w:rsidRPr="00DD5BA3" w:rsidTr="00572652">
        <w:tc>
          <w:tcPr>
            <w:tcW w:w="5495" w:type="dxa"/>
            <w:vAlign w:val="center"/>
          </w:tcPr>
          <w:p w:rsidR="00F84A99" w:rsidRPr="00DD5BA3" w:rsidRDefault="00F84A99" w:rsidP="002E450C">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Business Rates</w:t>
            </w:r>
          </w:p>
        </w:tc>
        <w:tc>
          <w:tcPr>
            <w:tcW w:w="1503" w:type="dxa"/>
            <w:vAlign w:val="center"/>
          </w:tcPr>
          <w:p w:rsidR="00F84A99" w:rsidRPr="00DD5BA3" w:rsidRDefault="00F84A99" w:rsidP="002E450C">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251</w:t>
            </w:r>
          </w:p>
        </w:tc>
        <w:tc>
          <w:tcPr>
            <w:tcW w:w="1503" w:type="dxa"/>
            <w:shd w:val="clear" w:color="auto" w:fill="D9D9D9" w:themeFill="background1" w:themeFillShade="D9"/>
            <w:vAlign w:val="center"/>
          </w:tcPr>
          <w:p w:rsidR="00F84A99" w:rsidRPr="00DD5BA3" w:rsidRDefault="00C13D4E"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190</w:t>
            </w:r>
          </w:p>
        </w:tc>
      </w:tr>
      <w:tr w:rsidR="00F84A99" w:rsidRPr="00DD5BA3" w:rsidTr="00572652">
        <w:tc>
          <w:tcPr>
            <w:tcW w:w="5495" w:type="dxa"/>
            <w:vAlign w:val="center"/>
          </w:tcPr>
          <w:p w:rsidR="00F84A99" w:rsidRPr="00DD5BA3" w:rsidRDefault="00F84A99"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Other local authorities and public bodies</w:t>
            </w:r>
          </w:p>
        </w:tc>
        <w:tc>
          <w:tcPr>
            <w:tcW w:w="1503" w:type="dxa"/>
            <w:shd w:val="clear" w:color="auto" w:fill="auto"/>
            <w:vAlign w:val="center"/>
          </w:tcPr>
          <w:p w:rsidR="00F84A99" w:rsidRPr="00DD5BA3" w:rsidRDefault="00F84A99" w:rsidP="0030316D">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2,295</w:t>
            </w:r>
          </w:p>
        </w:tc>
        <w:tc>
          <w:tcPr>
            <w:tcW w:w="1503" w:type="dxa"/>
            <w:shd w:val="clear" w:color="auto" w:fill="D9D9D9" w:themeFill="background1" w:themeFillShade="D9"/>
            <w:vAlign w:val="center"/>
          </w:tcPr>
          <w:p w:rsidR="00F84A99" w:rsidRPr="00DD5BA3" w:rsidRDefault="00C13D4E" w:rsidP="00A642C7">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3,409</w:t>
            </w:r>
          </w:p>
        </w:tc>
      </w:tr>
      <w:tr w:rsidR="00F84A99" w:rsidRPr="00DD5BA3" w:rsidTr="00572652">
        <w:tc>
          <w:tcPr>
            <w:tcW w:w="5495" w:type="dxa"/>
            <w:vAlign w:val="center"/>
          </w:tcPr>
          <w:p w:rsidR="00F84A99" w:rsidRPr="00DD5BA3" w:rsidRDefault="00F84A99"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Sundry Creditors</w:t>
            </w:r>
          </w:p>
        </w:tc>
        <w:tc>
          <w:tcPr>
            <w:tcW w:w="1503" w:type="dxa"/>
            <w:vAlign w:val="center"/>
          </w:tcPr>
          <w:p w:rsidR="00F84A99" w:rsidRPr="00DD5BA3" w:rsidRDefault="00F84A99" w:rsidP="0030316D">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3,400</w:t>
            </w:r>
          </w:p>
        </w:tc>
        <w:tc>
          <w:tcPr>
            <w:tcW w:w="1503" w:type="dxa"/>
            <w:shd w:val="clear" w:color="auto" w:fill="D9D9D9" w:themeFill="background1" w:themeFillShade="D9"/>
            <w:vAlign w:val="center"/>
          </w:tcPr>
          <w:p w:rsidR="00F84A99" w:rsidRPr="00DD5BA3" w:rsidRDefault="00EB5338" w:rsidP="00FA34F4">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2,262</w:t>
            </w:r>
          </w:p>
        </w:tc>
      </w:tr>
      <w:tr w:rsidR="00F84A99" w:rsidRPr="00DD5BA3" w:rsidTr="00572652">
        <w:tc>
          <w:tcPr>
            <w:tcW w:w="5495" w:type="dxa"/>
            <w:vAlign w:val="center"/>
          </w:tcPr>
          <w:p w:rsidR="00F84A99" w:rsidRPr="00DD5BA3" w:rsidRDefault="00F84A99" w:rsidP="005D2DB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Central Government Bodies</w:t>
            </w:r>
          </w:p>
        </w:tc>
        <w:tc>
          <w:tcPr>
            <w:tcW w:w="1503" w:type="dxa"/>
            <w:shd w:val="clear" w:color="auto" w:fill="auto"/>
            <w:vAlign w:val="center"/>
          </w:tcPr>
          <w:p w:rsidR="00F84A99" w:rsidRPr="00DD5BA3" w:rsidRDefault="00F84A99" w:rsidP="0030316D">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3,308</w:t>
            </w:r>
          </w:p>
        </w:tc>
        <w:tc>
          <w:tcPr>
            <w:tcW w:w="1503" w:type="dxa"/>
            <w:shd w:val="clear" w:color="auto" w:fill="D9D9D9" w:themeFill="background1" w:themeFillShade="D9"/>
            <w:vAlign w:val="center"/>
          </w:tcPr>
          <w:p w:rsidR="00F84A99" w:rsidRPr="00DD5BA3" w:rsidRDefault="00C13D4E"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1,801</w:t>
            </w:r>
          </w:p>
        </w:tc>
      </w:tr>
      <w:tr w:rsidR="00F84A99" w:rsidRPr="00DD5BA3" w:rsidTr="00572652">
        <w:tc>
          <w:tcPr>
            <w:tcW w:w="5495" w:type="dxa"/>
            <w:vAlign w:val="center"/>
          </w:tcPr>
          <w:p w:rsidR="00F84A99" w:rsidRPr="00DD5BA3" w:rsidRDefault="00F84A99"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Housing Rents</w:t>
            </w:r>
          </w:p>
        </w:tc>
        <w:tc>
          <w:tcPr>
            <w:tcW w:w="1503" w:type="dxa"/>
            <w:vAlign w:val="center"/>
          </w:tcPr>
          <w:p w:rsidR="00F84A99" w:rsidRPr="00DD5BA3" w:rsidRDefault="00F84A99" w:rsidP="0025170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12</w:t>
            </w:r>
          </w:p>
        </w:tc>
        <w:tc>
          <w:tcPr>
            <w:tcW w:w="1503" w:type="dxa"/>
            <w:shd w:val="clear" w:color="auto" w:fill="D9D9D9" w:themeFill="background1" w:themeFillShade="D9"/>
            <w:vAlign w:val="center"/>
          </w:tcPr>
          <w:p w:rsidR="00F84A99" w:rsidRPr="00DD5BA3" w:rsidRDefault="00C13D4E"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1,047</w:t>
            </w:r>
          </w:p>
        </w:tc>
      </w:tr>
      <w:tr w:rsidR="00F84A99" w:rsidRPr="00DD5BA3" w:rsidTr="00572652">
        <w:tc>
          <w:tcPr>
            <w:tcW w:w="5495" w:type="dxa"/>
            <w:vAlign w:val="center"/>
          </w:tcPr>
          <w:p w:rsidR="00F84A99" w:rsidRPr="00DD5BA3" w:rsidRDefault="00F84A99"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Receipts in advance</w:t>
            </w:r>
          </w:p>
        </w:tc>
        <w:tc>
          <w:tcPr>
            <w:tcW w:w="1503" w:type="dxa"/>
            <w:vAlign w:val="center"/>
          </w:tcPr>
          <w:p w:rsidR="00F84A99" w:rsidRPr="00DD5BA3" w:rsidRDefault="00F84A99" w:rsidP="00C17FBB">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118</w:t>
            </w:r>
          </w:p>
        </w:tc>
        <w:tc>
          <w:tcPr>
            <w:tcW w:w="1503" w:type="dxa"/>
            <w:shd w:val="clear" w:color="auto" w:fill="D9D9D9" w:themeFill="background1" w:themeFillShade="D9"/>
            <w:vAlign w:val="center"/>
          </w:tcPr>
          <w:p w:rsidR="00F84A99" w:rsidRPr="00DD5BA3" w:rsidRDefault="00EB5338" w:rsidP="00762DB7">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3,096</w:t>
            </w:r>
          </w:p>
        </w:tc>
      </w:tr>
      <w:tr w:rsidR="00F84A99" w:rsidRPr="0068094B" w:rsidTr="00572652">
        <w:trPr>
          <w:trHeight w:val="341"/>
        </w:trPr>
        <w:tc>
          <w:tcPr>
            <w:tcW w:w="5495" w:type="dxa"/>
            <w:vAlign w:val="center"/>
          </w:tcPr>
          <w:p w:rsidR="00F84A99" w:rsidRPr="00DD5BA3" w:rsidRDefault="00F84A99"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Other Creditors</w:t>
            </w:r>
          </w:p>
        </w:tc>
        <w:tc>
          <w:tcPr>
            <w:tcW w:w="1503" w:type="dxa"/>
            <w:tcBorders>
              <w:bottom w:val="double" w:sz="4" w:space="0" w:color="000000"/>
            </w:tcBorders>
            <w:shd w:val="clear" w:color="auto" w:fill="auto"/>
            <w:vAlign w:val="center"/>
          </w:tcPr>
          <w:p w:rsidR="00F84A99" w:rsidRPr="00DD5BA3" w:rsidRDefault="00F84A99" w:rsidP="00C0006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802</w:t>
            </w:r>
          </w:p>
        </w:tc>
        <w:tc>
          <w:tcPr>
            <w:tcW w:w="1503" w:type="dxa"/>
            <w:tcBorders>
              <w:bottom w:val="double" w:sz="4" w:space="0" w:color="808080"/>
            </w:tcBorders>
            <w:shd w:val="clear" w:color="auto" w:fill="D9D9D9" w:themeFill="background1" w:themeFillShade="D9"/>
            <w:vAlign w:val="center"/>
          </w:tcPr>
          <w:p w:rsidR="00F84A99" w:rsidRPr="00D16CC2" w:rsidRDefault="00BE3986" w:rsidP="00BE398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50</w:t>
            </w:r>
          </w:p>
        </w:tc>
      </w:tr>
      <w:tr w:rsidR="00F84A99" w:rsidRPr="00DD5BA3" w:rsidTr="00572652">
        <w:trPr>
          <w:trHeight w:val="341"/>
        </w:trPr>
        <w:tc>
          <w:tcPr>
            <w:tcW w:w="5495" w:type="dxa"/>
            <w:vAlign w:val="center"/>
          </w:tcPr>
          <w:p w:rsidR="00F84A99" w:rsidRPr="0068094B" w:rsidRDefault="00F84A99"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Total</w:t>
            </w:r>
          </w:p>
        </w:tc>
        <w:tc>
          <w:tcPr>
            <w:tcW w:w="1503" w:type="dxa"/>
            <w:tcBorders>
              <w:top w:val="single" w:sz="4" w:space="0" w:color="000000"/>
              <w:bottom w:val="double" w:sz="4" w:space="0" w:color="000000"/>
            </w:tcBorders>
            <w:shd w:val="clear" w:color="auto" w:fill="auto"/>
            <w:vAlign w:val="center"/>
          </w:tcPr>
          <w:p w:rsidR="00F84A99" w:rsidRPr="0068094B" w:rsidRDefault="00F84A99" w:rsidP="00C0006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16CC2">
              <w:rPr>
                <w:rFonts w:asciiTheme="minorHAnsi" w:hAnsiTheme="minorHAnsi" w:cstheme="minorHAnsi"/>
                <w:sz w:val="22"/>
                <w:szCs w:val="22"/>
              </w:rPr>
              <w:t>10,501</w:t>
            </w:r>
          </w:p>
        </w:tc>
        <w:tc>
          <w:tcPr>
            <w:tcW w:w="1503" w:type="dxa"/>
            <w:tcBorders>
              <w:top w:val="single" w:sz="4" w:space="0" w:color="808080"/>
              <w:bottom w:val="double" w:sz="4" w:space="0" w:color="808080"/>
            </w:tcBorders>
            <w:shd w:val="clear" w:color="auto" w:fill="D9D9D9" w:themeFill="background1" w:themeFillShade="D9"/>
            <w:vAlign w:val="center"/>
          </w:tcPr>
          <w:p w:rsidR="00F84A99" w:rsidRPr="00DD5BA3" w:rsidRDefault="00FF092B" w:rsidP="00BE398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12,</w:t>
            </w:r>
            <w:r w:rsidR="00C73BB0" w:rsidRPr="00DD5BA3">
              <w:rPr>
                <w:rFonts w:asciiTheme="minorHAnsi" w:hAnsiTheme="minorHAnsi" w:cstheme="minorHAnsi"/>
                <w:sz w:val="22"/>
                <w:szCs w:val="22"/>
              </w:rPr>
              <w:t>1</w:t>
            </w:r>
            <w:r w:rsidR="00BE3986" w:rsidRPr="00DD5BA3">
              <w:rPr>
                <w:rFonts w:asciiTheme="minorHAnsi" w:hAnsiTheme="minorHAnsi" w:cstheme="minorHAnsi"/>
                <w:sz w:val="22"/>
                <w:szCs w:val="22"/>
              </w:rPr>
              <w:t>75</w:t>
            </w:r>
          </w:p>
        </w:tc>
      </w:tr>
    </w:tbl>
    <w:p w:rsidR="000E55F1" w:rsidRPr="0068094B" w:rsidRDefault="000E55F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Provisions</w:t>
      </w:r>
    </w:p>
    <w:p w:rsidR="00AA3BB5" w:rsidRPr="0068094B" w:rsidRDefault="00AA3BB5" w:rsidP="00AA3BB5">
      <w:pPr>
        <w:tabs>
          <w:tab w:val="left" w:pos="0"/>
        </w:tabs>
        <w:jc w:val="both"/>
        <w:rPr>
          <w:rFonts w:asciiTheme="minorHAnsi" w:hAnsiTheme="minorHAnsi" w:cstheme="minorHAnsi"/>
          <w:b/>
          <w:bCs/>
          <w:sz w:val="22"/>
          <w:szCs w:val="22"/>
        </w:rPr>
      </w:pPr>
    </w:p>
    <w:p w:rsidR="00762DB7" w:rsidRDefault="00762DB7" w:rsidP="004B79BE">
      <w:pPr>
        <w:tabs>
          <w:tab w:val="left" w:pos="0"/>
        </w:tabs>
        <w:rPr>
          <w:rFonts w:asciiTheme="minorHAnsi" w:hAnsiTheme="minorHAnsi" w:cstheme="minorHAnsi"/>
          <w:bCs/>
          <w:sz w:val="22"/>
          <w:szCs w:val="22"/>
        </w:rPr>
      </w:pPr>
      <w:r w:rsidRPr="00762DB7">
        <w:rPr>
          <w:rFonts w:asciiTheme="minorHAnsi" w:hAnsiTheme="minorHAnsi" w:cstheme="minorHAnsi"/>
          <w:bCs/>
          <w:sz w:val="22"/>
          <w:szCs w:val="22"/>
        </w:rPr>
        <w:t>The disclosed amount of £1,</w:t>
      </w:r>
      <w:r w:rsidRPr="00DD5BA3">
        <w:rPr>
          <w:rFonts w:asciiTheme="minorHAnsi" w:hAnsiTheme="minorHAnsi" w:cstheme="minorHAnsi"/>
          <w:bCs/>
          <w:sz w:val="22"/>
          <w:szCs w:val="22"/>
        </w:rPr>
        <w:t>27</w:t>
      </w:r>
      <w:r w:rsidR="003652A7" w:rsidRPr="00DD5BA3">
        <w:rPr>
          <w:rFonts w:asciiTheme="minorHAnsi" w:hAnsiTheme="minorHAnsi" w:cstheme="minorHAnsi"/>
          <w:bCs/>
          <w:sz w:val="22"/>
          <w:szCs w:val="22"/>
        </w:rPr>
        <w:t>1</w:t>
      </w:r>
      <w:r w:rsidRPr="00DD5BA3">
        <w:rPr>
          <w:rFonts w:asciiTheme="minorHAnsi" w:hAnsiTheme="minorHAnsi" w:cstheme="minorHAnsi"/>
          <w:bCs/>
          <w:sz w:val="22"/>
          <w:szCs w:val="22"/>
        </w:rPr>
        <w:t>k (</w:t>
      </w:r>
      <w:r w:rsidRPr="00762DB7">
        <w:rPr>
          <w:rFonts w:asciiTheme="minorHAnsi" w:hAnsiTheme="minorHAnsi" w:cstheme="minorHAnsi"/>
          <w:bCs/>
          <w:sz w:val="22"/>
          <w:szCs w:val="22"/>
        </w:rPr>
        <w:t>£2,497k 2018-19) represents an amount set aside as the best estimate of the amount that businesses have been overcharged business rates up to 31 March 2020. The in-year movement is mainly created by a change for 2019-20 in the local share of the collection fund totals retained by the District Council due to the West Sussex Business Rate Retention pilot scheme.</w:t>
      </w:r>
    </w:p>
    <w:p w:rsidR="00EF6CEB" w:rsidRPr="0068094B" w:rsidRDefault="00EF6CEB" w:rsidP="00AA3BB5">
      <w:pPr>
        <w:tabs>
          <w:tab w:val="left" w:pos="0"/>
        </w:tabs>
        <w:jc w:val="both"/>
        <w:rPr>
          <w:rFonts w:asciiTheme="minorHAnsi" w:hAnsiTheme="minorHAnsi" w:cstheme="minorHAnsi"/>
          <w:bCs/>
          <w:sz w:val="22"/>
          <w:szCs w:val="22"/>
        </w:rPr>
      </w:pPr>
    </w:p>
    <w:p w:rsidR="00746535" w:rsidRPr="0068094B" w:rsidRDefault="004A6511" w:rsidP="00871025">
      <w:pPr>
        <w:pStyle w:val="ListParagraph"/>
        <w:numPr>
          <w:ilvl w:val="0"/>
          <w:numId w:val="40"/>
        </w:numPr>
        <w:tabs>
          <w:tab w:val="left" w:pos="0"/>
        </w:tabs>
        <w:spacing w:after="240"/>
        <w:ind w:hanging="1287"/>
        <w:jc w:val="both"/>
        <w:rPr>
          <w:rFonts w:asciiTheme="minorHAnsi" w:hAnsiTheme="minorHAnsi" w:cstheme="minorHAnsi"/>
          <w:b/>
          <w:bCs/>
          <w:szCs w:val="22"/>
        </w:rPr>
      </w:pPr>
      <w:r w:rsidRPr="0068094B">
        <w:rPr>
          <w:rFonts w:asciiTheme="minorHAnsi" w:hAnsiTheme="minorHAnsi" w:cstheme="minorHAnsi"/>
          <w:b/>
          <w:bCs/>
          <w:szCs w:val="22"/>
        </w:rPr>
        <w:t>Unusable Reserve</w:t>
      </w:r>
      <w:r w:rsidR="00871025">
        <w:rPr>
          <w:rFonts w:asciiTheme="minorHAnsi" w:hAnsiTheme="minorHAnsi" w:cstheme="minorHAnsi"/>
          <w:b/>
          <w:bCs/>
          <w:szCs w:val="22"/>
        </w:rPr>
        <w:t>s</w:t>
      </w:r>
    </w:p>
    <w:p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Revaluation Reserve</w:t>
      </w:r>
    </w:p>
    <w:p w:rsidR="00746535" w:rsidRPr="0068094B" w:rsidRDefault="00746535" w:rsidP="00746535">
      <w:pPr>
        <w:tabs>
          <w:tab w:val="left" w:pos="0"/>
        </w:tabs>
        <w:rPr>
          <w:rFonts w:asciiTheme="minorHAnsi" w:hAnsiTheme="minorHAnsi" w:cstheme="minorHAnsi"/>
          <w:sz w:val="22"/>
          <w:szCs w:val="22"/>
        </w:rPr>
      </w:pPr>
    </w:p>
    <w:p w:rsidR="00746535" w:rsidRPr="0068094B" w:rsidRDefault="00746535" w:rsidP="00746535">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Revaluation Reserve contains the gains made by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arising from increases in the value of its </w:t>
      </w:r>
      <w:r w:rsidR="002C62F0" w:rsidRPr="0068094B">
        <w:rPr>
          <w:rFonts w:asciiTheme="minorHAnsi" w:hAnsiTheme="minorHAnsi" w:cstheme="minorHAnsi"/>
          <w:color w:val="000000"/>
          <w:sz w:val="22"/>
          <w:szCs w:val="22"/>
        </w:rPr>
        <w:t xml:space="preserve">non-current assets. </w:t>
      </w:r>
    </w:p>
    <w:p w:rsidR="005D4076" w:rsidRPr="0068094B" w:rsidRDefault="005D4076" w:rsidP="00746535">
      <w:pPr>
        <w:pStyle w:val="PlainText"/>
        <w:tabs>
          <w:tab w:val="left" w:pos="0"/>
        </w:tabs>
        <w:autoSpaceDE w:val="0"/>
        <w:rPr>
          <w:rFonts w:asciiTheme="minorHAnsi" w:hAnsiTheme="minorHAnsi" w:cstheme="minorHAnsi"/>
          <w:sz w:val="22"/>
          <w:szCs w:val="22"/>
          <w:lang w:val="en-US"/>
        </w:rPr>
      </w:pPr>
    </w:p>
    <w:tbl>
      <w:tblPr>
        <w:tblW w:w="9356" w:type="dxa"/>
        <w:tblInd w:w="157" w:type="dxa"/>
        <w:tblLayout w:type="fixed"/>
        <w:tblCellMar>
          <w:top w:w="15" w:type="dxa"/>
          <w:left w:w="15" w:type="dxa"/>
          <w:right w:w="15" w:type="dxa"/>
        </w:tblCellMar>
        <w:tblLook w:val="0000" w:firstRow="0" w:lastRow="0" w:firstColumn="0" w:lastColumn="0" w:noHBand="0" w:noVBand="0"/>
      </w:tblPr>
      <w:tblGrid>
        <w:gridCol w:w="1276"/>
        <w:gridCol w:w="6804"/>
        <w:gridCol w:w="1276"/>
      </w:tblGrid>
      <w:tr w:rsidR="008C0DA4" w:rsidRPr="0068094B" w:rsidTr="006D72E5">
        <w:trPr>
          <w:trHeight w:val="510"/>
        </w:trPr>
        <w:tc>
          <w:tcPr>
            <w:tcW w:w="1276" w:type="dxa"/>
            <w:tcBorders>
              <w:bottom w:val="single" w:sz="4" w:space="0" w:color="000000"/>
            </w:tcBorders>
            <w:vAlign w:val="center"/>
          </w:tcPr>
          <w:p w:rsidR="008C0DA4"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1834AB">
              <w:rPr>
                <w:rFonts w:asciiTheme="minorHAnsi" w:hAnsiTheme="minorHAnsi" w:cstheme="minorHAnsi"/>
                <w:b/>
                <w:sz w:val="22"/>
                <w:szCs w:val="22"/>
              </w:rPr>
              <w:t>8</w:t>
            </w:r>
            <w:r w:rsidRPr="0068094B">
              <w:rPr>
                <w:rFonts w:asciiTheme="minorHAnsi" w:hAnsiTheme="minorHAnsi" w:cstheme="minorHAnsi"/>
                <w:b/>
                <w:sz w:val="22"/>
                <w:szCs w:val="22"/>
              </w:rPr>
              <w:t>-1</w:t>
            </w:r>
            <w:r w:rsidR="001834AB">
              <w:rPr>
                <w:rFonts w:asciiTheme="minorHAnsi" w:hAnsiTheme="minorHAnsi" w:cstheme="minorHAnsi"/>
                <w:b/>
                <w:sz w:val="22"/>
                <w:szCs w:val="22"/>
              </w:rPr>
              <w:t>9</w:t>
            </w:r>
          </w:p>
          <w:p w:rsidR="008C0DA4" w:rsidRPr="0068094B" w:rsidRDefault="008C0DA4"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bottom"/>
          </w:tcPr>
          <w:p w:rsidR="008C0DA4" w:rsidRPr="0068094B" w:rsidRDefault="008C0DA4"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rsidR="008C0DA4"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1834AB">
              <w:rPr>
                <w:rFonts w:asciiTheme="minorHAnsi" w:hAnsiTheme="minorHAnsi" w:cstheme="minorHAnsi"/>
                <w:b/>
                <w:sz w:val="22"/>
                <w:szCs w:val="22"/>
              </w:rPr>
              <w:t>9</w:t>
            </w:r>
            <w:r w:rsidRPr="0068094B">
              <w:rPr>
                <w:rFonts w:asciiTheme="minorHAnsi" w:hAnsiTheme="minorHAnsi" w:cstheme="minorHAnsi"/>
                <w:b/>
                <w:sz w:val="22"/>
                <w:szCs w:val="22"/>
              </w:rPr>
              <w:t>-</w:t>
            </w:r>
            <w:r w:rsidR="001834AB">
              <w:rPr>
                <w:rFonts w:asciiTheme="minorHAnsi" w:hAnsiTheme="minorHAnsi" w:cstheme="minorHAnsi"/>
                <w:b/>
                <w:sz w:val="22"/>
                <w:szCs w:val="22"/>
              </w:rPr>
              <w:t>20</w:t>
            </w:r>
          </w:p>
          <w:p w:rsidR="008C0DA4" w:rsidRPr="0068094B" w:rsidRDefault="008C0DA4"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1834AB" w:rsidRPr="0068094B" w:rsidTr="006D72E5">
        <w:trPr>
          <w:trHeight w:val="476"/>
        </w:trPr>
        <w:tc>
          <w:tcPr>
            <w:tcW w:w="1276" w:type="dxa"/>
            <w:tcBorders>
              <w:top w:val="single" w:sz="4" w:space="0" w:color="000000"/>
            </w:tcBorders>
            <w:vAlign w:val="center"/>
          </w:tcPr>
          <w:p w:rsidR="001834AB" w:rsidRPr="0068094B" w:rsidRDefault="001834AB" w:rsidP="00551EBA">
            <w:pPr>
              <w:tabs>
                <w:tab w:val="left" w:pos="0"/>
              </w:tabs>
              <w:snapToGrid w:val="0"/>
              <w:jc w:val="right"/>
              <w:rPr>
                <w:rFonts w:asciiTheme="minorHAnsi" w:eastAsia="Arial" w:hAnsiTheme="minorHAnsi" w:cstheme="minorHAnsi"/>
                <w:b/>
                <w:bCs/>
                <w:sz w:val="22"/>
                <w:szCs w:val="22"/>
              </w:rPr>
            </w:pPr>
            <w:r>
              <w:rPr>
                <w:rFonts w:asciiTheme="minorHAnsi" w:eastAsia="Arial" w:hAnsiTheme="minorHAnsi" w:cstheme="minorHAnsi"/>
                <w:b/>
                <w:bCs/>
                <w:sz w:val="22"/>
                <w:szCs w:val="22"/>
              </w:rPr>
              <w:t>(52,427)</w:t>
            </w:r>
          </w:p>
        </w:tc>
        <w:tc>
          <w:tcPr>
            <w:tcW w:w="6804" w:type="dxa"/>
            <w:vAlign w:val="center"/>
          </w:tcPr>
          <w:p w:rsidR="001834AB" w:rsidRPr="0068094B" w:rsidRDefault="001834AB" w:rsidP="002951DA">
            <w:pPr>
              <w:pStyle w:val="FootnoteText"/>
              <w:tabs>
                <w:tab w:val="left" w:pos="127"/>
              </w:tabs>
              <w:snapToGrid w:val="0"/>
              <w:ind w:left="127"/>
              <w:rPr>
                <w:rFonts w:asciiTheme="minorHAnsi" w:hAnsiTheme="minorHAnsi" w:cstheme="minorHAnsi"/>
                <w:b/>
                <w:bCs/>
                <w:sz w:val="22"/>
                <w:szCs w:val="22"/>
              </w:rPr>
            </w:pPr>
            <w:r w:rsidRPr="0068094B">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rsidR="001834AB" w:rsidRPr="0068094B" w:rsidRDefault="00642A75" w:rsidP="00AD6BD1">
            <w:pPr>
              <w:tabs>
                <w:tab w:val="left" w:pos="0"/>
              </w:tabs>
              <w:snapToGrid w:val="0"/>
              <w:jc w:val="right"/>
              <w:rPr>
                <w:rFonts w:asciiTheme="minorHAnsi" w:eastAsia="Arial" w:hAnsiTheme="minorHAnsi" w:cstheme="minorHAnsi"/>
                <w:b/>
                <w:bCs/>
                <w:sz w:val="22"/>
                <w:szCs w:val="22"/>
              </w:rPr>
            </w:pPr>
            <w:r>
              <w:rPr>
                <w:rFonts w:asciiTheme="minorHAnsi" w:eastAsia="Arial" w:hAnsiTheme="minorHAnsi" w:cstheme="minorHAnsi"/>
                <w:b/>
                <w:bCs/>
                <w:sz w:val="22"/>
                <w:szCs w:val="22"/>
              </w:rPr>
              <w:t>(57,117)</w:t>
            </w:r>
          </w:p>
        </w:tc>
      </w:tr>
      <w:tr w:rsidR="001834AB" w:rsidRPr="0068094B" w:rsidTr="006D72E5">
        <w:trPr>
          <w:trHeight w:val="274"/>
        </w:trPr>
        <w:tc>
          <w:tcPr>
            <w:tcW w:w="1276" w:type="dxa"/>
            <w:vAlign w:val="center"/>
          </w:tcPr>
          <w:p w:rsidR="001834AB" w:rsidRPr="0068094B" w:rsidRDefault="001834AB" w:rsidP="00551EBA">
            <w:pPr>
              <w:tabs>
                <w:tab w:val="left" w:pos="0"/>
              </w:tabs>
              <w:snapToGrid w:val="0"/>
              <w:jc w:val="right"/>
              <w:rPr>
                <w:rFonts w:asciiTheme="minorHAnsi" w:eastAsia="Arial Unicode MS" w:hAnsiTheme="minorHAnsi" w:cstheme="minorHAnsi"/>
                <w:sz w:val="22"/>
                <w:szCs w:val="22"/>
              </w:rPr>
            </w:pPr>
            <w:r w:rsidRPr="00D16CC2">
              <w:rPr>
                <w:rFonts w:asciiTheme="minorHAnsi" w:eastAsia="Arial Unicode MS" w:hAnsiTheme="minorHAnsi" w:cstheme="minorHAnsi"/>
                <w:sz w:val="22"/>
                <w:szCs w:val="22"/>
              </w:rPr>
              <w:t>(15,333)</w:t>
            </w:r>
          </w:p>
        </w:tc>
        <w:tc>
          <w:tcPr>
            <w:tcW w:w="6804" w:type="dxa"/>
            <w:vAlign w:val="center"/>
          </w:tcPr>
          <w:p w:rsidR="001834AB" w:rsidRPr="0068094B" w:rsidRDefault="001834AB" w:rsidP="002951DA">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Upward revaluation of assets</w:t>
            </w:r>
          </w:p>
        </w:tc>
        <w:tc>
          <w:tcPr>
            <w:tcW w:w="1276" w:type="dxa"/>
            <w:shd w:val="clear" w:color="auto" w:fill="D9D9D9" w:themeFill="background1" w:themeFillShade="D9"/>
            <w:vAlign w:val="center"/>
          </w:tcPr>
          <w:p w:rsidR="001834AB" w:rsidRPr="00D16CC2" w:rsidRDefault="00642A75" w:rsidP="005E318A">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(8,481)</w:t>
            </w:r>
          </w:p>
        </w:tc>
      </w:tr>
      <w:tr w:rsidR="001834AB" w:rsidRPr="0068094B" w:rsidTr="006D72E5">
        <w:trPr>
          <w:trHeight w:val="547"/>
        </w:trPr>
        <w:tc>
          <w:tcPr>
            <w:tcW w:w="1276" w:type="dxa"/>
            <w:tcBorders>
              <w:bottom w:val="single" w:sz="4" w:space="0" w:color="000000"/>
            </w:tcBorders>
            <w:vAlign w:val="center"/>
          </w:tcPr>
          <w:p w:rsidR="001834AB" w:rsidRPr="0068094B" w:rsidRDefault="001834AB" w:rsidP="00551EBA">
            <w:pPr>
              <w:tabs>
                <w:tab w:val="left" w:pos="0"/>
              </w:tabs>
              <w:snapToGrid w:val="0"/>
              <w:jc w:val="right"/>
              <w:rPr>
                <w:rFonts w:asciiTheme="minorHAnsi" w:eastAsia="Arial Unicode MS" w:hAnsiTheme="minorHAnsi" w:cstheme="minorHAnsi"/>
                <w:sz w:val="22"/>
                <w:szCs w:val="22"/>
              </w:rPr>
            </w:pPr>
            <w:r w:rsidRPr="00D16CC2">
              <w:rPr>
                <w:rFonts w:asciiTheme="minorHAnsi" w:eastAsia="Arial Unicode MS" w:hAnsiTheme="minorHAnsi" w:cstheme="minorHAnsi"/>
                <w:sz w:val="22"/>
                <w:szCs w:val="22"/>
              </w:rPr>
              <w:t>9,836</w:t>
            </w:r>
          </w:p>
        </w:tc>
        <w:tc>
          <w:tcPr>
            <w:tcW w:w="6804" w:type="dxa"/>
            <w:vAlign w:val="center"/>
          </w:tcPr>
          <w:p w:rsidR="001834AB" w:rsidRPr="0068094B" w:rsidRDefault="001834AB" w:rsidP="002951DA">
            <w:pPr>
              <w:pStyle w:val="FootnoteText"/>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Downward revaluation of assets and impairment losses not charged to the Surplus/Deficit on the Provision of Services</w:t>
            </w:r>
          </w:p>
        </w:tc>
        <w:tc>
          <w:tcPr>
            <w:tcW w:w="1276" w:type="dxa"/>
            <w:tcBorders>
              <w:bottom w:val="single" w:sz="4" w:space="0" w:color="333333"/>
            </w:tcBorders>
            <w:shd w:val="clear" w:color="auto" w:fill="D9D9D9" w:themeFill="background1" w:themeFillShade="D9"/>
            <w:vAlign w:val="center"/>
          </w:tcPr>
          <w:p w:rsidR="001834AB" w:rsidRPr="00D16CC2" w:rsidRDefault="00642A75" w:rsidP="001D528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5,639</w:t>
            </w:r>
          </w:p>
        </w:tc>
      </w:tr>
      <w:tr w:rsidR="001834AB" w:rsidRPr="0068094B" w:rsidTr="006D72E5">
        <w:trPr>
          <w:trHeight w:val="546"/>
        </w:trPr>
        <w:tc>
          <w:tcPr>
            <w:tcW w:w="1276" w:type="dxa"/>
            <w:tcBorders>
              <w:top w:val="single" w:sz="4" w:space="0" w:color="000000"/>
            </w:tcBorders>
            <w:vAlign w:val="center"/>
          </w:tcPr>
          <w:p w:rsidR="001834AB" w:rsidRPr="0068094B" w:rsidRDefault="001834AB" w:rsidP="00551EBA">
            <w:pPr>
              <w:tabs>
                <w:tab w:val="left" w:pos="0"/>
              </w:tabs>
              <w:snapToGrid w:val="0"/>
              <w:jc w:val="right"/>
              <w:rPr>
                <w:rFonts w:asciiTheme="minorHAnsi" w:eastAsia="Arial Unicode MS" w:hAnsiTheme="minorHAnsi" w:cstheme="minorHAnsi"/>
                <w:sz w:val="22"/>
                <w:szCs w:val="22"/>
              </w:rPr>
            </w:pPr>
            <w:r w:rsidRPr="00D16CC2">
              <w:rPr>
                <w:rFonts w:asciiTheme="minorHAnsi" w:eastAsia="Arial Unicode MS" w:hAnsiTheme="minorHAnsi" w:cstheme="minorHAnsi"/>
                <w:sz w:val="22"/>
                <w:szCs w:val="22"/>
              </w:rPr>
              <w:t>(5,497)</w:t>
            </w:r>
          </w:p>
        </w:tc>
        <w:tc>
          <w:tcPr>
            <w:tcW w:w="6804" w:type="dxa"/>
            <w:vAlign w:val="center"/>
          </w:tcPr>
          <w:p w:rsidR="001834AB" w:rsidRPr="0068094B" w:rsidRDefault="001834AB" w:rsidP="002951DA">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Surplus or deficit on revaluation of non-current assets not posted to the Surplus or Deficit on the Provision of Services</w:t>
            </w:r>
          </w:p>
        </w:tc>
        <w:tc>
          <w:tcPr>
            <w:tcW w:w="1276" w:type="dxa"/>
            <w:tcBorders>
              <w:top w:val="single" w:sz="4" w:space="0" w:color="333333"/>
            </w:tcBorders>
            <w:shd w:val="clear" w:color="auto" w:fill="D9D9D9" w:themeFill="background1" w:themeFillShade="D9"/>
            <w:vAlign w:val="center"/>
          </w:tcPr>
          <w:p w:rsidR="001834AB" w:rsidRPr="00D16CC2" w:rsidRDefault="00642A75" w:rsidP="001D528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(2,842)</w:t>
            </w:r>
          </w:p>
        </w:tc>
      </w:tr>
      <w:tr w:rsidR="001834AB" w:rsidRPr="0068094B" w:rsidTr="006D72E5">
        <w:trPr>
          <w:trHeight w:val="114"/>
        </w:trPr>
        <w:tc>
          <w:tcPr>
            <w:tcW w:w="1276" w:type="dxa"/>
            <w:vAlign w:val="center"/>
          </w:tcPr>
          <w:p w:rsidR="001834AB" w:rsidRPr="0068094B" w:rsidRDefault="001834AB" w:rsidP="00551EBA">
            <w:pPr>
              <w:tabs>
                <w:tab w:val="left" w:pos="0"/>
              </w:tabs>
              <w:snapToGrid w:val="0"/>
              <w:jc w:val="right"/>
              <w:rPr>
                <w:rFonts w:asciiTheme="minorHAnsi" w:eastAsia="Arial Unicode MS" w:hAnsiTheme="minorHAnsi" w:cstheme="minorHAnsi"/>
                <w:sz w:val="22"/>
                <w:szCs w:val="22"/>
              </w:rPr>
            </w:pPr>
          </w:p>
        </w:tc>
        <w:tc>
          <w:tcPr>
            <w:tcW w:w="6804" w:type="dxa"/>
            <w:vAlign w:val="center"/>
          </w:tcPr>
          <w:p w:rsidR="001834AB" w:rsidRPr="0068094B" w:rsidRDefault="001834AB" w:rsidP="002951DA">
            <w:pPr>
              <w:tabs>
                <w:tab w:val="left" w:pos="127"/>
              </w:tabs>
              <w:snapToGrid w:val="0"/>
              <w:ind w:left="127"/>
              <w:rPr>
                <w:rFonts w:asciiTheme="minorHAnsi" w:hAnsiTheme="minorHAnsi" w:cstheme="minorHAnsi"/>
                <w:sz w:val="22"/>
                <w:szCs w:val="22"/>
              </w:rPr>
            </w:pPr>
          </w:p>
        </w:tc>
        <w:tc>
          <w:tcPr>
            <w:tcW w:w="1276" w:type="dxa"/>
            <w:shd w:val="clear" w:color="auto" w:fill="D9D9D9" w:themeFill="background1" w:themeFillShade="D9"/>
            <w:vAlign w:val="center"/>
          </w:tcPr>
          <w:p w:rsidR="001834AB" w:rsidRPr="00D16CC2" w:rsidRDefault="001834AB" w:rsidP="000307B3">
            <w:pPr>
              <w:tabs>
                <w:tab w:val="left" w:pos="0"/>
              </w:tabs>
              <w:snapToGrid w:val="0"/>
              <w:jc w:val="right"/>
              <w:rPr>
                <w:rFonts w:asciiTheme="minorHAnsi" w:eastAsia="Arial Unicode MS" w:hAnsiTheme="minorHAnsi" w:cstheme="minorHAnsi"/>
                <w:sz w:val="22"/>
                <w:szCs w:val="22"/>
              </w:rPr>
            </w:pPr>
          </w:p>
        </w:tc>
      </w:tr>
      <w:tr w:rsidR="001834AB" w:rsidRPr="0068094B" w:rsidTr="001834AB">
        <w:trPr>
          <w:trHeight w:val="435"/>
        </w:trPr>
        <w:tc>
          <w:tcPr>
            <w:tcW w:w="1276" w:type="dxa"/>
            <w:vAlign w:val="center"/>
          </w:tcPr>
          <w:p w:rsidR="001834AB" w:rsidRPr="0068094B" w:rsidRDefault="001834AB" w:rsidP="00551EBA">
            <w:pPr>
              <w:tabs>
                <w:tab w:val="left" w:pos="0"/>
              </w:tabs>
              <w:snapToGrid w:val="0"/>
              <w:jc w:val="right"/>
              <w:rPr>
                <w:rFonts w:asciiTheme="minorHAnsi" w:eastAsia="Arial Unicode MS" w:hAnsiTheme="minorHAnsi" w:cstheme="minorHAnsi"/>
                <w:sz w:val="22"/>
                <w:szCs w:val="22"/>
              </w:rPr>
            </w:pPr>
            <w:r w:rsidRPr="00D16CC2">
              <w:rPr>
                <w:rFonts w:asciiTheme="minorHAnsi" w:eastAsia="Arial Unicode MS" w:hAnsiTheme="minorHAnsi" w:cstheme="minorHAnsi"/>
                <w:sz w:val="22"/>
                <w:szCs w:val="22"/>
              </w:rPr>
              <w:t>807</w:t>
            </w:r>
          </w:p>
        </w:tc>
        <w:tc>
          <w:tcPr>
            <w:tcW w:w="6804" w:type="dxa"/>
            <w:vAlign w:val="center"/>
          </w:tcPr>
          <w:p w:rsidR="001834AB" w:rsidRPr="0068094B" w:rsidRDefault="001834AB" w:rsidP="002951DA">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Difference between fair value depreciation and historical cost depreciation</w:t>
            </w:r>
          </w:p>
        </w:tc>
        <w:tc>
          <w:tcPr>
            <w:tcW w:w="1276" w:type="dxa"/>
            <w:shd w:val="clear" w:color="auto" w:fill="D9D9D9" w:themeFill="background1" w:themeFillShade="D9"/>
            <w:vAlign w:val="center"/>
          </w:tcPr>
          <w:p w:rsidR="001834AB" w:rsidRPr="00D16CC2" w:rsidRDefault="00642A75" w:rsidP="00642A75">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686</w:t>
            </w:r>
          </w:p>
        </w:tc>
      </w:tr>
      <w:tr w:rsidR="001834AB" w:rsidRPr="0068094B" w:rsidTr="006D72E5">
        <w:trPr>
          <w:trHeight w:val="443"/>
        </w:trPr>
        <w:tc>
          <w:tcPr>
            <w:tcW w:w="1276" w:type="dxa"/>
            <w:tcBorders>
              <w:bottom w:val="single" w:sz="4" w:space="0" w:color="000000"/>
            </w:tcBorders>
            <w:vAlign w:val="center"/>
          </w:tcPr>
          <w:p w:rsidR="001834AB" w:rsidRPr="0068094B" w:rsidRDefault="001834AB" w:rsidP="00551EBA">
            <w:pPr>
              <w:tabs>
                <w:tab w:val="left" w:pos="0"/>
              </w:tabs>
              <w:snapToGrid w:val="0"/>
              <w:jc w:val="right"/>
              <w:rPr>
                <w:rFonts w:asciiTheme="minorHAnsi" w:eastAsia="Arial Unicode MS" w:hAnsiTheme="minorHAnsi" w:cstheme="minorHAnsi"/>
                <w:sz w:val="22"/>
                <w:szCs w:val="22"/>
              </w:rPr>
            </w:pPr>
            <w:r w:rsidRPr="00D16CC2">
              <w:rPr>
                <w:rFonts w:asciiTheme="minorHAnsi" w:eastAsia="Arial Unicode MS" w:hAnsiTheme="minorHAnsi" w:cstheme="minorHAnsi"/>
                <w:sz w:val="22"/>
                <w:szCs w:val="22"/>
              </w:rPr>
              <w:t>0</w:t>
            </w:r>
          </w:p>
        </w:tc>
        <w:tc>
          <w:tcPr>
            <w:tcW w:w="6804" w:type="dxa"/>
            <w:vAlign w:val="center"/>
          </w:tcPr>
          <w:p w:rsidR="001834AB" w:rsidRPr="0068094B" w:rsidRDefault="001834AB" w:rsidP="002951DA">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Accumulated gains on assets sold or scrapped</w:t>
            </w:r>
          </w:p>
        </w:tc>
        <w:tc>
          <w:tcPr>
            <w:tcW w:w="1276" w:type="dxa"/>
            <w:tcBorders>
              <w:bottom w:val="single" w:sz="4" w:space="0" w:color="333333"/>
            </w:tcBorders>
            <w:shd w:val="clear" w:color="auto" w:fill="D9D9D9" w:themeFill="background1" w:themeFillShade="D9"/>
            <w:vAlign w:val="center"/>
          </w:tcPr>
          <w:p w:rsidR="001834AB" w:rsidRPr="00D16CC2" w:rsidRDefault="00642A75" w:rsidP="00C104FE">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0</w:t>
            </w:r>
          </w:p>
        </w:tc>
      </w:tr>
      <w:tr w:rsidR="001834AB" w:rsidRPr="0068094B" w:rsidTr="006D72E5">
        <w:trPr>
          <w:trHeight w:val="448"/>
        </w:trPr>
        <w:tc>
          <w:tcPr>
            <w:tcW w:w="1276" w:type="dxa"/>
            <w:tcBorders>
              <w:top w:val="single" w:sz="4" w:space="0" w:color="000000"/>
              <w:bottom w:val="single" w:sz="4" w:space="0" w:color="000000"/>
            </w:tcBorders>
            <w:vAlign w:val="center"/>
          </w:tcPr>
          <w:p w:rsidR="001834AB" w:rsidRPr="0068094B" w:rsidRDefault="001834AB" w:rsidP="00551EBA">
            <w:pPr>
              <w:tabs>
                <w:tab w:val="left" w:pos="0"/>
              </w:tabs>
              <w:snapToGrid w:val="0"/>
              <w:jc w:val="right"/>
              <w:rPr>
                <w:rFonts w:asciiTheme="minorHAnsi" w:eastAsia="Arial Unicode MS" w:hAnsiTheme="minorHAnsi" w:cstheme="minorHAnsi"/>
                <w:sz w:val="22"/>
                <w:szCs w:val="22"/>
              </w:rPr>
            </w:pPr>
            <w:r w:rsidRPr="00D16CC2">
              <w:rPr>
                <w:rFonts w:asciiTheme="minorHAnsi" w:eastAsia="Arial Unicode MS" w:hAnsiTheme="minorHAnsi" w:cstheme="minorHAnsi"/>
                <w:sz w:val="22"/>
                <w:szCs w:val="22"/>
              </w:rPr>
              <w:t>807</w:t>
            </w:r>
          </w:p>
        </w:tc>
        <w:tc>
          <w:tcPr>
            <w:tcW w:w="6804" w:type="dxa"/>
            <w:vAlign w:val="center"/>
          </w:tcPr>
          <w:p w:rsidR="001834AB" w:rsidRPr="0068094B" w:rsidRDefault="001834AB" w:rsidP="002951DA">
            <w:pPr>
              <w:pStyle w:val="FootnoteText"/>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Amount written off to the Capital Adjustment Account</w:t>
            </w:r>
          </w:p>
        </w:tc>
        <w:tc>
          <w:tcPr>
            <w:tcW w:w="1276" w:type="dxa"/>
            <w:tcBorders>
              <w:top w:val="single" w:sz="4" w:space="0" w:color="333333"/>
              <w:bottom w:val="single" w:sz="4" w:space="0" w:color="333333"/>
            </w:tcBorders>
            <w:shd w:val="clear" w:color="auto" w:fill="D9D9D9" w:themeFill="background1" w:themeFillShade="D9"/>
            <w:vAlign w:val="center"/>
          </w:tcPr>
          <w:p w:rsidR="001834AB" w:rsidRPr="00D16CC2" w:rsidRDefault="00642A75" w:rsidP="00C104FE">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686</w:t>
            </w:r>
          </w:p>
        </w:tc>
      </w:tr>
      <w:tr w:rsidR="001834AB" w:rsidRPr="0068094B" w:rsidTr="006D72E5">
        <w:trPr>
          <w:trHeight w:val="406"/>
        </w:trPr>
        <w:tc>
          <w:tcPr>
            <w:tcW w:w="1276" w:type="dxa"/>
            <w:tcBorders>
              <w:top w:val="single" w:sz="4" w:space="0" w:color="000000"/>
              <w:bottom w:val="double" w:sz="4" w:space="0" w:color="333333"/>
            </w:tcBorders>
            <w:shd w:val="clear" w:color="auto" w:fill="auto"/>
            <w:vAlign w:val="center"/>
          </w:tcPr>
          <w:p w:rsidR="001834AB" w:rsidRPr="0068094B" w:rsidRDefault="001834AB" w:rsidP="00551EBA">
            <w:pPr>
              <w:tabs>
                <w:tab w:val="left" w:pos="0"/>
              </w:tabs>
              <w:snapToGrid w:val="0"/>
              <w:jc w:val="right"/>
              <w:rPr>
                <w:rFonts w:asciiTheme="minorHAnsi" w:eastAsia="Arial Unicode MS" w:hAnsiTheme="minorHAnsi" w:cstheme="minorHAnsi"/>
                <w:b/>
                <w:bCs/>
                <w:sz w:val="22"/>
                <w:szCs w:val="22"/>
              </w:rPr>
            </w:pPr>
            <w:r w:rsidRPr="00D16CC2">
              <w:rPr>
                <w:rFonts w:asciiTheme="minorHAnsi" w:eastAsia="Arial Unicode MS" w:hAnsiTheme="minorHAnsi" w:cstheme="minorHAnsi"/>
                <w:b/>
                <w:bCs/>
                <w:sz w:val="22"/>
                <w:szCs w:val="22"/>
              </w:rPr>
              <w:t>(57,117)</w:t>
            </w:r>
          </w:p>
        </w:tc>
        <w:tc>
          <w:tcPr>
            <w:tcW w:w="6804" w:type="dxa"/>
            <w:shd w:val="clear" w:color="auto" w:fill="auto"/>
            <w:vAlign w:val="center"/>
          </w:tcPr>
          <w:p w:rsidR="001834AB" w:rsidRPr="0068094B" w:rsidRDefault="001834AB" w:rsidP="002951DA">
            <w:pPr>
              <w:tabs>
                <w:tab w:val="left" w:pos="127"/>
              </w:tabs>
              <w:snapToGrid w:val="0"/>
              <w:ind w:left="127"/>
              <w:rPr>
                <w:rFonts w:asciiTheme="minorHAnsi" w:hAnsiTheme="minorHAnsi" w:cstheme="minorHAnsi"/>
                <w:b/>
                <w:bCs/>
                <w:sz w:val="22"/>
                <w:szCs w:val="22"/>
              </w:rPr>
            </w:pPr>
            <w:r w:rsidRPr="0068094B">
              <w:rPr>
                <w:rFonts w:asciiTheme="minorHAnsi" w:hAnsiTheme="minorHAnsi" w:cstheme="minorHAnsi"/>
                <w:b/>
                <w:bCs/>
                <w:sz w:val="22"/>
                <w:szCs w:val="22"/>
              </w:rPr>
              <w:t>Balance at 31 March</w:t>
            </w:r>
          </w:p>
        </w:tc>
        <w:tc>
          <w:tcPr>
            <w:tcW w:w="1276" w:type="dxa"/>
            <w:tcBorders>
              <w:top w:val="single" w:sz="4" w:space="0" w:color="333333"/>
              <w:bottom w:val="double" w:sz="4" w:space="0" w:color="333333"/>
            </w:tcBorders>
            <w:shd w:val="clear" w:color="auto" w:fill="D9D9D9" w:themeFill="background1" w:themeFillShade="D9"/>
            <w:vAlign w:val="center"/>
          </w:tcPr>
          <w:p w:rsidR="001834AB" w:rsidRPr="00D16CC2" w:rsidRDefault="00642A75" w:rsidP="001D5280">
            <w:pPr>
              <w:tabs>
                <w:tab w:val="left" w:pos="0"/>
              </w:tabs>
              <w:snapToGrid w:val="0"/>
              <w:jc w:val="right"/>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(59,273)</w:t>
            </w:r>
          </w:p>
        </w:tc>
      </w:tr>
    </w:tbl>
    <w:p w:rsidR="00DD5BA3" w:rsidRPr="00871025" w:rsidRDefault="00DD5BA3" w:rsidP="00871025">
      <w:pPr>
        <w:pStyle w:val="Heading2"/>
        <w:numPr>
          <w:ilvl w:val="0"/>
          <w:numId w:val="0"/>
        </w:numPr>
        <w:tabs>
          <w:tab w:val="left" w:pos="0"/>
        </w:tabs>
        <w:spacing w:after="600"/>
        <w:rPr>
          <w:rFonts w:asciiTheme="minorHAnsi" w:hAnsiTheme="minorHAnsi" w:cstheme="minorHAnsi"/>
          <w:sz w:val="22"/>
          <w:szCs w:val="22"/>
        </w:rPr>
      </w:pPr>
    </w:p>
    <w:p w:rsidR="00746535" w:rsidRPr="0068094B" w:rsidRDefault="00BB5C3C" w:rsidP="00746535">
      <w:pPr>
        <w:pStyle w:val="Heading2"/>
        <w:tabs>
          <w:tab w:val="clear" w:pos="576"/>
          <w:tab w:val="left" w:pos="0"/>
        </w:tabs>
        <w:ind w:left="0" w:firstLine="0"/>
        <w:rPr>
          <w:rFonts w:asciiTheme="minorHAnsi" w:hAnsiTheme="minorHAnsi" w:cstheme="minorHAnsi"/>
          <w:sz w:val="22"/>
          <w:szCs w:val="22"/>
        </w:rPr>
      </w:pPr>
      <w:r>
        <w:rPr>
          <w:rFonts w:asciiTheme="minorHAnsi" w:hAnsiTheme="minorHAnsi" w:cstheme="minorHAnsi"/>
          <w:sz w:val="22"/>
          <w:szCs w:val="22"/>
        </w:rPr>
        <w:t xml:space="preserve">Pooled Investment Funds Adjustment </w:t>
      </w:r>
      <w:r w:rsidR="00746535" w:rsidRPr="0068094B">
        <w:rPr>
          <w:rFonts w:asciiTheme="minorHAnsi" w:hAnsiTheme="minorHAnsi" w:cstheme="minorHAnsi"/>
          <w:sz w:val="22"/>
          <w:szCs w:val="22"/>
        </w:rPr>
        <w:t xml:space="preserve">Reserve </w:t>
      </w:r>
    </w:p>
    <w:p w:rsidR="00746535" w:rsidRDefault="00746535" w:rsidP="00746535">
      <w:pPr>
        <w:widowControl/>
        <w:tabs>
          <w:tab w:val="left" w:pos="0"/>
        </w:tabs>
        <w:autoSpaceDE w:val="0"/>
        <w:rPr>
          <w:rFonts w:asciiTheme="minorHAnsi" w:hAnsiTheme="minorHAnsi" w:cstheme="minorHAnsi"/>
          <w:color w:val="000000"/>
          <w:sz w:val="22"/>
          <w:szCs w:val="22"/>
        </w:rPr>
      </w:pPr>
    </w:p>
    <w:p w:rsidR="00422723" w:rsidRPr="00871025" w:rsidRDefault="00B27DA2" w:rsidP="00871025">
      <w:pPr>
        <w:widowControl/>
        <w:tabs>
          <w:tab w:val="left" w:pos="0"/>
        </w:tabs>
        <w:autoSpaceDE w:val="0"/>
        <w:rPr>
          <w:rFonts w:asciiTheme="minorHAnsi" w:hAnsiTheme="minorHAnsi" w:cstheme="minorHAnsi"/>
          <w:color w:val="000000"/>
          <w:sz w:val="22"/>
          <w:szCs w:val="22"/>
        </w:rPr>
      </w:pPr>
      <w:r w:rsidRPr="00A67E70">
        <w:rPr>
          <w:rFonts w:asciiTheme="minorHAnsi" w:hAnsiTheme="minorHAnsi" w:cstheme="minorHAnsi"/>
          <w:color w:val="000000"/>
          <w:sz w:val="22"/>
          <w:szCs w:val="22"/>
        </w:rPr>
        <w:t xml:space="preserve">The </w:t>
      </w:r>
      <w:r w:rsidR="009B0AE3" w:rsidRPr="00A67E70">
        <w:rPr>
          <w:rFonts w:asciiTheme="minorHAnsi" w:hAnsiTheme="minorHAnsi" w:cstheme="minorHAnsi"/>
          <w:color w:val="000000"/>
          <w:sz w:val="22"/>
          <w:szCs w:val="22"/>
        </w:rPr>
        <w:t>Pooled investment funds adjustment reserve (£</w:t>
      </w:r>
      <w:r w:rsidR="00A076F0" w:rsidRPr="00A67E70">
        <w:rPr>
          <w:rFonts w:asciiTheme="minorHAnsi" w:hAnsiTheme="minorHAnsi" w:cstheme="minorHAnsi"/>
          <w:color w:val="000000"/>
          <w:sz w:val="22"/>
          <w:szCs w:val="22"/>
        </w:rPr>
        <w:t>4,249</w:t>
      </w:r>
      <w:r w:rsidR="009B0AE3" w:rsidRPr="00A67E70">
        <w:rPr>
          <w:rFonts w:asciiTheme="minorHAnsi" w:hAnsiTheme="minorHAnsi" w:cstheme="minorHAnsi"/>
          <w:color w:val="000000"/>
          <w:sz w:val="22"/>
          <w:szCs w:val="22"/>
        </w:rPr>
        <w:t xml:space="preserve">k) comprises the </w:t>
      </w:r>
      <w:r w:rsidR="00A076F0" w:rsidRPr="00A67E70">
        <w:rPr>
          <w:rFonts w:asciiTheme="minorHAnsi" w:hAnsiTheme="minorHAnsi" w:cstheme="minorHAnsi"/>
          <w:color w:val="000000"/>
          <w:sz w:val="22"/>
          <w:szCs w:val="22"/>
        </w:rPr>
        <w:t>balance brought forward of (£343</w:t>
      </w:r>
      <w:r w:rsidR="009B0AE3" w:rsidRPr="00A67E70">
        <w:rPr>
          <w:rFonts w:asciiTheme="minorHAnsi" w:hAnsiTheme="minorHAnsi" w:cstheme="minorHAnsi"/>
          <w:color w:val="000000"/>
          <w:sz w:val="22"/>
          <w:szCs w:val="22"/>
        </w:rPr>
        <w:t>k)</w:t>
      </w:r>
      <w:r w:rsidR="00A076F0" w:rsidRPr="00A67E70">
        <w:rPr>
          <w:rFonts w:asciiTheme="minorHAnsi" w:hAnsiTheme="minorHAnsi" w:cstheme="minorHAnsi"/>
          <w:color w:val="000000"/>
          <w:sz w:val="22"/>
          <w:szCs w:val="22"/>
        </w:rPr>
        <w:t xml:space="preserve"> as at 31 March 2019, </w:t>
      </w:r>
      <w:r w:rsidR="00E43F97" w:rsidRPr="00A67E70">
        <w:rPr>
          <w:rFonts w:asciiTheme="minorHAnsi" w:hAnsiTheme="minorHAnsi" w:cstheme="minorHAnsi"/>
          <w:color w:val="000000"/>
          <w:sz w:val="22"/>
          <w:szCs w:val="22"/>
        </w:rPr>
        <w:t xml:space="preserve">and </w:t>
      </w:r>
      <w:r w:rsidR="00A076F0" w:rsidRPr="00A67E70">
        <w:rPr>
          <w:rFonts w:asciiTheme="minorHAnsi" w:hAnsiTheme="minorHAnsi" w:cstheme="minorHAnsi"/>
          <w:color w:val="000000"/>
          <w:sz w:val="22"/>
          <w:szCs w:val="22"/>
        </w:rPr>
        <w:t>the unrealised net loss</w:t>
      </w:r>
      <w:r w:rsidR="009B0AE3" w:rsidRPr="00A67E70">
        <w:rPr>
          <w:rFonts w:asciiTheme="minorHAnsi" w:hAnsiTheme="minorHAnsi" w:cstheme="minorHAnsi"/>
          <w:color w:val="000000"/>
          <w:sz w:val="22"/>
          <w:szCs w:val="22"/>
        </w:rPr>
        <w:t xml:space="preserve"> in the year on pooled investment funds of </w:t>
      </w:r>
      <w:r w:rsidR="00A076F0" w:rsidRPr="00A67E70">
        <w:rPr>
          <w:rFonts w:asciiTheme="minorHAnsi" w:hAnsiTheme="minorHAnsi" w:cstheme="minorHAnsi"/>
          <w:color w:val="000000"/>
          <w:sz w:val="22"/>
          <w:szCs w:val="22"/>
        </w:rPr>
        <w:t>(</w:t>
      </w:r>
      <w:r w:rsidR="009B0AE3" w:rsidRPr="00A67E70">
        <w:rPr>
          <w:rFonts w:asciiTheme="minorHAnsi" w:hAnsiTheme="minorHAnsi" w:cstheme="minorHAnsi"/>
          <w:color w:val="000000"/>
          <w:sz w:val="22"/>
          <w:szCs w:val="22"/>
        </w:rPr>
        <w:t>£</w:t>
      </w:r>
      <w:r w:rsidR="00A076F0" w:rsidRPr="00A67E70">
        <w:rPr>
          <w:rFonts w:asciiTheme="minorHAnsi" w:hAnsiTheme="minorHAnsi" w:cstheme="minorHAnsi"/>
          <w:color w:val="000000"/>
          <w:sz w:val="22"/>
          <w:szCs w:val="22"/>
        </w:rPr>
        <w:t>3,906k)</w:t>
      </w:r>
      <w:r w:rsidR="009B0AE3" w:rsidRPr="00A67E70">
        <w:rPr>
          <w:rFonts w:asciiTheme="minorHAnsi" w:hAnsiTheme="minorHAnsi" w:cstheme="minorHAnsi"/>
          <w:color w:val="000000"/>
          <w:sz w:val="22"/>
          <w:szCs w:val="22"/>
        </w:rPr>
        <w:t>.</w:t>
      </w:r>
    </w:p>
    <w:p w:rsidR="00871025" w:rsidRDefault="00871025">
      <w:pPr>
        <w:widowControl/>
        <w:suppressAutoHyphens w:val="0"/>
        <w:rPr>
          <w:rFonts w:asciiTheme="minorHAnsi" w:hAnsiTheme="minorHAnsi" w:cstheme="minorHAnsi"/>
          <w:b/>
          <w:sz w:val="22"/>
          <w:szCs w:val="22"/>
        </w:rPr>
      </w:pPr>
      <w:r>
        <w:rPr>
          <w:rFonts w:asciiTheme="minorHAnsi" w:hAnsiTheme="minorHAnsi" w:cstheme="minorHAnsi"/>
          <w:sz w:val="22"/>
          <w:szCs w:val="22"/>
        </w:rPr>
        <w:br w:type="page"/>
      </w:r>
    </w:p>
    <w:p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lastRenderedPageBreak/>
        <w:t>Capital Adjustment Account</w:t>
      </w:r>
    </w:p>
    <w:p w:rsidR="00746535" w:rsidRPr="0068094B" w:rsidRDefault="00746535" w:rsidP="00746535">
      <w:pPr>
        <w:pStyle w:val="FootnoteText"/>
        <w:tabs>
          <w:tab w:val="left" w:pos="0"/>
        </w:tabs>
        <w:rPr>
          <w:rFonts w:asciiTheme="minorHAnsi" w:hAnsiTheme="minorHAnsi" w:cstheme="minorHAnsi"/>
          <w:sz w:val="22"/>
          <w:szCs w:val="22"/>
        </w:rPr>
      </w:pPr>
    </w:p>
    <w:p w:rsidR="00FA535F" w:rsidRPr="0068094B" w:rsidRDefault="00746535" w:rsidP="00871025">
      <w:pPr>
        <w:pStyle w:val="PlainText"/>
        <w:tabs>
          <w:tab w:val="left" w:pos="0"/>
        </w:tabs>
        <w:autoSpaceDE w:val="0"/>
        <w:spacing w:after="120"/>
        <w:rPr>
          <w:rFonts w:asciiTheme="minorHAnsi" w:hAnsiTheme="minorHAnsi" w:cstheme="minorHAnsi"/>
          <w:sz w:val="22"/>
          <w:szCs w:val="22"/>
        </w:rPr>
      </w:pPr>
      <w:r w:rsidRPr="0068094B">
        <w:rPr>
          <w:rFonts w:asciiTheme="minorHAnsi" w:hAnsiTheme="minorHAnsi" w:cstheme="minorHAnsi"/>
          <w:sz w:val="22"/>
          <w:szCs w:val="22"/>
        </w:rPr>
        <w:t xml:space="preserve">The Capital Adjustment Account absorbs the timing differences arising from the different arrangements for accounting for the consumption of non-current assets and for financing the acquisition, construction or enhancement of those assets under statutory provisions. </w:t>
      </w:r>
    </w:p>
    <w:p w:rsidR="008F4FB7" w:rsidRPr="0068094B" w:rsidRDefault="008F4FB7" w:rsidP="00746535">
      <w:pPr>
        <w:pStyle w:val="FootnoteText"/>
        <w:tabs>
          <w:tab w:val="left" w:pos="0"/>
        </w:tabs>
        <w:rPr>
          <w:rFonts w:asciiTheme="minorHAnsi" w:hAnsiTheme="minorHAnsi" w:cstheme="minorHAnsi"/>
          <w:sz w:val="22"/>
          <w:szCs w:val="22"/>
        </w:rPr>
      </w:pPr>
    </w:p>
    <w:tbl>
      <w:tblPr>
        <w:tblW w:w="9356" w:type="dxa"/>
        <w:tblInd w:w="250" w:type="dxa"/>
        <w:tblLayout w:type="fixed"/>
        <w:tblLook w:val="0000" w:firstRow="0" w:lastRow="0" w:firstColumn="0" w:lastColumn="0" w:noHBand="0" w:noVBand="0"/>
      </w:tblPr>
      <w:tblGrid>
        <w:gridCol w:w="1276"/>
        <w:gridCol w:w="6804"/>
        <w:gridCol w:w="1276"/>
      </w:tblGrid>
      <w:tr w:rsidR="0007192F" w:rsidRPr="0068094B" w:rsidTr="006D72E5">
        <w:trPr>
          <w:tblHeader/>
        </w:trPr>
        <w:tc>
          <w:tcPr>
            <w:tcW w:w="1276" w:type="dxa"/>
            <w:tcBorders>
              <w:bottom w:val="single" w:sz="4" w:space="0" w:color="000000"/>
            </w:tcBorders>
            <w:vAlign w:val="center"/>
          </w:tcPr>
          <w:p w:rsidR="00141DE8" w:rsidRPr="0068094B" w:rsidRDefault="00233918" w:rsidP="00141DE8">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387C1C">
              <w:rPr>
                <w:rFonts w:asciiTheme="minorHAnsi" w:hAnsiTheme="minorHAnsi" w:cstheme="minorHAnsi"/>
                <w:b/>
                <w:sz w:val="22"/>
                <w:szCs w:val="22"/>
              </w:rPr>
              <w:t>8</w:t>
            </w:r>
            <w:r w:rsidRPr="0068094B">
              <w:rPr>
                <w:rFonts w:asciiTheme="minorHAnsi" w:hAnsiTheme="minorHAnsi" w:cstheme="minorHAnsi"/>
                <w:b/>
                <w:sz w:val="22"/>
                <w:szCs w:val="22"/>
              </w:rPr>
              <w:t>-1</w:t>
            </w:r>
            <w:r w:rsidR="00387C1C">
              <w:rPr>
                <w:rFonts w:asciiTheme="minorHAnsi" w:hAnsiTheme="minorHAnsi" w:cstheme="minorHAnsi"/>
                <w:b/>
                <w:sz w:val="22"/>
                <w:szCs w:val="22"/>
              </w:rPr>
              <w:t>9</w:t>
            </w:r>
          </w:p>
          <w:p w:rsidR="0007192F" w:rsidRPr="0068094B" w:rsidRDefault="0007192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bottom"/>
          </w:tcPr>
          <w:p w:rsidR="0007192F" w:rsidRPr="0068094B" w:rsidRDefault="0007192F"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rsidR="0007192F"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387C1C">
              <w:rPr>
                <w:rFonts w:asciiTheme="minorHAnsi" w:hAnsiTheme="minorHAnsi" w:cstheme="minorHAnsi"/>
                <w:b/>
                <w:sz w:val="22"/>
                <w:szCs w:val="22"/>
              </w:rPr>
              <w:t>9</w:t>
            </w:r>
            <w:r w:rsidRPr="0068094B">
              <w:rPr>
                <w:rFonts w:asciiTheme="minorHAnsi" w:hAnsiTheme="minorHAnsi" w:cstheme="minorHAnsi"/>
                <w:b/>
                <w:sz w:val="22"/>
                <w:szCs w:val="22"/>
              </w:rPr>
              <w:t>-</w:t>
            </w:r>
            <w:r w:rsidR="00387C1C">
              <w:rPr>
                <w:rFonts w:asciiTheme="minorHAnsi" w:hAnsiTheme="minorHAnsi" w:cstheme="minorHAnsi"/>
                <w:b/>
                <w:sz w:val="22"/>
                <w:szCs w:val="22"/>
              </w:rPr>
              <w:t>20</w:t>
            </w:r>
          </w:p>
          <w:p w:rsidR="0007192F" w:rsidRPr="0068094B" w:rsidRDefault="0007192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387C1C" w:rsidRPr="0068094B" w:rsidTr="006D72E5">
        <w:trPr>
          <w:trHeight w:val="375"/>
        </w:trPr>
        <w:tc>
          <w:tcPr>
            <w:tcW w:w="1276" w:type="dxa"/>
            <w:tcBorders>
              <w:top w:val="single" w:sz="4" w:space="0" w:color="000000"/>
            </w:tcBorders>
            <w:vAlign w:val="center"/>
          </w:tcPr>
          <w:p w:rsidR="00387C1C" w:rsidRPr="0068094B" w:rsidRDefault="00387C1C" w:rsidP="00551EBA">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(90,332)</w:t>
            </w:r>
          </w:p>
        </w:tc>
        <w:tc>
          <w:tcPr>
            <w:tcW w:w="6804" w:type="dxa"/>
            <w:vAlign w:val="center"/>
          </w:tcPr>
          <w:p w:rsidR="00387C1C" w:rsidRPr="0068094B" w:rsidRDefault="00387C1C" w:rsidP="000307B3">
            <w:pPr>
              <w:pStyle w:val="FootnoteText"/>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rsidR="00387C1C" w:rsidRPr="0068094B" w:rsidRDefault="00A82B16" w:rsidP="004B6556">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(92,405)</w:t>
            </w:r>
          </w:p>
        </w:tc>
      </w:tr>
      <w:tr w:rsidR="00387C1C" w:rsidRPr="0068094B" w:rsidTr="006D72E5">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p>
        </w:tc>
        <w:tc>
          <w:tcPr>
            <w:tcW w:w="6804" w:type="dxa"/>
            <w:vAlign w:val="center"/>
          </w:tcPr>
          <w:p w:rsidR="00387C1C" w:rsidRPr="0068094B" w:rsidRDefault="00387C1C"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Reversal of items relating to capital expenditure debited or credited to the Comprehensive Income and Expenditure Statement</w:t>
            </w:r>
            <w:r w:rsidR="00871025">
              <w:rPr>
                <w:rFonts w:asciiTheme="minorHAnsi" w:hAnsiTheme="minorHAnsi" w:cstheme="minorHAnsi"/>
                <w:sz w:val="22"/>
                <w:szCs w:val="22"/>
              </w:rPr>
              <w:t>:</w:t>
            </w:r>
          </w:p>
        </w:tc>
        <w:tc>
          <w:tcPr>
            <w:tcW w:w="1276" w:type="dxa"/>
            <w:shd w:val="clear" w:color="auto" w:fill="D9D9D9" w:themeFill="background1" w:themeFillShade="D9"/>
            <w:vAlign w:val="center"/>
          </w:tcPr>
          <w:p w:rsidR="00387C1C" w:rsidRPr="0068094B" w:rsidRDefault="00387C1C" w:rsidP="000307B3">
            <w:pPr>
              <w:pStyle w:val="FootnoteText"/>
              <w:tabs>
                <w:tab w:val="left" w:pos="0"/>
              </w:tabs>
              <w:snapToGrid w:val="0"/>
              <w:jc w:val="right"/>
              <w:rPr>
                <w:rFonts w:asciiTheme="minorHAnsi" w:hAnsiTheme="minorHAnsi" w:cstheme="minorHAnsi"/>
                <w:sz w:val="22"/>
                <w:szCs w:val="22"/>
              </w:rPr>
            </w:pPr>
          </w:p>
        </w:tc>
      </w:tr>
      <w:tr w:rsidR="00387C1C" w:rsidRPr="0068094B" w:rsidTr="006D72E5">
        <w:trPr>
          <w:trHeight w:val="584"/>
        </w:trPr>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3,122</w:t>
            </w:r>
          </w:p>
        </w:tc>
        <w:tc>
          <w:tcPr>
            <w:tcW w:w="6804" w:type="dxa"/>
            <w:shd w:val="clear" w:color="auto" w:fill="auto"/>
            <w:vAlign w:val="center"/>
          </w:tcPr>
          <w:p w:rsidR="00387C1C" w:rsidRPr="0068094B" w:rsidRDefault="00387C1C" w:rsidP="007D7B32">
            <w:pPr>
              <w:pStyle w:val="FootnoteText"/>
              <w:numPr>
                <w:ilvl w:val="0"/>
                <w:numId w:val="19"/>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Charges for depreciation and impairment of non-current assets</w:t>
            </w:r>
          </w:p>
        </w:tc>
        <w:tc>
          <w:tcPr>
            <w:tcW w:w="1276" w:type="dxa"/>
            <w:shd w:val="clear" w:color="auto" w:fill="D9D9D9" w:themeFill="background1" w:themeFillShade="D9"/>
            <w:vAlign w:val="center"/>
          </w:tcPr>
          <w:p w:rsidR="00387C1C" w:rsidRPr="0068094B" w:rsidRDefault="00001310" w:rsidP="000307B3">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3,221</w:t>
            </w:r>
          </w:p>
        </w:tc>
      </w:tr>
      <w:tr w:rsidR="00387C1C" w:rsidRPr="0068094B" w:rsidTr="006D72E5">
        <w:trPr>
          <w:trHeight w:val="578"/>
        </w:trPr>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1,054</w:t>
            </w:r>
          </w:p>
        </w:tc>
        <w:tc>
          <w:tcPr>
            <w:tcW w:w="6804" w:type="dxa"/>
            <w:vAlign w:val="center"/>
          </w:tcPr>
          <w:p w:rsidR="00387C1C" w:rsidRPr="0068094B" w:rsidRDefault="00387C1C" w:rsidP="007D7B32">
            <w:pPr>
              <w:pStyle w:val="FootnoteText"/>
              <w:numPr>
                <w:ilvl w:val="0"/>
                <w:numId w:val="19"/>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Revaluation losses on Property, Plant and Equipment</w:t>
            </w:r>
          </w:p>
        </w:tc>
        <w:tc>
          <w:tcPr>
            <w:tcW w:w="1276" w:type="dxa"/>
            <w:shd w:val="clear" w:color="auto" w:fill="D9D9D9" w:themeFill="background1" w:themeFillShade="D9"/>
            <w:vAlign w:val="center"/>
          </w:tcPr>
          <w:p w:rsidR="00387C1C" w:rsidRPr="0068094B" w:rsidRDefault="00001310" w:rsidP="00D043A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(1,461)</w:t>
            </w:r>
          </w:p>
        </w:tc>
      </w:tr>
      <w:tr w:rsidR="00387C1C" w:rsidRPr="0068094B" w:rsidTr="006D72E5">
        <w:trPr>
          <w:trHeight w:val="417"/>
        </w:trPr>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127</w:t>
            </w:r>
          </w:p>
        </w:tc>
        <w:tc>
          <w:tcPr>
            <w:tcW w:w="6804" w:type="dxa"/>
            <w:vAlign w:val="center"/>
          </w:tcPr>
          <w:p w:rsidR="00387C1C" w:rsidRPr="0068094B" w:rsidRDefault="00387C1C" w:rsidP="007D7B32">
            <w:pPr>
              <w:pStyle w:val="FootnoteText"/>
              <w:numPr>
                <w:ilvl w:val="0"/>
                <w:numId w:val="19"/>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Amortisation of intangible assets</w:t>
            </w:r>
          </w:p>
        </w:tc>
        <w:tc>
          <w:tcPr>
            <w:tcW w:w="1276" w:type="dxa"/>
            <w:shd w:val="clear" w:color="auto" w:fill="D9D9D9" w:themeFill="background1" w:themeFillShade="D9"/>
            <w:vAlign w:val="center"/>
          </w:tcPr>
          <w:p w:rsidR="00387C1C" w:rsidRPr="0068094B" w:rsidRDefault="00001310" w:rsidP="00D4300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121</w:t>
            </w:r>
          </w:p>
        </w:tc>
      </w:tr>
      <w:tr w:rsidR="00387C1C" w:rsidRPr="0068094B" w:rsidTr="006D72E5">
        <w:trPr>
          <w:trHeight w:val="564"/>
        </w:trPr>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4,283</w:t>
            </w:r>
          </w:p>
        </w:tc>
        <w:tc>
          <w:tcPr>
            <w:tcW w:w="6804" w:type="dxa"/>
            <w:vAlign w:val="center"/>
          </w:tcPr>
          <w:p w:rsidR="00387C1C" w:rsidRPr="0068094B" w:rsidRDefault="00387C1C" w:rsidP="007D7B32">
            <w:pPr>
              <w:pStyle w:val="FootnoteText"/>
              <w:numPr>
                <w:ilvl w:val="0"/>
                <w:numId w:val="19"/>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Revenue expenditure funded from capital under statute</w:t>
            </w:r>
          </w:p>
        </w:tc>
        <w:tc>
          <w:tcPr>
            <w:tcW w:w="1276" w:type="dxa"/>
            <w:shd w:val="clear" w:color="auto" w:fill="D9D9D9" w:themeFill="background1" w:themeFillShade="D9"/>
            <w:vAlign w:val="center"/>
          </w:tcPr>
          <w:p w:rsidR="00387C1C" w:rsidRPr="0068094B" w:rsidRDefault="00001310" w:rsidP="00407DA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3,046</w:t>
            </w:r>
          </w:p>
        </w:tc>
      </w:tr>
      <w:tr w:rsidR="00387C1C" w:rsidRPr="0068094B" w:rsidTr="006D72E5">
        <w:trPr>
          <w:trHeight w:val="569"/>
        </w:trPr>
        <w:tc>
          <w:tcPr>
            <w:tcW w:w="1276" w:type="dxa"/>
            <w:tcBorders>
              <w:bottom w:val="single" w:sz="4" w:space="0" w:color="000000"/>
            </w:tcBorders>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205</w:t>
            </w:r>
          </w:p>
        </w:tc>
        <w:tc>
          <w:tcPr>
            <w:tcW w:w="6804" w:type="dxa"/>
            <w:vAlign w:val="center"/>
          </w:tcPr>
          <w:p w:rsidR="00387C1C" w:rsidRPr="0068094B" w:rsidRDefault="00387C1C" w:rsidP="007D7B32">
            <w:pPr>
              <w:pStyle w:val="FootnoteText"/>
              <w:numPr>
                <w:ilvl w:val="0"/>
                <w:numId w:val="19"/>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Amounts of non-current assets written off on disposal or sale as part of the gain/loss on disposal to the Comprehensive Income and Expenditure Statement</w:t>
            </w:r>
          </w:p>
        </w:tc>
        <w:tc>
          <w:tcPr>
            <w:tcW w:w="1276" w:type="dxa"/>
            <w:tcBorders>
              <w:bottom w:val="single" w:sz="4" w:space="0" w:color="auto"/>
            </w:tcBorders>
            <w:shd w:val="clear" w:color="auto" w:fill="D9D9D9" w:themeFill="background1" w:themeFillShade="D9"/>
            <w:vAlign w:val="center"/>
          </w:tcPr>
          <w:p w:rsidR="00387C1C" w:rsidRPr="0068094B" w:rsidRDefault="00001310" w:rsidP="000307B3">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w:t>
            </w:r>
          </w:p>
        </w:tc>
      </w:tr>
      <w:tr w:rsidR="00387C1C" w:rsidRPr="0068094B" w:rsidTr="006D72E5">
        <w:trPr>
          <w:trHeight w:val="313"/>
        </w:trPr>
        <w:tc>
          <w:tcPr>
            <w:tcW w:w="1276" w:type="dxa"/>
            <w:tcBorders>
              <w:top w:val="single" w:sz="4" w:space="0" w:color="000000"/>
            </w:tcBorders>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8,791</w:t>
            </w:r>
          </w:p>
        </w:tc>
        <w:tc>
          <w:tcPr>
            <w:tcW w:w="6804" w:type="dxa"/>
          </w:tcPr>
          <w:p w:rsidR="00387C1C" w:rsidRPr="0068094B" w:rsidRDefault="00387C1C" w:rsidP="000307B3">
            <w:pPr>
              <w:pStyle w:val="FootnoteText"/>
              <w:tabs>
                <w:tab w:val="left" w:pos="0"/>
              </w:tabs>
              <w:snapToGrid w:val="0"/>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rsidR="00387C1C" w:rsidRPr="00C9777D" w:rsidRDefault="00001310" w:rsidP="00D043A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4,956</w:t>
            </w:r>
          </w:p>
        </w:tc>
      </w:tr>
      <w:tr w:rsidR="00387C1C" w:rsidRPr="0068094B" w:rsidTr="006D72E5">
        <w:trPr>
          <w:trHeight w:val="401"/>
        </w:trPr>
        <w:tc>
          <w:tcPr>
            <w:tcW w:w="1276" w:type="dxa"/>
            <w:tcBorders>
              <w:bottom w:val="single" w:sz="4" w:space="0" w:color="000000"/>
            </w:tcBorders>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(807)</w:t>
            </w:r>
          </w:p>
        </w:tc>
        <w:tc>
          <w:tcPr>
            <w:tcW w:w="6804" w:type="dxa"/>
            <w:vAlign w:val="center"/>
          </w:tcPr>
          <w:p w:rsidR="00387C1C" w:rsidRPr="0068094B" w:rsidRDefault="00387C1C"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Adjusting amounts written out of the Revaluation Reserve</w:t>
            </w:r>
          </w:p>
        </w:tc>
        <w:tc>
          <w:tcPr>
            <w:tcW w:w="1276" w:type="dxa"/>
            <w:tcBorders>
              <w:bottom w:val="single" w:sz="4" w:space="0" w:color="000000"/>
            </w:tcBorders>
            <w:shd w:val="clear" w:color="auto" w:fill="D9D9D9" w:themeFill="background1" w:themeFillShade="D9"/>
            <w:vAlign w:val="center"/>
          </w:tcPr>
          <w:p w:rsidR="00387C1C" w:rsidRPr="00C9777D" w:rsidRDefault="00001310" w:rsidP="004B04B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(686)</w:t>
            </w:r>
          </w:p>
        </w:tc>
      </w:tr>
      <w:tr w:rsidR="00387C1C" w:rsidRPr="0068094B" w:rsidTr="006D72E5">
        <w:trPr>
          <w:trHeight w:val="553"/>
        </w:trPr>
        <w:tc>
          <w:tcPr>
            <w:tcW w:w="1276" w:type="dxa"/>
            <w:tcBorders>
              <w:top w:val="single" w:sz="4" w:space="0" w:color="000000"/>
            </w:tcBorders>
            <w:vAlign w:val="center"/>
          </w:tcPr>
          <w:p w:rsidR="00387C1C" w:rsidRPr="0068094B" w:rsidRDefault="00387C1C" w:rsidP="00551EBA">
            <w:pPr>
              <w:pStyle w:val="FootnoteText"/>
              <w:tabs>
                <w:tab w:val="left" w:pos="0"/>
              </w:tabs>
              <w:snapToGrid w:val="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7,984</w:t>
            </w:r>
          </w:p>
        </w:tc>
        <w:tc>
          <w:tcPr>
            <w:tcW w:w="6804" w:type="dxa"/>
            <w:vAlign w:val="center"/>
          </w:tcPr>
          <w:p w:rsidR="00387C1C" w:rsidRPr="0068094B" w:rsidRDefault="00387C1C"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Net written out amount of the cost of non-current assets consumed in the year</w:t>
            </w:r>
          </w:p>
        </w:tc>
        <w:tc>
          <w:tcPr>
            <w:tcW w:w="1276" w:type="dxa"/>
            <w:tcBorders>
              <w:top w:val="single" w:sz="4" w:space="0" w:color="000000"/>
            </w:tcBorders>
            <w:shd w:val="clear" w:color="auto" w:fill="D9D9D9" w:themeFill="background1" w:themeFillShade="D9"/>
            <w:vAlign w:val="center"/>
          </w:tcPr>
          <w:p w:rsidR="00387C1C" w:rsidRPr="00C9777D" w:rsidRDefault="00001310" w:rsidP="00D043AE">
            <w:pPr>
              <w:pStyle w:val="FootnoteText"/>
              <w:tabs>
                <w:tab w:val="left" w:pos="0"/>
              </w:tabs>
              <w:snapToGrid w:val="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4,270</w:t>
            </w:r>
          </w:p>
        </w:tc>
      </w:tr>
      <w:tr w:rsidR="00387C1C" w:rsidRPr="0068094B" w:rsidTr="006D72E5">
        <w:trPr>
          <w:trHeight w:val="415"/>
        </w:trPr>
        <w:tc>
          <w:tcPr>
            <w:tcW w:w="1276" w:type="dxa"/>
            <w:vAlign w:val="center"/>
          </w:tcPr>
          <w:p w:rsidR="00387C1C" w:rsidRPr="0068094B" w:rsidRDefault="00387C1C" w:rsidP="00AD6BD1">
            <w:pPr>
              <w:pStyle w:val="FootnoteText"/>
              <w:tabs>
                <w:tab w:val="left" w:pos="0"/>
              </w:tabs>
              <w:snapToGrid w:val="0"/>
              <w:jc w:val="right"/>
              <w:rPr>
                <w:rFonts w:asciiTheme="minorHAnsi" w:hAnsiTheme="minorHAnsi" w:cstheme="minorHAnsi"/>
                <w:sz w:val="22"/>
                <w:szCs w:val="22"/>
              </w:rPr>
            </w:pPr>
          </w:p>
        </w:tc>
        <w:tc>
          <w:tcPr>
            <w:tcW w:w="6804" w:type="dxa"/>
            <w:vAlign w:val="center"/>
          </w:tcPr>
          <w:p w:rsidR="00387C1C" w:rsidRPr="0068094B" w:rsidRDefault="00387C1C"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financing applied in the year:</w:t>
            </w:r>
          </w:p>
        </w:tc>
        <w:tc>
          <w:tcPr>
            <w:tcW w:w="1276" w:type="dxa"/>
            <w:shd w:val="clear" w:color="auto" w:fill="D9D9D9" w:themeFill="background1" w:themeFillShade="D9"/>
            <w:vAlign w:val="center"/>
          </w:tcPr>
          <w:p w:rsidR="00387C1C" w:rsidRPr="0068094B" w:rsidRDefault="00387C1C" w:rsidP="000307B3">
            <w:pPr>
              <w:pStyle w:val="FootnoteText"/>
              <w:tabs>
                <w:tab w:val="left" w:pos="0"/>
              </w:tabs>
              <w:snapToGrid w:val="0"/>
              <w:jc w:val="right"/>
              <w:rPr>
                <w:rFonts w:asciiTheme="minorHAnsi" w:hAnsiTheme="minorHAnsi" w:cstheme="minorHAnsi"/>
                <w:sz w:val="22"/>
                <w:szCs w:val="22"/>
              </w:rPr>
            </w:pPr>
          </w:p>
        </w:tc>
      </w:tr>
      <w:tr w:rsidR="00387C1C" w:rsidRPr="0068094B" w:rsidTr="006D72E5">
        <w:trPr>
          <w:trHeight w:val="576"/>
        </w:trPr>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(147)</w:t>
            </w:r>
          </w:p>
        </w:tc>
        <w:tc>
          <w:tcPr>
            <w:tcW w:w="6804" w:type="dxa"/>
            <w:vAlign w:val="center"/>
          </w:tcPr>
          <w:p w:rsidR="00387C1C" w:rsidRPr="0068094B" w:rsidRDefault="00387C1C" w:rsidP="007D7B32">
            <w:pPr>
              <w:pStyle w:val="FootnoteText"/>
              <w:numPr>
                <w:ilvl w:val="0"/>
                <w:numId w:val="23"/>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Use of the Capital Receipts Reserve to finance new capital expenditure</w:t>
            </w:r>
          </w:p>
        </w:tc>
        <w:tc>
          <w:tcPr>
            <w:tcW w:w="1276" w:type="dxa"/>
            <w:shd w:val="clear" w:color="auto" w:fill="D9D9D9" w:themeFill="background1" w:themeFillShade="D9"/>
            <w:vAlign w:val="center"/>
          </w:tcPr>
          <w:p w:rsidR="00387C1C" w:rsidRPr="0068094B" w:rsidRDefault="00001310" w:rsidP="00304AEB">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(27)</w:t>
            </w:r>
          </w:p>
        </w:tc>
      </w:tr>
      <w:tr w:rsidR="00387C1C" w:rsidRPr="0068094B" w:rsidTr="006D72E5">
        <w:trPr>
          <w:trHeight w:val="862"/>
        </w:trPr>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w:t>
            </w:r>
          </w:p>
        </w:tc>
        <w:tc>
          <w:tcPr>
            <w:tcW w:w="6804" w:type="dxa"/>
            <w:vAlign w:val="center"/>
          </w:tcPr>
          <w:p w:rsidR="00387C1C" w:rsidRPr="0068094B" w:rsidRDefault="00387C1C" w:rsidP="007D7B32">
            <w:pPr>
              <w:pStyle w:val="FootnoteText"/>
              <w:numPr>
                <w:ilvl w:val="0"/>
                <w:numId w:val="23"/>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 xml:space="preserve">Statutory provision for the financing of capital investment charged against the General Fund </w:t>
            </w:r>
          </w:p>
        </w:tc>
        <w:tc>
          <w:tcPr>
            <w:tcW w:w="1276" w:type="dxa"/>
            <w:shd w:val="clear" w:color="auto" w:fill="D9D9D9" w:themeFill="background1" w:themeFillShade="D9"/>
            <w:vAlign w:val="center"/>
          </w:tcPr>
          <w:p w:rsidR="00387C1C" w:rsidRPr="0068094B" w:rsidRDefault="00001310" w:rsidP="005C447C">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r w:rsidR="005C447C">
              <w:rPr>
                <w:rFonts w:asciiTheme="minorHAnsi" w:hAnsiTheme="minorHAnsi" w:cstheme="minorHAnsi"/>
                <w:sz w:val="22"/>
                <w:szCs w:val="22"/>
              </w:rPr>
              <w:t>6</w:t>
            </w:r>
            <w:r>
              <w:rPr>
                <w:rFonts w:asciiTheme="minorHAnsi" w:hAnsiTheme="minorHAnsi" w:cstheme="minorHAnsi"/>
                <w:sz w:val="22"/>
                <w:szCs w:val="22"/>
              </w:rPr>
              <w:t>)</w:t>
            </w:r>
          </w:p>
        </w:tc>
      </w:tr>
      <w:tr w:rsidR="00387C1C" w:rsidRPr="0068094B" w:rsidTr="006D72E5">
        <w:trPr>
          <w:trHeight w:val="862"/>
        </w:trPr>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(5,490)</w:t>
            </w:r>
          </w:p>
        </w:tc>
        <w:tc>
          <w:tcPr>
            <w:tcW w:w="6804" w:type="dxa"/>
            <w:vAlign w:val="center"/>
          </w:tcPr>
          <w:p w:rsidR="00387C1C" w:rsidRPr="0068094B" w:rsidRDefault="00387C1C" w:rsidP="007D7B32">
            <w:pPr>
              <w:pStyle w:val="FootnoteText"/>
              <w:numPr>
                <w:ilvl w:val="0"/>
                <w:numId w:val="23"/>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Capital grants and contributions credited to the Comprehensive Income and Expenditure Statement that have been applied to capital financing</w:t>
            </w:r>
          </w:p>
        </w:tc>
        <w:tc>
          <w:tcPr>
            <w:tcW w:w="1276" w:type="dxa"/>
            <w:shd w:val="clear" w:color="auto" w:fill="D9D9D9" w:themeFill="background1" w:themeFillShade="D9"/>
            <w:vAlign w:val="center"/>
          </w:tcPr>
          <w:p w:rsidR="00387C1C" w:rsidRPr="00D16CC2" w:rsidRDefault="00001310" w:rsidP="00A67BB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(4,566)</w:t>
            </w:r>
          </w:p>
        </w:tc>
      </w:tr>
      <w:tr w:rsidR="00387C1C" w:rsidRPr="0068094B" w:rsidTr="006D72E5">
        <w:trPr>
          <w:trHeight w:val="555"/>
        </w:trPr>
        <w:tc>
          <w:tcPr>
            <w:tcW w:w="1276" w:type="dxa"/>
            <w:tcBorders>
              <w:bottom w:val="single" w:sz="4" w:space="0" w:color="000000"/>
            </w:tcBorders>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(1,396)</w:t>
            </w:r>
          </w:p>
        </w:tc>
        <w:tc>
          <w:tcPr>
            <w:tcW w:w="6804" w:type="dxa"/>
            <w:vAlign w:val="center"/>
          </w:tcPr>
          <w:p w:rsidR="00387C1C" w:rsidRPr="0068094B" w:rsidRDefault="00387C1C" w:rsidP="007D7B32">
            <w:pPr>
              <w:pStyle w:val="FootnoteText"/>
              <w:numPr>
                <w:ilvl w:val="0"/>
                <w:numId w:val="23"/>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 xml:space="preserve">Capital expenditure charged against the General Fund </w:t>
            </w:r>
          </w:p>
        </w:tc>
        <w:tc>
          <w:tcPr>
            <w:tcW w:w="1276" w:type="dxa"/>
            <w:tcBorders>
              <w:bottom w:val="single" w:sz="4" w:space="0" w:color="333333"/>
            </w:tcBorders>
            <w:shd w:val="clear" w:color="auto" w:fill="D9D9D9" w:themeFill="background1" w:themeFillShade="D9"/>
            <w:vAlign w:val="center"/>
          </w:tcPr>
          <w:p w:rsidR="00387C1C" w:rsidRPr="00D16CC2" w:rsidRDefault="00001310" w:rsidP="00A67BB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(2,332)</w:t>
            </w:r>
          </w:p>
        </w:tc>
      </w:tr>
      <w:tr w:rsidR="00387C1C" w:rsidRPr="0068094B" w:rsidTr="006D72E5">
        <w:trPr>
          <w:trHeight w:val="424"/>
        </w:trPr>
        <w:tc>
          <w:tcPr>
            <w:tcW w:w="1276" w:type="dxa"/>
            <w:tcBorders>
              <w:top w:val="single" w:sz="4" w:space="0" w:color="000000"/>
            </w:tcBorders>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(7,062)</w:t>
            </w:r>
          </w:p>
        </w:tc>
        <w:tc>
          <w:tcPr>
            <w:tcW w:w="6804" w:type="dxa"/>
          </w:tcPr>
          <w:p w:rsidR="00387C1C" w:rsidRPr="0068094B" w:rsidRDefault="00387C1C" w:rsidP="000307B3">
            <w:pPr>
              <w:pStyle w:val="FootnoteText"/>
              <w:tabs>
                <w:tab w:val="left" w:pos="0"/>
              </w:tabs>
              <w:snapToGrid w:val="0"/>
              <w:rPr>
                <w:rFonts w:asciiTheme="minorHAnsi" w:hAnsiTheme="minorHAnsi" w:cstheme="minorHAnsi"/>
                <w:sz w:val="22"/>
                <w:szCs w:val="22"/>
              </w:rPr>
            </w:pPr>
          </w:p>
        </w:tc>
        <w:tc>
          <w:tcPr>
            <w:tcW w:w="1276" w:type="dxa"/>
            <w:tcBorders>
              <w:top w:val="single" w:sz="4" w:space="0" w:color="333333"/>
            </w:tcBorders>
            <w:shd w:val="clear" w:color="auto" w:fill="D9D9D9" w:themeFill="background1" w:themeFillShade="D9"/>
            <w:vAlign w:val="center"/>
          </w:tcPr>
          <w:p w:rsidR="00387C1C" w:rsidRPr="00D16CC2" w:rsidRDefault="00001310" w:rsidP="005C447C">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(6,93</w:t>
            </w:r>
            <w:r w:rsidR="005C447C">
              <w:rPr>
                <w:rFonts w:asciiTheme="minorHAnsi" w:hAnsiTheme="minorHAnsi" w:cstheme="minorHAnsi"/>
                <w:sz w:val="22"/>
                <w:szCs w:val="22"/>
              </w:rPr>
              <w:t>1</w:t>
            </w:r>
            <w:r>
              <w:rPr>
                <w:rFonts w:asciiTheme="minorHAnsi" w:hAnsiTheme="minorHAnsi" w:cstheme="minorHAnsi"/>
                <w:sz w:val="22"/>
                <w:szCs w:val="22"/>
              </w:rPr>
              <w:t>)</w:t>
            </w:r>
          </w:p>
        </w:tc>
      </w:tr>
      <w:tr w:rsidR="00387C1C" w:rsidRPr="0068094B" w:rsidTr="006D72E5">
        <w:trPr>
          <w:trHeight w:val="764"/>
        </w:trPr>
        <w:tc>
          <w:tcPr>
            <w:tcW w:w="1276" w:type="dxa"/>
            <w:vAlign w:val="center"/>
          </w:tcPr>
          <w:p w:rsidR="00387C1C" w:rsidRPr="0068094B" w:rsidRDefault="00387C1C" w:rsidP="002E02CB">
            <w:pPr>
              <w:pStyle w:val="FootnoteText"/>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(3,220)</w:t>
            </w:r>
          </w:p>
        </w:tc>
        <w:tc>
          <w:tcPr>
            <w:tcW w:w="6804" w:type="dxa"/>
            <w:vAlign w:val="center"/>
          </w:tcPr>
          <w:p w:rsidR="00387C1C" w:rsidRPr="0068094B" w:rsidRDefault="00387C1C" w:rsidP="002E02CB">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Movements in the market value of Investment Properties debited or credited to the Comprehensive Income and Expenditure Statement</w:t>
            </w:r>
          </w:p>
        </w:tc>
        <w:tc>
          <w:tcPr>
            <w:tcW w:w="1276" w:type="dxa"/>
            <w:shd w:val="clear" w:color="auto" w:fill="D9D9D9" w:themeFill="background1" w:themeFillShade="D9"/>
            <w:vAlign w:val="center"/>
          </w:tcPr>
          <w:p w:rsidR="00387C1C" w:rsidRPr="00D16CC2" w:rsidRDefault="00001310" w:rsidP="005C447C">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1,41</w:t>
            </w:r>
            <w:r w:rsidR="005C447C">
              <w:rPr>
                <w:rFonts w:asciiTheme="minorHAnsi" w:hAnsiTheme="minorHAnsi" w:cstheme="minorHAnsi"/>
                <w:sz w:val="22"/>
                <w:szCs w:val="22"/>
              </w:rPr>
              <w:t>0</w:t>
            </w:r>
          </w:p>
        </w:tc>
      </w:tr>
      <w:tr w:rsidR="00387C1C" w:rsidRPr="0068094B" w:rsidTr="006D72E5">
        <w:trPr>
          <w:trHeight w:val="764"/>
        </w:trPr>
        <w:tc>
          <w:tcPr>
            <w:tcW w:w="1276" w:type="dxa"/>
            <w:vAlign w:val="center"/>
          </w:tcPr>
          <w:p w:rsidR="00387C1C" w:rsidRPr="0068094B" w:rsidRDefault="00387C1C" w:rsidP="00551EBA">
            <w:pPr>
              <w:pStyle w:val="FootnoteText"/>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225</w:t>
            </w:r>
          </w:p>
        </w:tc>
        <w:tc>
          <w:tcPr>
            <w:tcW w:w="6804" w:type="dxa"/>
            <w:vAlign w:val="center"/>
          </w:tcPr>
          <w:p w:rsidR="00387C1C" w:rsidRPr="0068094B" w:rsidRDefault="00387C1C"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Movements in the value of assets held for sale debited or credited to the Comprehensive Income and Expenditure Statement</w:t>
            </w:r>
          </w:p>
        </w:tc>
        <w:tc>
          <w:tcPr>
            <w:tcW w:w="1276" w:type="dxa"/>
            <w:shd w:val="clear" w:color="auto" w:fill="D9D9D9" w:themeFill="background1" w:themeFillShade="D9"/>
            <w:vAlign w:val="center"/>
          </w:tcPr>
          <w:p w:rsidR="00387C1C" w:rsidRPr="00D16CC2" w:rsidRDefault="00001310" w:rsidP="000307B3">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387C1C" w:rsidRPr="0068094B" w:rsidTr="006D72E5">
        <w:trPr>
          <w:trHeight w:val="419"/>
        </w:trPr>
        <w:tc>
          <w:tcPr>
            <w:tcW w:w="1276" w:type="dxa"/>
            <w:tcBorders>
              <w:top w:val="single" w:sz="4" w:space="0" w:color="000000"/>
              <w:bottom w:val="double" w:sz="4" w:space="0" w:color="333333"/>
            </w:tcBorders>
            <w:vAlign w:val="center"/>
          </w:tcPr>
          <w:p w:rsidR="00387C1C" w:rsidRPr="0068094B" w:rsidRDefault="00387C1C" w:rsidP="00551EBA">
            <w:pPr>
              <w:pStyle w:val="FootnoteText"/>
              <w:tabs>
                <w:tab w:val="left" w:pos="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(92,405)</w:t>
            </w:r>
          </w:p>
        </w:tc>
        <w:tc>
          <w:tcPr>
            <w:tcW w:w="6804" w:type="dxa"/>
            <w:vAlign w:val="center"/>
          </w:tcPr>
          <w:p w:rsidR="00387C1C" w:rsidRPr="0068094B" w:rsidRDefault="00387C1C" w:rsidP="000307B3">
            <w:pPr>
              <w:pStyle w:val="FootnoteText"/>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Balance at 31 March</w:t>
            </w:r>
          </w:p>
        </w:tc>
        <w:tc>
          <w:tcPr>
            <w:tcW w:w="1276" w:type="dxa"/>
            <w:tcBorders>
              <w:top w:val="single" w:sz="4" w:space="0" w:color="000000"/>
              <w:bottom w:val="double" w:sz="4" w:space="0" w:color="333333"/>
            </w:tcBorders>
            <w:shd w:val="clear" w:color="auto" w:fill="D9D9D9" w:themeFill="background1" w:themeFillShade="D9"/>
            <w:vAlign w:val="center"/>
          </w:tcPr>
          <w:p w:rsidR="00387C1C" w:rsidRPr="00D16CC2" w:rsidRDefault="00001310" w:rsidP="00A67BBE">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(93,656)</w:t>
            </w:r>
          </w:p>
        </w:tc>
      </w:tr>
    </w:tbl>
    <w:p w:rsidR="00871025" w:rsidRDefault="00871025" w:rsidP="00144DD1">
      <w:pPr>
        <w:rPr>
          <w:rFonts w:asciiTheme="minorHAnsi" w:hAnsiTheme="minorHAnsi" w:cstheme="minorHAnsi"/>
          <w:sz w:val="22"/>
          <w:szCs w:val="22"/>
        </w:rPr>
      </w:pPr>
    </w:p>
    <w:p w:rsidR="00871025" w:rsidRDefault="00871025">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rsidR="006D72E5" w:rsidRPr="00871025" w:rsidRDefault="006D72E5" w:rsidP="00871025">
      <w:pPr>
        <w:pStyle w:val="Heading2"/>
        <w:numPr>
          <w:ilvl w:val="0"/>
          <w:numId w:val="0"/>
        </w:numPr>
        <w:tabs>
          <w:tab w:val="left" w:pos="0"/>
        </w:tabs>
        <w:rPr>
          <w:rFonts w:asciiTheme="minorHAnsi" w:hAnsiTheme="minorHAnsi" w:cstheme="minorHAnsi"/>
          <w:sz w:val="22"/>
          <w:szCs w:val="22"/>
        </w:rPr>
      </w:pPr>
    </w:p>
    <w:p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Pensions Reserve</w:t>
      </w:r>
    </w:p>
    <w:p w:rsidR="00520DDC" w:rsidRPr="0068094B" w:rsidRDefault="00520DDC" w:rsidP="00746535">
      <w:pPr>
        <w:pStyle w:val="FootnoteText"/>
        <w:tabs>
          <w:tab w:val="left" w:pos="0"/>
        </w:tabs>
        <w:rPr>
          <w:rFonts w:asciiTheme="minorHAnsi" w:hAnsiTheme="minorHAnsi" w:cstheme="minorHAnsi"/>
          <w:sz w:val="22"/>
          <w:szCs w:val="22"/>
        </w:rPr>
      </w:pPr>
    </w:p>
    <w:p w:rsidR="00520DDC" w:rsidRPr="0068094B" w:rsidRDefault="00746535" w:rsidP="00746535">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The Pension</w:t>
      </w:r>
      <w:r w:rsidR="00513ED9" w:rsidRPr="0068094B">
        <w:rPr>
          <w:rFonts w:asciiTheme="minorHAnsi" w:hAnsiTheme="minorHAnsi" w:cstheme="minorHAnsi"/>
          <w:sz w:val="22"/>
          <w:szCs w:val="22"/>
          <w:lang w:val="en-US"/>
        </w:rPr>
        <w:t>s</w:t>
      </w:r>
      <w:r w:rsidRPr="0068094B">
        <w:rPr>
          <w:rFonts w:asciiTheme="minorHAnsi" w:hAnsiTheme="minorHAnsi" w:cstheme="minorHAnsi"/>
          <w:sz w:val="22"/>
          <w:szCs w:val="22"/>
          <w:lang w:val="en-US"/>
        </w:rPr>
        <w:t xml:space="preserve"> Reserve absorbs the timing differences arising from the different arrangements for </w:t>
      </w:r>
    </w:p>
    <w:p w:rsidR="00746535" w:rsidRPr="00871025" w:rsidRDefault="00746535" w:rsidP="00871025">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accounting for post-employment benefits and for funding benefits in accordance with statutory provisions. </w:t>
      </w:r>
      <w:r w:rsidR="00871025">
        <w:rPr>
          <w:rFonts w:asciiTheme="minorHAnsi" w:hAnsiTheme="minorHAnsi" w:cstheme="minorHAnsi"/>
          <w:sz w:val="22"/>
          <w:szCs w:val="22"/>
          <w:lang w:val="en-US"/>
        </w:rPr>
        <w:br/>
      </w:r>
    </w:p>
    <w:tbl>
      <w:tblPr>
        <w:tblW w:w="9356" w:type="dxa"/>
        <w:tblInd w:w="250" w:type="dxa"/>
        <w:tblLayout w:type="fixed"/>
        <w:tblLook w:val="0000" w:firstRow="0" w:lastRow="0" w:firstColumn="0" w:lastColumn="0" w:noHBand="0" w:noVBand="0"/>
      </w:tblPr>
      <w:tblGrid>
        <w:gridCol w:w="1276"/>
        <w:gridCol w:w="6804"/>
        <w:gridCol w:w="1276"/>
      </w:tblGrid>
      <w:tr w:rsidR="00746535" w:rsidRPr="0068094B" w:rsidTr="00551EBA">
        <w:tc>
          <w:tcPr>
            <w:tcW w:w="1276" w:type="dxa"/>
            <w:tcBorders>
              <w:bottom w:val="single" w:sz="4" w:space="0" w:color="000000"/>
            </w:tcBorders>
            <w:vAlign w:val="center"/>
          </w:tcPr>
          <w:p w:rsidR="00766774" w:rsidRPr="0068094B" w:rsidRDefault="00233918" w:rsidP="00766774">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7E1D42">
              <w:rPr>
                <w:rFonts w:asciiTheme="minorHAnsi" w:hAnsiTheme="minorHAnsi" w:cstheme="minorHAnsi"/>
                <w:b/>
                <w:sz w:val="22"/>
                <w:szCs w:val="22"/>
              </w:rPr>
              <w:t>8</w:t>
            </w:r>
            <w:r w:rsidRPr="0068094B">
              <w:rPr>
                <w:rFonts w:asciiTheme="minorHAnsi" w:hAnsiTheme="minorHAnsi" w:cstheme="minorHAnsi"/>
                <w:b/>
                <w:sz w:val="22"/>
                <w:szCs w:val="22"/>
              </w:rPr>
              <w:t>-1</w:t>
            </w:r>
            <w:r w:rsidR="007E1D42">
              <w:rPr>
                <w:rFonts w:asciiTheme="minorHAnsi" w:hAnsiTheme="minorHAnsi" w:cstheme="minorHAnsi"/>
                <w:b/>
                <w:sz w:val="22"/>
                <w:szCs w:val="22"/>
              </w:rPr>
              <w:t>9</w:t>
            </w:r>
          </w:p>
          <w:p w:rsidR="00746535" w:rsidRPr="0068094B" w:rsidRDefault="00746535"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center"/>
          </w:tcPr>
          <w:p w:rsidR="00746535" w:rsidRPr="0068094B" w:rsidRDefault="00746535" w:rsidP="000307B3">
            <w:pPr>
              <w:pStyle w:val="FootnoteText"/>
              <w:tabs>
                <w:tab w:val="left" w:pos="0"/>
              </w:tabs>
              <w:snapToGrid w:val="0"/>
              <w:rPr>
                <w:rFonts w:asciiTheme="minorHAnsi"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rsidR="00746535"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7E1D42">
              <w:rPr>
                <w:rFonts w:asciiTheme="minorHAnsi" w:hAnsiTheme="minorHAnsi" w:cstheme="minorHAnsi"/>
                <w:b/>
                <w:sz w:val="22"/>
                <w:szCs w:val="22"/>
              </w:rPr>
              <w:t>9</w:t>
            </w:r>
            <w:r w:rsidRPr="0068094B">
              <w:rPr>
                <w:rFonts w:asciiTheme="minorHAnsi" w:hAnsiTheme="minorHAnsi" w:cstheme="minorHAnsi"/>
                <w:b/>
                <w:sz w:val="22"/>
                <w:szCs w:val="22"/>
              </w:rPr>
              <w:t>-</w:t>
            </w:r>
            <w:r w:rsidR="007E1D42">
              <w:rPr>
                <w:rFonts w:asciiTheme="minorHAnsi" w:hAnsiTheme="minorHAnsi" w:cstheme="minorHAnsi"/>
                <w:b/>
                <w:sz w:val="22"/>
                <w:szCs w:val="22"/>
              </w:rPr>
              <w:t>20</w:t>
            </w:r>
          </w:p>
          <w:p w:rsidR="00746535" w:rsidRPr="0068094B" w:rsidRDefault="00746535"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7E1D42" w:rsidRPr="0068094B" w:rsidTr="00551EBA">
        <w:trPr>
          <w:trHeight w:val="277"/>
        </w:trPr>
        <w:tc>
          <w:tcPr>
            <w:tcW w:w="1276" w:type="dxa"/>
            <w:tcBorders>
              <w:top w:val="single" w:sz="4" w:space="0" w:color="000000"/>
            </w:tcBorders>
            <w:vAlign w:val="center"/>
          </w:tcPr>
          <w:p w:rsidR="007E1D42" w:rsidRPr="0068094B" w:rsidRDefault="007E1D42" w:rsidP="00551EBA">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(3,291)</w:t>
            </w:r>
          </w:p>
        </w:tc>
        <w:tc>
          <w:tcPr>
            <w:tcW w:w="6804" w:type="dxa"/>
            <w:vAlign w:val="center"/>
          </w:tcPr>
          <w:p w:rsidR="007E1D42" w:rsidRPr="0068094B" w:rsidRDefault="007E1D42"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rsidR="007E1D42" w:rsidRPr="0068094B" w:rsidRDefault="00A057A7" w:rsidP="0018228B">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6,559</w:t>
            </w:r>
          </w:p>
        </w:tc>
      </w:tr>
      <w:tr w:rsidR="007E1D42" w:rsidRPr="0068094B" w:rsidTr="001A6FD8">
        <w:trPr>
          <w:trHeight w:val="407"/>
        </w:trPr>
        <w:tc>
          <w:tcPr>
            <w:tcW w:w="1276" w:type="dxa"/>
            <w:shd w:val="clear" w:color="auto" w:fill="auto"/>
            <w:vAlign w:val="center"/>
          </w:tcPr>
          <w:p w:rsidR="007E1D42" w:rsidRPr="0068094B" w:rsidRDefault="007E1D42" w:rsidP="00551EBA">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6,442</w:t>
            </w:r>
          </w:p>
        </w:tc>
        <w:tc>
          <w:tcPr>
            <w:tcW w:w="6804" w:type="dxa"/>
            <w:vAlign w:val="center"/>
          </w:tcPr>
          <w:p w:rsidR="007E1D42" w:rsidRPr="0068094B" w:rsidRDefault="007E1D42" w:rsidP="00A057A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Remeasurements of the net defined benefit liability/(asset) </w:t>
            </w:r>
          </w:p>
        </w:tc>
        <w:tc>
          <w:tcPr>
            <w:tcW w:w="1276" w:type="dxa"/>
            <w:shd w:val="clear" w:color="auto" w:fill="D9D9D9" w:themeFill="background1" w:themeFillShade="D9"/>
            <w:vAlign w:val="center"/>
          </w:tcPr>
          <w:p w:rsidR="007E1D42" w:rsidRPr="003C52A9" w:rsidRDefault="00A057A7" w:rsidP="00DD5BA3">
            <w:pPr>
              <w:tabs>
                <w:tab w:val="left" w:pos="0"/>
              </w:tabs>
              <w:snapToGrid w:val="0"/>
              <w:jc w:val="right"/>
              <w:rPr>
                <w:rFonts w:asciiTheme="minorHAnsi" w:hAnsiTheme="minorHAnsi" w:cstheme="minorHAnsi"/>
                <w:sz w:val="22"/>
                <w:szCs w:val="22"/>
              </w:rPr>
            </w:pPr>
            <w:r w:rsidRPr="003C52A9">
              <w:rPr>
                <w:rFonts w:asciiTheme="minorHAnsi" w:hAnsiTheme="minorHAnsi" w:cstheme="minorHAnsi"/>
                <w:sz w:val="22"/>
                <w:szCs w:val="22"/>
              </w:rPr>
              <w:t>(30,</w:t>
            </w:r>
            <w:r w:rsidR="00DD5BA3" w:rsidRPr="003C52A9">
              <w:rPr>
                <w:rFonts w:asciiTheme="minorHAnsi" w:hAnsiTheme="minorHAnsi" w:cstheme="minorHAnsi"/>
                <w:sz w:val="22"/>
                <w:szCs w:val="22"/>
              </w:rPr>
              <w:t>984</w:t>
            </w:r>
            <w:r w:rsidRPr="003C52A9">
              <w:rPr>
                <w:rFonts w:asciiTheme="minorHAnsi" w:hAnsiTheme="minorHAnsi" w:cstheme="minorHAnsi"/>
                <w:sz w:val="22"/>
                <w:szCs w:val="22"/>
              </w:rPr>
              <w:t>)</w:t>
            </w:r>
          </w:p>
        </w:tc>
      </w:tr>
      <w:tr w:rsidR="007E1D42" w:rsidRPr="0068094B" w:rsidTr="00551EBA">
        <w:trPr>
          <w:trHeight w:val="722"/>
        </w:trPr>
        <w:tc>
          <w:tcPr>
            <w:tcW w:w="1276" w:type="dxa"/>
            <w:vAlign w:val="center"/>
          </w:tcPr>
          <w:p w:rsidR="007E1D42" w:rsidRPr="0068094B" w:rsidRDefault="007E1D42" w:rsidP="00551EBA">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6,178</w:t>
            </w:r>
          </w:p>
        </w:tc>
        <w:tc>
          <w:tcPr>
            <w:tcW w:w="6804" w:type="dxa"/>
            <w:vAlign w:val="center"/>
          </w:tcPr>
          <w:p w:rsidR="007E1D42" w:rsidRPr="0068094B" w:rsidRDefault="007E1D42"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Reversal of items relating to retirement benefits debited or credited to the Surplus or Deficit on the Provision of Services in the Comprehensive Income and Expenditure Statement</w:t>
            </w:r>
          </w:p>
        </w:tc>
        <w:tc>
          <w:tcPr>
            <w:tcW w:w="1276" w:type="dxa"/>
            <w:shd w:val="clear" w:color="auto" w:fill="D9D9D9" w:themeFill="background1" w:themeFillShade="D9"/>
            <w:vAlign w:val="center"/>
          </w:tcPr>
          <w:p w:rsidR="007E1D42" w:rsidRPr="003C52A9" w:rsidRDefault="00A057A7" w:rsidP="00DD5BA3">
            <w:pPr>
              <w:tabs>
                <w:tab w:val="left" w:pos="0"/>
              </w:tabs>
              <w:snapToGrid w:val="0"/>
              <w:jc w:val="right"/>
              <w:rPr>
                <w:rFonts w:asciiTheme="minorHAnsi" w:hAnsiTheme="minorHAnsi" w:cstheme="minorHAnsi"/>
                <w:sz w:val="22"/>
                <w:szCs w:val="22"/>
              </w:rPr>
            </w:pPr>
            <w:r w:rsidRPr="003C52A9">
              <w:rPr>
                <w:rFonts w:asciiTheme="minorHAnsi" w:hAnsiTheme="minorHAnsi" w:cstheme="minorHAnsi"/>
                <w:sz w:val="22"/>
                <w:szCs w:val="22"/>
              </w:rPr>
              <w:t>6,</w:t>
            </w:r>
            <w:r w:rsidR="00DD5BA3" w:rsidRPr="003C52A9">
              <w:rPr>
                <w:rFonts w:asciiTheme="minorHAnsi" w:hAnsiTheme="minorHAnsi" w:cstheme="minorHAnsi"/>
                <w:sz w:val="22"/>
                <w:szCs w:val="22"/>
              </w:rPr>
              <w:t>744</w:t>
            </w:r>
          </w:p>
        </w:tc>
      </w:tr>
      <w:tr w:rsidR="007E1D42" w:rsidRPr="0068094B" w:rsidTr="00551EBA">
        <w:trPr>
          <w:trHeight w:val="564"/>
        </w:trPr>
        <w:tc>
          <w:tcPr>
            <w:tcW w:w="1276" w:type="dxa"/>
            <w:vAlign w:val="center"/>
          </w:tcPr>
          <w:p w:rsidR="007E1D42" w:rsidRPr="0068094B" w:rsidRDefault="007E1D42" w:rsidP="00551EBA">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(2,770)</w:t>
            </w:r>
          </w:p>
        </w:tc>
        <w:tc>
          <w:tcPr>
            <w:tcW w:w="6804" w:type="dxa"/>
            <w:vAlign w:val="center"/>
          </w:tcPr>
          <w:p w:rsidR="007E1D42" w:rsidRPr="0068094B" w:rsidRDefault="007E1D42"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Employer’s pensions contributions and direct payments to pensioners payable in the year </w:t>
            </w:r>
          </w:p>
        </w:tc>
        <w:tc>
          <w:tcPr>
            <w:tcW w:w="1276" w:type="dxa"/>
            <w:shd w:val="clear" w:color="auto" w:fill="D9D9D9" w:themeFill="background1" w:themeFillShade="D9"/>
            <w:vAlign w:val="center"/>
          </w:tcPr>
          <w:p w:rsidR="007E1D42" w:rsidRPr="00DD5BA3" w:rsidRDefault="00A057A7" w:rsidP="00D4450E">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(3,195)</w:t>
            </w:r>
          </w:p>
        </w:tc>
      </w:tr>
      <w:tr w:rsidR="007E1D42" w:rsidRPr="0068094B" w:rsidTr="001A6FD8">
        <w:trPr>
          <w:trHeight w:val="436"/>
        </w:trPr>
        <w:tc>
          <w:tcPr>
            <w:tcW w:w="1276" w:type="dxa"/>
            <w:tcBorders>
              <w:top w:val="single" w:sz="4" w:space="0" w:color="000000"/>
              <w:bottom w:val="double" w:sz="4" w:space="0" w:color="333333"/>
            </w:tcBorders>
            <w:shd w:val="clear" w:color="auto" w:fill="auto"/>
            <w:vAlign w:val="center"/>
          </w:tcPr>
          <w:p w:rsidR="007E1D42" w:rsidRPr="0068094B" w:rsidRDefault="007E1D42" w:rsidP="00551EBA">
            <w:pPr>
              <w:tabs>
                <w:tab w:val="left" w:pos="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6,559</w:t>
            </w:r>
          </w:p>
        </w:tc>
        <w:tc>
          <w:tcPr>
            <w:tcW w:w="6804" w:type="dxa"/>
            <w:vAlign w:val="center"/>
          </w:tcPr>
          <w:p w:rsidR="007E1D42" w:rsidRPr="0068094B" w:rsidRDefault="007E1D42"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Balance at 31 March</w:t>
            </w:r>
          </w:p>
        </w:tc>
        <w:tc>
          <w:tcPr>
            <w:tcW w:w="1276" w:type="dxa"/>
            <w:tcBorders>
              <w:top w:val="single" w:sz="4" w:space="0" w:color="000000"/>
              <w:bottom w:val="double" w:sz="4" w:space="0" w:color="333333"/>
            </w:tcBorders>
            <w:shd w:val="clear" w:color="auto" w:fill="D9D9D9" w:themeFill="background1" w:themeFillShade="D9"/>
            <w:vAlign w:val="center"/>
          </w:tcPr>
          <w:p w:rsidR="007E1D42" w:rsidRPr="00DD5BA3" w:rsidRDefault="00A057A7" w:rsidP="000632D4">
            <w:pPr>
              <w:tabs>
                <w:tab w:val="left" w:pos="0"/>
              </w:tabs>
              <w:snapToGrid w:val="0"/>
              <w:jc w:val="right"/>
              <w:rPr>
                <w:rFonts w:asciiTheme="minorHAnsi" w:hAnsiTheme="minorHAnsi" w:cstheme="minorHAnsi"/>
                <w:b/>
                <w:bCs/>
                <w:sz w:val="22"/>
                <w:szCs w:val="22"/>
              </w:rPr>
            </w:pPr>
            <w:r w:rsidRPr="00DD5BA3">
              <w:rPr>
                <w:rFonts w:asciiTheme="minorHAnsi" w:hAnsiTheme="minorHAnsi" w:cstheme="minorHAnsi"/>
                <w:b/>
                <w:bCs/>
                <w:sz w:val="22"/>
                <w:szCs w:val="22"/>
              </w:rPr>
              <w:t>(20,</w:t>
            </w:r>
            <w:r w:rsidR="000632D4" w:rsidRPr="00DD5BA3">
              <w:rPr>
                <w:rFonts w:asciiTheme="minorHAnsi" w:hAnsiTheme="minorHAnsi" w:cstheme="minorHAnsi"/>
                <w:b/>
                <w:bCs/>
                <w:sz w:val="22"/>
                <w:szCs w:val="22"/>
              </w:rPr>
              <w:t>876</w:t>
            </w:r>
            <w:r w:rsidRPr="00DD5BA3">
              <w:rPr>
                <w:rFonts w:asciiTheme="minorHAnsi" w:hAnsiTheme="minorHAnsi" w:cstheme="minorHAnsi"/>
                <w:b/>
                <w:bCs/>
                <w:sz w:val="22"/>
                <w:szCs w:val="22"/>
              </w:rPr>
              <w:t>)</w:t>
            </w:r>
          </w:p>
        </w:tc>
      </w:tr>
    </w:tbl>
    <w:p w:rsidR="006D72E5" w:rsidRDefault="006D72E5" w:rsidP="00746535">
      <w:pPr>
        <w:pStyle w:val="Heading2"/>
        <w:tabs>
          <w:tab w:val="clear" w:pos="576"/>
          <w:tab w:val="left" w:pos="0"/>
        </w:tabs>
        <w:ind w:left="0" w:firstLine="0"/>
        <w:rPr>
          <w:rFonts w:asciiTheme="minorHAnsi" w:hAnsiTheme="minorHAnsi" w:cstheme="minorHAnsi"/>
          <w:sz w:val="22"/>
          <w:szCs w:val="22"/>
        </w:rPr>
      </w:pPr>
    </w:p>
    <w:p w:rsidR="00092430" w:rsidRDefault="00092430" w:rsidP="00746535">
      <w:pPr>
        <w:pStyle w:val="Heading2"/>
        <w:tabs>
          <w:tab w:val="clear" w:pos="576"/>
          <w:tab w:val="left" w:pos="0"/>
        </w:tabs>
        <w:ind w:left="0" w:firstLine="0"/>
        <w:rPr>
          <w:rFonts w:asciiTheme="minorHAnsi" w:hAnsiTheme="minorHAnsi" w:cstheme="minorHAnsi"/>
          <w:sz w:val="22"/>
          <w:szCs w:val="22"/>
        </w:rPr>
      </w:pPr>
    </w:p>
    <w:p w:rsidR="008E0007" w:rsidRPr="0068094B" w:rsidRDefault="008E0007"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Deferred Capital Receipts Reserve</w:t>
      </w:r>
    </w:p>
    <w:p w:rsidR="008E0007" w:rsidRPr="0068094B" w:rsidRDefault="008E0007" w:rsidP="008E0007">
      <w:pPr>
        <w:rPr>
          <w:rFonts w:asciiTheme="minorHAnsi" w:hAnsiTheme="minorHAnsi" w:cstheme="minorHAnsi"/>
          <w:sz w:val="22"/>
          <w:szCs w:val="22"/>
        </w:rPr>
      </w:pPr>
    </w:p>
    <w:p w:rsidR="008E0007" w:rsidRPr="0068094B" w:rsidRDefault="008E0007" w:rsidP="008E0007">
      <w:pPr>
        <w:rPr>
          <w:rFonts w:asciiTheme="minorHAnsi" w:hAnsiTheme="minorHAnsi" w:cstheme="minorHAnsi"/>
          <w:sz w:val="22"/>
          <w:szCs w:val="22"/>
        </w:rPr>
      </w:pPr>
      <w:r w:rsidRPr="0068094B">
        <w:rPr>
          <w:rFonts w:asciiTheme="minorHAnsi" w:hAnsiTheme="minorHAnsi" w:cstheme="minorHAnsi"/>
          <w:sz w:val="22"/>
          <w:szCs w:val="22"/>
        </w:rPr>
        <w:t xml:space="preserve">The Deferred Capital Receipts Reserve </w:t>
      </w:r>
      <w:r w:rsidR="00AA3BB5" w:rsidRPr="0068094B">
        <w:rPr>
          <w:rFonts w:asciiTheme="minorHAnsi" w:hAnsiTheme="minorHAnsi" w:cstheme="minorHAnsi"/>
          <w:sz w:val="22"/>
          <w:szCs w:val="22"/>
        </w:rPr>
        <w:t xml:space="preserve">records timing differences between </w:t>
      </w:r>
      <w:r w:rsidRPr="0068094B">
        <w:rPr>
          <w:rFonts w:asciiTheme="minorHAnsi" w:hAnsiTheme="minorHAnsi" w:cstheme="minorHAnsi"/>
          <w:sz w:val="22"/>
          <w:szCs w:val="22"/>
        </w:rPr>
        <w:t xml:space="preserve">gains recognised on the disposal of non-current assets </w:t>
      </w:r>
      <w:r w:rsidR="00AA3BB5" w:rsidRPr="0068094B">
        <w:rPr>
          <w:rFonts w:asciiTheme="minorHAnsi" w:hAnsiTheme="minorHAnsi" w:cstheme="minorHAnsi"/>
          <w:sz w:val="22"/>
          <w:szCs w:val="22"/>
        </w:rPr>
        <w:t>and cash receipts</w:t>
      </w:r>
      <w:r w:rsidR="00871025">
        <w:rPr>
          <w:rFonts w:asciiTheme="minorHAnsi" w:hAnsiTheme="minorHAnsi" w:cstheme="minorHAnsi"/>
          <w:sz w:val="22"/>
          <w:szCs w:val="22"/>
        </w:rPr>
        <w:t>.</w:t>
      </w:r>
    </w:p>
    <w:p w:rsidR="00422723" w:rsidRDefault="00422723" w:rsidP="00871025">
      <w:pPr>
        <w:spacing w:after="240"/>
        <w:rPr>
          <w:rFonts w:asciiTheme="minorHAnsi" w:hAnsiTheme="minorHAnsi" w:cstheme="minorHAnsi"/>
          <w:sz w:val="22"/>
          <w:szCs w:val="22"/>
        </w:rPr>
      </w:pPr>
    </w:p>
    <w:p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Collection Fund Adjustment Account</w:t>
      </w:r>
    </w:p>
    <w:p w:rsidR="00746535" w:rsidRPr="0068094B" w:rsidRDefault="00746535" w:rsidP="00746535">
      <w:pPr>
        <w:pStyle w:val="FootnoteText"/>
        <w:tabs>
          <w:tab w:val="left" w:pos="0"/>
        </w:tabs>
        <w:rPr>
          <w:rFonts w:asciiTheme="minorHAnsi" w:hAnsiTheme="minorHAnsi" w:cstheme="minorHAnsi"/>
          <w:sz w:val="22"/>
          <w:szCs w:val="22"/>
        </w:rPr>
      </w:pPr>
    </w:p>
    <w:p w:rsidR="00746535" w:rsidRPr="0068094B" w:rsidRDefault="00746535" w:rsidP="00746535">
      <w:pPr>
        <w:pStyle w:val="PlainText"/>
        <w:widowControl w:val="0"/>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Collection Fund Adjustment </w:t>
      </w:r>
      <w:r w:rsidR="00AA3BB5" w:rsidRPr="0068094B">
        <w:rPr>
          <w:rFonts w:asciiTheme="minorHAnsi" w:hAnsiTheme="minorHAnsi" w:cstheme="minorHAnsi"/>
          <w:sz w:val="22"/>
          <w:szCs w:val="22"/>
        </w:rPr>
        <w:t>Account records</w:t>
      </w:r>
      <w:r w:rsidR="00B27DA2">
        <w:rPr>
          <w:rFonts w:asciiTheme="minorHAnsi" w:hAnsiTheme="minorHAnsi" w:cstheme="minorHAnsi"/>
          <w:sz w:val="22"/>
          <w:szCs w:val="22"/>
        </w:rPr>
        <w:t xml:space="preserve"> </w:t>
      </w:r>
      <w:r w:rsidR="00AA3BB5" w:rsidRPr="0068094B">
        <w:rPr>
          <w:rFonts w:asciiTheme="minorHAnsi" w:hAnsiTheme="minorHAnsi" w:cstheme="minorHAnsi"/>
          <w:sz w:val="22"/>
          <w:szCs w:val="22"/>
        </w:rPr>
        <w:t>diffe</w:t>
      </w:r>
      <w:r w:rsidR="0007417B">
        <w:rPr>
          <w:rFonts w:asciiTheme="minorHAnsi" w:hAnsiTheme="minorHAnsi" w:cstheme="minorHAnsi"/>
          <w:sz w:val="22"/>
          <w:szCs w:val="22"/>
        </w:rPr>
        <w:t xml:space="preserve">rences between the Council tax </w:t>
      </w:r>
      <w:r w:rsidR="00AA3BB5" w:rsidRPr="0068094B">
        <w:rPr>
          <w:rFonts w:asciiTheme="minorHAnsi" w:hAnsiTheme="minorHAnsi" w:cstheme="minorHAnsi"/>
          <w:sz w:val="22"/>
          <w:szCs w:val="22"/>
        </w:rPr>
        <w:t xml:space="preserve">and non-domestic rates income credited to the Comprehensive Income and Expenditure Statement and the income calculated for the year in accordance with statutory requirements. </w:t>
      </w:r>
    </w:p>
    <w:p w:rsidR="00746535" w:rsidRPr="0068094B" w:rsidRDefault="00746535" w:rsidP="00746535">
      <w:pPr>
        <w:tabs>
          <w:tab w:val="left" w:pos="0"/>
        </w:tabs>
        <w:rPr>
          <w:rFonts w:asciiTheme="minorHAnsi" w:hAnsiTheme="minorHAnsi" w:cstheme="minorHAnsi"/>
          <w:sz w:val="22"/>
          <w:szCs w:val="22"/>
        </w:rPr>
      </w:pPr>
    </w:p>
    <w:tbl>
      <w:tblPr>
        <w:tblW w:w="8418" w:type="dxa"/>
        <w:tblLayout w:type="fixed"/>
        <w:tblLook w:val="0000" w:firstRow="0" w:lastRow="0" w:firstColumn="0" w:lastColumn="0" w:noHBand="0" w:noVBand="0"/>
      </w:tblPr>
      <w:tblGrid>
        <w:gridCol w:w="1720"/>
        <w:gridCol w:w="859"/>
        <w:gridCol w:w="755"/>
        <w:gridCol w:w="885"/>
        <w:gridCol w:w="796"/>
        <w:gridCol w:w="860"/>
        <w:gridCol w:w="859"/>
        <w:gridCol w:w="825"/>
        <w:gridCol w:w="859"/>
      </w:tblGrid>
      <w:tr w:rsidR="00FB4652" w:rsidRPr="0068094B" w:rsidTr="008D5AF9">
        <w:trPr>
          <w:trHeight w:val="186"/>
        </w:trPr>
        <w:tc>
          <w:tcPr>
            <w:tcW w:w="1720" w:type="dxa"/>
            <w:vAlign w:val="center"/>
          </w:tcPr>
          <w:p w:rsidR="00226089" w:rsidRPr="0068094B" w:rsidRDefault="00226089" w:rsidP="00B912CD">
            <w:pPr>
              <w:widowControl/>
              <w:suppressAutoHyphens w:val="0"/>
              <w:rPr>
                <w:rFonts w:asciiTheme="minorHAnsi" w:hAnsiTheme="minorHAnsi" w:cstheme="minorHAnsi"/>
                <w:sz w:val="22"/>
                <w:szCs w:val="22"/>
              </w:rPr>
            </w:pPr>
          </w:p>
        </w:tc>
        <w:tc>
          <w:tcPr>
            <w:tcW w:w="859" w:type="dxa"/>
            <w:vAlign w:val="center"/>
          </w:tcPr>
          <w:p w:rsidR="00FB4652" w:rsidRPr="0068094B" w:rsidRDefault="00FB4652" w:rsidP="0048481B">
            <w:pPr>
              <w:tabs>
                <w:tab w:val="left" w:pos="0"/>
              </w:tabs>
              <w:snapToGrid w:val="0"/>
              <w:jc w:val="right"/>
              <w:rPr>
                <w:rFonts w:asciiTheme="minorHAnsi" w:hAnsiTheme="minorHAnsi" w:cstheme="minorHAnsi"/>
                <w:sz w:val="22"/>
                <w:szCs w:val="22"/>
              </w:rPr>
            </w:pPr>
          </w:p>
        </w:tc>
        <w:tc>
          <w:tcPr>
            <w:tcW w:w="755" w:type="dxa"/>
            <w:vAlign w:val="center"/>
          </w:tcPr>
          <w:p w:rsidR="00FB4652" w:rsidRPr="0068094B" w:rsidRDefault="00FB4652" w:rsidP="0048481B">
            <w:pPr>
              <w:tabs>
                <w:tab w:val="left" w:pos="0"/>
              </w:tabs>
              <w:snapToGrid w:val="0"/>
              <w:jc w:val="right"/>
              <w:rPr>
                <w:rFonts w:asciiTheme="minorHAnsi" w:hAnsiTheme="minorHAnsi" w:cstheme="minorHAnsi"/>
                <w:sz w:val="22"/>
                <w:szCs w:val="22"/>
              </w:rPr>
            </w:pPr>
          </w:p>
        </w:tc>
        <w:tc>
          <w:tcPr>
            <w:tcW w:w="885" w:type="dxa"/>
            <w:vAlign w:val="center"/>
          </w:tcPr>
          <w:p w:rsidR="00FB4652" w:rsidRPr="0068094B" w:rsidRDefault="00FB4652" w:rsidP="0048481B">
            <w:pPr>
              <w:tabs>
                <w:tab w:val="left" w:pos="0"/>
              </w:tabs>
              <w:snapToGrid w:val="0"/>
              <w:jc w:val="right"/>
              <w:rPr>
                <w:rFonts w:asciiTheme="minorHAnsi" w:hAnsiTheme="minorHAnsi" w:cstheme="minorHAnsi"/>
                <w:sz w:val="22"/>
                <w:szCs w:val="22"/>
              </w:rPr>
            </w:pPr>
          </w:p>
        </w:tc>
        <w:tc>
          <w:tcPr>
            <w:tcW w:w="796" w:type="dxa"/>
            <w:vAlign w:val="center"/>
          </w:tcPr>
          <w:p w:rsidR="00FB4652" w:rsidRPr="0068094B" w:rsidRDefault="00FB4652" w:rsidP="0048481B">
            <w:pPr>
              <w:tabs>
                <w:tab w:val="left" w:pos="0"/>
              </w:tabs>
              <w:snapToGrid w:val="0"/>
              <w:jc w:val="right"/>
              <w:rPr>
                <w:rFonts w:asciiTheme="minorHAnsi" w:hAnsiTheme="minorHAnsi" w:cstheme="minorHAnsi"/>
                <w:sz w:val="22"/>
                <w:szCs w:val="22"/>
              </w:rPr>
            </w:pPr>
          </w:p>
        </w:tc>
        <w:tc>
          <w:tcPr>
            <w:tcW w:w="860" w:type="dxa"/>
            <w:vAlign w:val="center"/>
          </w:tcPr>
          <w:p w:rsidR="00FB4652" w:rsidRPr="0068094B"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rsidR="00FB4652" w:rsidRPr="0068094B" w:rsidRDefault="00FB4652" w:rsidP="0048481B">
            <w:pPr>
              <w:tabs>
                <w:tab w:val="left" w:pos="0"/>
              </w:tabs>
              <w:snapToGrid w:val="0"/>
              <w:jc w:val="right"/>
              <w:rPr>
                <w:rFonts w:asciiTheme="minorHAnsi" w:hAnsiTheme="minorHAnsi" w:cstheme="minorHAnsi"/>
                <w:sz w:val="22"/>
                <w:szCs w:val="22"/>
              </w:rPr>
            </w:pPr>
          </w:p>
        </w:tc>
        <w:tc>
          <w:tcPr>
            <w:tcW w:w="825" w:type="dxa"/>
            <w:vAlign w:val="center"/>
          </w:tcPr>
          <w:p w:rsidR="00FB4652" w:rsidRPr="0068094B"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rsidR="00FB4652" w:rsidRPr="0068094B" w:rsidRDefault="00FB4652" w:rsidP="0048481B">
            <w:pPr>
              <w:tabs>
                <w:tab w:val="left" w:pos="0"/>
              </w:tabs>
              <w:snapToGrid w:val="0"/>
              <w:jc w:val="right"/>
              <w:rPr>
                <w:rFonts w:asciiTheme="minorHAnsi" w:hAnsiTheme="minorHAnsi" w:cstheme="minorHAnsi"/>
                <w:b/>
                <w:sz w:val="22"/>
                <w:szCs w:val="22"/>
              </w:rPr>
            </w:pPr>
          </w:p>
        </w:tc>
      </w:tr>
    </w:tbl>
    <w:p w:rsidR="006750AF" w:rsidRPr="0068094B" w:rsidRDefault="006750AF"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Agency Services</w:t>
      </w:r>
    </w:p>
    <w:p w:rsidR="006750AF" w:rsidRPr="0068094B" w:rsidRDefault="006750AF" w:rsidP="00ED3B24">
      <w:pPr>
        <w:pStyle w:val="ListParagraph"/>
        <w:tabs>
          <w:tab w:val="left" w:pos="0"/>
        </w:tabs>
        <w:jc w:val="both"/>
        <w:rPr>
          <w:rFonts w:asciiTheme="minorHAnsi" w:hAnsiTheme="minorHAnsi" w:cstheme="minorHAnsi"/>
          <w:b/>
          <w:bCs/>
          <w:szCs w:val="22"/>
        </w:rPr>
      </w:pPr>
    </w:p>
    <w:p w:rsidR="006750AF" w:rsidRPr="00CC16A6" w:rsidRDefault="006750AF" w:rsidP="00AB78FE">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The </w:t>
      </w:r>
      <w:r w:rsidR="00E16274" w:rsidRPr="0068094B">
        <w:rPr>
          <w:rFonts w:asciiTheme="minorHAnsi" w:hAnsiTheme="minorHAnsi" w:cstheme="minorHAnsi"/>
          <w:bCs/>
          <w:szCs w:val="22"/>
        </w:rPr>
        <w:t>Council</w:t>
      </w:r>
      <w:r w:rsidRPr="0068094B">
        <w:rPr>
          <w:rFonts w:asciiTheme="minorHAnsi" w:hAnsiTheme="minorHAnsi" w:cstheme="minorHAnsi"/>
          <w:bCs/>
          <w:szCs w:val="22"/>
        </w:rPr>
        <w:t xml:space="preserve"> provides a Planning Service on behalf of the South Downs National Park Authority</w:t>
      </w:r>
      <w:r w:rsidR="009F0A4E" w:rsidRPr="0068094B">
        <w:rPr>
          <w:rFonts w:asciiTheme="minorHAnsi" w:hAnsiTheme="minorHAnsi" w:cstheme="minorHAnsi"/>
          <w:bCs/>
          <w:szCs w:val="22"/>
        </w:rPr>
        <w:t xml:space="preserve"> (SDNPA)</w:t>
      </w:r>
      <w:r w:rsidRPr="0068094B">
        <w:rPr>
          <w:rFonts w:asciiTheme="minorHAnsi" w:hAnsiTheme="minorHAnsi" w:cstheme="minorHAnsi"/>
          <w:bCs/>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w:tblPr>
      <w:tblGrid>
        <w:gridCol w:w="5920"/>
        <w:gridCol w:w="1251"/>
        <w:gridCol w:w="1159"/>
      </w:tblGrid>
      <w:tr w:rsidR="00F55882" w:rsidRPr="0068094B" w:rsidTr="003B5F7F">
        <w:trPr>
          <w:tblHeader/>
          <w:jc w:val="center"/>
        </w:trPr>
        <w:tc>
          <w:tcPr>
            <w:tcW w:w="5920" w:type="dxa"/>
            <w:vAlign w:val="center"/>
          </w:tcPr>
          <w:p w:rsidR="009F0A4E" w:rsidRPr="0068094B" w:rsidRDefault="009F0A4E" w:rsidP="00AB78FE">
            <w:pPr>
              <w:pStyle w:val="ListParagraph"/>
              <w:tabs>
                <w:tab w:val="left" w:pos="0"/>
              </w:tabs>
              <w:ind w:left="0"/>
              <w:rPr>
                <w:rFonts w:asciiTheme="minorHAnsi" w:hAnsiTheme="minorHAnsi" w:cstheme="minorHAnsi"/>
                <w:bCs/>
                <w:szCs w:val="22"/>
              </w:rPr>
            </w:pPr>
          </w:p>
        </w:tc>
        <w:tc>
          <w:tcPr>
            <w:tcW w:w="1251" w:type="dxa"/>
            <w:tcBorders>
              <w:bottom w:val="single" w:sz="4" w:space="0" w:color="000000" w:themeColor="text1"/>
            </w:tcBorders>
            <w:vAlign w:val="center"/>
          </w:tcPr>
          <w:p w:rsidR="0086796D"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201</w:t>
            </w:r>
            <w:r w:rsidR="00A57DCD">
              <w:rPr>
                <w:rFonts w:asciiTheme="minorHAnsi" w:hAnsiTheme="minorHAnsi" w:cstheme="minorHAnsi"/>
                <w:b/>
                <w:bCs/>
                <w:szCs w:val="22"/>
              </w:rPr>
              <w:t>8</w:t>
            </w:r>
            <w:r w:rsidR="00DF5462">
              <w:rPr>
                <w:rFonts w:asciiTheme="minorHAnsi" w:hAnsiTheme="minorHAnsi" w:cstheme="minorHAnsi"/>
                <w:b/>
                <w:bCs/>
                <w:szCs w:val="22"/>
              </w:rPr>
              <w:t>-</w:t>
            </w:r>
            <w:r w:rsidRPr="0068094B">
              <w:rPr>
                <w:rFonts w:asciiTheme="minorHAnsi" w:hAnsiTheme="minorHAnsi" w:cstheme="minorHAnsi"/>
                <w:b/>
                <w:bCs/>
                <w:szCs w:val="22"/>
              </w:rPr>
              <w:t>1</w:t>
            </w:r>
            <w:r w:rsidR="00A57DCD">
              <w:rPr>
                <w:rFonts w:asciiTheme="minorHAnsi" w:hAnsiTheme="minorHAnsi" w:cstheme="minorHAnsi"/>
                <w:b/>
                <w:bCs/>
                <w:szCs w:val="22"/>
              </w:rPr>
              <w:t>9</w:t>
            </w:r>
          </w:p>
          <w:p w:rsidR="009F0A4E" w:rsidRPr="0068094B" w:rsidRDefault="009F0A4E"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£000</w:t>
            </w:r>
          </w:p>
        </w:tc>
        <w:tc>
          <w:tcPr>
            <w:tcW w:w="1159" w:type="dxa"/>
            <w:tcBorders>
              <w:bottom w:val="single" w:sz="4" w:space="0" w:color="808080" w:themeColor="background1" w:themeShade="80"/>
            </w:tcBorders>
            <w:shd w:val="clear" w:color="auto" w:fill="D9D9D9" w:themeFill="background1" w:themeFillShade="D9"/>
            <w:vAlign w:val="center"/>
          </w:tcPr>
          <w:p w:rsidR="009F0A4E"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201</w:t>
            </w:r>
            <w:r w:rsidR="00A57DCD">
              <w:rPr>
                <w:rFonts w:asciiTheme="minorHAnsi" w:hAnsiTheme="minorHAnsi" w:cstheme="minorHAnsi"/>
                <w:b/>
                <w:bCs/>
                <w:szCs w:val="22"/>
              </w:rPr>
              <w:t>9</w:t>
            </w:r>
            <w:r w:rsidRPr="0068094B">
              <w:rPr>
                <w:rFonts w:asciiTheme="minorHAnsi" w:hAnsiTheme="minorHAnsi" w:cstheme="minorHAnsi"/>
                <w:b/>
                <w:bCs/>
                <w:szCs w:val="22"/>
              </w:rPr>
              <w:t>-</w:t>
            </w:r>
            <w:r w:rsidR="00A57DCD">
              <w:rPr>
                <w:rFonts w:asciiTheme="minorHAnsi" w:hAnsiTheme="minorHAnsi" w:cstheme="minorHAnsi"/>
                <w:b/>
                <w:bCs/>
                <w:szCs w:val="22"/>
              </w:rPr>
              <w:t>20</w:t>
            </w:r>
          </w:p>
          <w:p w:rsidR="00F55882"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£000</w:t>
            </w:r>
          </w:p>
        </w:tc>
      </w:tr>
      <w:tr w:rsidR="00A57DCD" w:rsidRPr="0068094B" w:rsidTr="00F55882">
        <w:trPr>
          <w:trHeight w:val="271"/>
          <w:jc w:val="center"/>
        </w:trPr>
        <w:tc>
          <w:tcPr>
            <w:tcW w:w="5920" w:type="dxa"/>
            <w:vAlign w:val="center"/>
          </w:tcPr>
          <w:p w:rsidR="00A57DCD" w:rsidRPr="0068094B" w:rsidRDefault="00A57DCD" w:rsidP="009F0A4E">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Expenditure incurred in providing a Planning Service to SDNPA </w:t>
            </w:r>
          </w:p>
        </w:tc>
        <w:tc>
          <w:tcPr>
            <w:tcW w:w="1251" w:type="dxa"/>
            <w:tcBorders>
              <w:top w:val="single" w:sz="4" w:space="0" w:color="000000" w:themeColor="text1"/>
            </w:tcBorders>
            <w:vAlign w:val="center"/>
          </w:tcPr>
          <w:p w:rsidR="00A57DCD" w:rsidRPr="0068094B" w:rsidRDefault="00A57DCD" w:rsidP="004F4627">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939</w:t>
            </w:r>
          </w:p>
        </w:tc>
        <w:tc>
          <w:tcPr>
            <w:tcW w:w="1159" w:type="dxa"/>
            <w:tcBorders>
              <w:top w:val="single" w:sz="4" w:space="0" w:color="808080" w:themeColor="background1" w:themeShade="80"/>
            </w:tcBorders>
            <w:shd w:val="clear" w:color="auto" w:fill="D9D9D9" w:themeFill="background1" w:themeFillShade="D9"/>
            <w:vAlign w:val="center"/>
          </w:tcPr>
          <w:p w:rsidR="00A57DCD" w:rsidRPr="0068094B" w:rsidRDefault="000138A6" w:rsidP="00B939D2">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938</w:t>
            </w:r>
          </w:p>
        </w:tc>
      </w:tr>
      <w:tr w:rsidR="00A57DCD" w:rsidRPr="0068094B" w:rsidTr="00F55882">
        <w:trPr>
          <w:trHeight w:val="289"/>
          <w:jc w:val="center"/>
        </w:trPr>
        <w:tc>
          <w:tcPr>
            <w:tcW w:w="5920" w:type="dxa"/>
            <w:vAlign w:val="center"/>
          </w:tcPr>
          <w:p w:rsidR="00A57DCD" w:rsidRPr="0068094B" w:rsidRDefault="00A57DCD" w:rsidP="009F0A4E">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Management fee payable by SDNPA </w:t>
            </w:r>
          </w:p>
        </w:tc>
        <w:tc>
          <w:tcPr>
            <w:tcW w:w="1251" w:type="dxa"/>
            <w:tcBorders>
              <w:bottom w:val="single" w:sz="4" w:space="0" w:color="000000" w:themeColor="text1"/>
            </w:tcBorders>
            <w:vAlign w:val="center"/>
          </w:tcPr>
          <w:p w:rsidR="00A57DCD" w:rsidRPr="0068094B" w:rsidRDefault="00A57DCD" w:rsidP="00D116A8">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(951)</w:t>
            </w:r>
          </w:p>
        </w:tc>
        <w:tc>
          <w:tcPr>
            <w:tcW w:w="1159" w:type="dxa"/>
            <w:tcBorders>
              <w:bottom w:val="single" w:sz="4" w:space="0" w:color="808080" w:themeColor="background1" w:themeShade="80"/>
            </w:tcBorders>
            <w:shd w:val="clear" w:color="auto" w:fill="D9D9D9" w:themeFill="background1" w:themeFillShade="D9"/>
            <w:vAlign w:val="center"/>
          </w:tcPr>
          <w:p w:rsidR="00A57DCD" w:rsidRPr="0068094B" w:rsidRDefault="000138A6" w:rsidP="00796247">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 xml:space="preserve">  (904)</w:t>
            </w:r>
          </w:p>
        </w:tc>
      </w:tr>
      <w:tr w:rsidR="00A57DCD" w:rsidRPr="0068094B" w:rsidTr="00F55882">
        <w:trPr>
          <w:trHeight w:val="411"/>
          <w:jc w:val="center"/>
        </w:trPr>
        <w:tc>
          <w:tcPr>
            <w:tcW w:w="5920" w:type="dxa"/>
            <w:vAlign w:val="center"/>
          </w:tcPr>
          <w:p w:rsidR="00A57DCD" w:rsidRPr="0068094B" w:rsidRDefault="00A57DCD" w:rsidP="009C4BFD">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Net (Surplus)/Deficit arising on the agency arrangement</w:t>
            </w:r>
          </w:p>
        </w:tc>
        <w:tc>
          <w:tcPr>
            <w:tcW w:w="1251" w:type="dxa"/>
            <w:tcBorders>
              <w:top w:val="single" w:sz="4" w:space="0" w:color="000000" w:themeColor="text1"/>
              <w:bottom w:val="double" w:sz="4" w:space="0" w:color="000000" w:themeColor="text1"/>
            </w:tcBorders>
            <w:vAlign w:val="center"/>
          </w:tcPr>
          <w:p w:rsidR="00A57DCD" w:rsidRPr="0068094B" w:rsidRDefault="00A57DCD" w:rsidP="00587405">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(12)</w:t>
            </w:r>
          </w:p>
        </w:tc>
        <w:tc>
          <w:tcPr>
            <w:tcW w:w="1159"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rsidR="00A57DCD" w:rsidRPr="0068094B" w:rsidRDefault="000138A6" w:rsidP="00BB4120">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34</w:t>
            </w:r>
          </w:p>
        </w:tc>
      </w:tr>
    </w:tbl>
    <w:p w:rsidR="00727438" w:rsidRDefault="00727438" w:rsidP="00727438">
      <w:pPr>
        <w:pStyle w:val="ListParagraph"/>
        <w:tabs>
          <w:tab w:val="left" w:pos="0"/>
        </w:tabs>
        <w:jc w:val="both"/>
        <w:rPr>
          <w:rFonts w:asciiTheme="minorHAnsi" w:hAnsiTheme="minorHAnsi" w:cstheme="minorHAnsi"/>
          <w:b/>
          <w:bCs/>
          <w:szCs w:val="22"/>
        </w:rPr>
      </w:pPr>
    </w:p>
    <w:p w:rsidR="00422723" w:rsidRDefault="00422723" w:rsidP="00727438">
      <w:pPr>
        <w:pStyle w:val="ListParagraph"/>
        <w:tabs>
          <w:tab w:val="left" w:pos="0"/>
        </w:tabs>
        <w:jc w:val="both"/>
        <w:rPr>
          <w:rFonts w:asciiTheme="minorHAnsi" w:hAnsiTheme="minorHAnsi" w:cstheme="minorHAnsi"/>
          <w:b/>
          <w:bCs/>
          <w:szCs w:val="22"/>
        </w:rPr>
      </w:pPr>
    </w:p>
    <w:p w:rsidR="00422723" w:rsidRDefault="00422723" w:rsidP="00727438">
      <w:pPr>
        <w:pStyle w:val="ListParagraph"/>
        <w:tabs>
          <w:tab w:val="left" w:pos="0"/>
        </w:tabs>
        <w:jc w:val="both"/>
        <w:rPr>
          <w:rFonts w:asciiTheme="minorHAnsi" w:hAnsiTheme="minorHAnsi" w:cstheme="minorHAnsi"/>
          <w:b/>
          <w:bCs/>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Members’ Allowances</w:t>
      </w:r>
      <w:r w:rsidR="0095054C" w:rsidRPr="0068094B">
        <w:rPr>
          <w:rFonts w:asciiTheme="minorHAnsi" w:hAnsiTheme="minorHAnsi" w:cstheme="minorHAnsi"/>
          <w:b/>
          <w:bCs/>
          <w:szCs w:val="22"/>
        </w:rPr>
        <w:t xml:space="preserve"> </w:t>
      </w:r>
    </w:p>
    <w:p w:rsidR="0025200B" w:rsidRPr="0068094B" w:rsidRDefault="0025200B" w:rsidP="0025200B">
      <w:pPr>
        <w:pStyle w:val="ListParagraph"/>
        <w:tabs>
          <w:tab w:val="left" w:pos="0"/>
        </w:tabs>
        <w:jc w:val="both"/>
        <w:rPr>
          <w:rFonts w:asciiTheme="minorHAnsi" w:hAnsiTheme="minorHAnsi" w:cstheme="minorHAnsi"/>
          <w:b/>
          <w:bCs/>
          <w:szCs w:val="22"/>
        </w:rPr>
      </w:pPr>
    </w:p>
    <w:p w:rsidR="00871025" w:rsidRDefault="0025200B" w:rsidP="00871025">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paid </w:t>
      </w:r>
      <w:r w:rsidR="00420631">
        <w:rPr>
          <w:rFonts w:asciiTheme="minorHAnsi" w:hAnsiTheme="minorHAnsi" w:cstheme="minorHAnsi"/>
          <w:sz w:val="22"/>
          <w:szCs w:val="22"/>
        </w:rPr>
        <w:t>£268</w:t>
      </w:r>
      <w:r w:rsidR="00770B16" w:rsidRPr="0068094B">
        <w:rPr>
          <w:rFonts w:asciiTheme="minorHAnsi" w:hAnsiTheme="minorHAnsi" w:cstheme="minorHAnsi"/>
          <w:sz w:val="22"/>
          <w:szCs w:val="22"/>
        </w:rPr>
        <w:t>k (</w:t>
      </w:r>
      <w:r w:rsidR="009210A8">
        <w:rPr>
          <w:rFonts w:asciiTheme="minorHAnsi" w:hAnsiTheme="minorHAnsi" w:cstheme="minorHAnsi"/>
          <w:sz w:val="22"/>
          <w:szCs w:val="22"/>
        </w:rPr>
        <w:t>20</w:t>
      </w:r>
      <w:r w:rsidR="00770B16" w:rsidRPr="0068094B">
        <w:rPr>
          <w:rFonts w:asciiTheme="minorHAnsi" w:hAnsiTheme="minorHAnsi" w:cstheme="minorHAnsi"/>
          <w:sz w:val="22"/>
          <w:szCs w:val="22"/>
        </w:rPr>
        <w:t>1</w:t>
      </w:r>
      <w:r w:rsidR="00420631">
        <w:rPr>
          <w:rFonts w:asciiTheme="minorHAnsi" w:hAnsiTheme="minorHAnsi" w:cstheme="minorHAnsi"/>
          <w:sz w:val="22"/>
          <w:szCs w:val="22"/>
        </w:rPr>
        <w:t>8</w:t>
      </w:r>
      <w:r w:rsidR="00770B16" w:rsidRPr="0068094B">
        <w:rPr>
          <w:rFonts w:asciiTheme="minorHAnsi" w:hAnsiTheme="minorHAnsi" w:cstheme="minorHAnsi"/>
          <w:sz w:val="22"/>
          <w:szCs w:val="22"/>
        </w:rPr>
        <w:t>-1</w:t>
      </w:r>
      <w:r w:rsidR="00420631">
        <w:rPr>
          <w:rFonts w:asciiTheme="minorHAnsi" w:hAnsiTheme="minorHAnsi" w:cstheme="minorHAnsi"/>
          <w:sz w:val="22"/>
          <w:szCs w:val="22"/>
        </w:rPr>
        <w:t>9</w:t>
      </w:r>
      <w:r w:rsidR="00770B16" w:rsidRPr="0068094B">
        <w:rPr>
          <w:rFonts w:asciiTheme="minorHAnsi" w:hAnsiTheme="minorHAnsi" w:cstheme="minorHAnsi"/>
          <w:sz w:val="22"/>
          <w:szCs w:val="22"/>
        </w:rPr>
        <w:t>, £</w:t>
      </w:r>
      <w:r w:rsidR="00B50D2A">
        <w:rPr>
          <w:rFonts w:asciiTheme="minorHAnsi" w:hAnsiTheme="minorHAnsi" w:cstheme="minorHAnsi"/>
          <w:sz w:val="22"/>
          <w:szCs w:val="22"/>
        </w:rPr>
        <w:t>32</w:t>
      </w:r>
      <w:r w:rsidR="00420631">
        <w:rPr>
          <w:rFonts w:asciiTheme="minorHAnsi" w:hAnsiTheme="minorHAnsi" w:cstheme="minorHAnsi"/>
          <w:sz w:val="22"/>
          <w:szCs w:val="22"/>
        </w:rPr>
        <w:t>5</w:t>
      </w:r>
      <w:r w:rsidR="00770B16" w:rsidRPr="0068094B">
        <w:rPr>
          <w:rFonts w:asciiTheme="minorHAnsi" w:hAnsiTheme="minorHAnsi" w:cstheme="minorHAnsi"/>
          <w:sz w:val="22"/>
          <w:szCs w:val="22"/>
        </w:rPr>
        <w:t xml:space="preserve">k) </w:t>
      </w:r>
      <w:r w:rsidRPr="0068094B">
        <w:rPr>
          <w:rFonts w:asciiTheme="minorHAnsi" w:hAnsiTheme="minorHAnsi" w:cstheme="minorHAnsi"/>
          <w:sz w:val="22"/>
          <w:szCs w:val="22"/>
        </w:rPr>
        <w:t xml:space="preserve">to members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during the year. A detailed list of the allowances paid to each member </w:t>
      </w:r>
      <w:r w:rsidR="00262821" w:rsidRPr="0068094B">
        <w:rPr>
          <w:rFonts w:asciiTheme="minorHAnsi" w:hAnsiTheme="minorHAnsi" w:cstheme="minorHAnsi"/>
          <w:sz w:val="22"/>
          <w:szCs w:val="22"/>
        </w:rPr>
        <w:t xml:space="preserve">can be found on the </w:t>
      </w:r>
      <w:r w:rsidR="00E16274" w:rsidRPr="0068094B">
        <w:rPr>
          <w:rFonts w:asciiTheme="minorHAnsi" w:hAnsiTheme="minorHAnsi" w:cstheme="minorHAnsi"/>
          <w:sz w:val="22"/>
          <w:szCs w:val="22"/>
        </w:rPr>
        <w:t>Council</w:t>
      </w:r>
      <w:r w:rsidR="00262821" w:rsidRPr="0068094B">
        <w:rPr>
          <w:rFonts w:asciiTheme="minorHAnsi" w:hAnsiTheme="minorHAnsi" w:cstheme="minorHAnsi"/>
          <w:sz w:val="22"/>
          <w:szCs w:val="22"/>
        </w:rPr>
        <w:t xml:space="preserve"> website</w:t>
      </w:r>
      <w:r w:rsidRPr="0068094B">
        <w:rPr>
          <w:rFonts w:asciiTheme="minorHAnsi" w:hAnsiTheme="minorHAnsi" w:cstheme="minorHAnsi"/>
          <w:sz w:val="22"/>
          <w:szCs w:val="22"/>
          <w:shd w:val="clear" w:color="auto" w:fill="FFFFFF"/>
        </w:rPr>
        <w:t>.</w:t>
      </w:r>
    </w:p>
    <w:p w:rsidR="00871025" w:rsidRDefault="00871025">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rsidR="00422723" w:rsidRPr="00871025" w:rsidRDefault="00422723" w:rsidP="00871025">
      <w:pPr>
        <w:tabs>
          <w:tab w:val="left" w:pos="0"/>
        </w:tabs>
        <w:rPr>
          <w:rFonts w:asciiTheme="minorHAnsi" w:hAnsiTheme="minorHAnsi" w:cstheme="minorHAnsi"/>
          <w:sz w:val="22"/>
          <w:szCs w:val="22"/>
        </w:rPr>
      </w:pPr>
    </w:p>
    <w:p w:rsidR="00422723" w:rsidRDefault="00422723" w:rsidP="007C652F">
      <w:pPr>
        <w:tabs>
          <w:tab w:val="left" w:pos="0"/>
        </w:tabs>
        <w:jc w:val="both"/>
        <w:rPr>
          <w:rFonts w:asciiTheme="minorHAnsi" w:hAnsiTheme="minorHAnsi" w:cstheme="minorHAnsi"/>
          <w:b/>
          <w:bCs/>
          <w:sz w:val="22"/>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Officers’ Remuneration</w:t>
      </w:r>
    </w:p>
    <w:p w:rsidR="00136F70" w:rsidRPr="0068094B" w:rsidRDefault="00136F70" w:rsidP="00136F70">
      <w:pPr>
        <w:pStyle w:val="ListParagraph"/>
        <w:tabs>
          <w:tab w:val="left" w:pos="0"/>
        </w:tabs>
        <w:jc w:val="both"/>
        <w:rPr>
          <w:rFonts w:asciiTheme="minorHAnsi" w:hAnsiTheme="minorHAnsi" w:cstheme="minorHAnsi"/>
          <w:b/>
          <w:bCs/>
          <w:szCs w:val="22"/>
        </w:rPr>
      </w:pPr>
    </w:p>
    <w:p w:rsidR="00136F70" w:rsidRPr="0068094B" w:rsidRDefault="00136F70" w:rsidP="00136F70">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remuneration paid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senior employees is as follows:</w:t>
      </w:r>
    </w:p>
    <w:p w:rsidR="00BD7C0F" w:rsidRPr="0068094B" w:rsidRDefault="00BD7C0F" w:rsidP="00136F70">
      <w:pPr>
        <w:tabs>
          <w:tab w:val="left" w:pos="0"/>
        </w:tabs>
        <w:rPr>
          <w:rFonts w:asciiTheme="minorHAnsi" w:hAnsiTheme="minorHAnsi" w:cstheme="minorHAnsi"/>
          <w:sz w:val="22"/>
          <w:szCs w:val="22"/>
        </w:rPr>
      </w:pPr>
    </w:p>
    <w:tbl>
      <w:tblPr>
        <w:tblStyle w:val="TableGrid"/>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fficers’ Remuneration"/>
      </w:tblPr>
      <w:tblGrid>
        <w:gridCol w:w="2410"/>
        <w:gridCol w:w="851"/>
        <w:gridCol w:w="850"/>
        <w:gridCol w:w="851"/>
        <w:gridCol w:w="709"/>
        <w:gridCol w:w="850"/>
        <w:gridCol w:w="851"/>
        <w:gridCol w:w="992"/>
        <w:gridCol w:w="850"/>
      </w:tblGrid>
      <w:tr w:rsidR="0053208E" w:rsidTr="003B5F7F">
        <w:trPr>
          <w:tblHeader/>
        </w:trPr>
        <w:tc>
          <w:tcPr>
            <w:tcW w:w="2410" w:type="dxa"/>
          </w:tcPr>
          <w:p w:rsidR="00D27159" w:rsidRPr="00DC71E0" w:rsidRDefault="00D27159" w:rsidP="00136F70">
            <w:pPr>
              <w:tabs>
                <w:tab w:val="left" w:pos="0"/>
              </w:tabs>
              <w:rPr>
                <w:rFonts w:asciiTheme="minorHAnsi" w:hAnsiTheme="minorHAnsi" w:cstheme="minorHAnsi"/>
                <w:sz w:val="16"/>
                <w:szCs w:val="16"/>
              </w:rPr>
            </w:pPr>
          </w:p>
        </w:tc>
        <w:tc>
          <w:tcPr>
            <w:tcW w:w="1701" w:type="dxa"/>
            <w:gridSpan w:val="2"/>
            <w:vAlign w:val="center"/>
          </w:tcPr>
          <w:p w:rsidR="00D27159" w:rsidRPr="00EB37FD" w:rsidRDefault="00D27159"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Salary, Fees and Allowances</w:t>
            </w:r>
          </w:p>
          <w:p w:rsidR="00D27159" w:rsidRPr="00EB37FD" w:rsidRDefault="00D27159"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560" w:type="dxa"/>
            <w:gridSpan w:val="2"/>
            <w:vAlign w:val="center"/>
          </w:tcPr>
          <w:p w:rsidR="00D27159" w:rsidRPr="00EB37FD" w:rsidRDefault="00D27159"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Compensation for Loss of Office</w:t>
            </w:r>
          </w:p>
          <w:p w:rsidR="00D27159" w:rsidRPr="00EB37FD" w:rsidRDefault="00D27159"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701" w:type="dxa"/>
            <w:gridSpan w:val="2"/>
            <w:vAlign w:val="center"/>
          </w:tcPr>
          <w:p w:rsidR="00D27159" w:rsidRPr="00EB37FD" w:rsidRDefault="00D27159"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Pension Contribution</w:t>
            </w:r>
          </w:p>
          <w:p w:rsidR="00D27159" w:rsidRPr="00EB37FD" w:rsidRDefault="00D27159"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842" w:type="dxa"/>
            <w:gridSpan w:val="2"/>
            <w:vAlign w:val="center"/>
          </w:tcPr>
          <w:p w:rsidR="00D27159" w:rsidRPr="00EB37FD" w:rsidRDefault="00D27159"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Total</w:t>
            </w:r>
          </w:p>
          <w:p w:rsidR="00D27159" w:rsidRPr="00EB37FD" w:rsidRDefault="00D27159"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r>
      <w:tr w:rsidR="0053208E" w:rsidTr="00FF754F">
        <w:tc>
          <w:tcPr>
            <w:tcW w:w="2410" w:type="dxa"/>
            <w:vAlign w:val="center"/>
          </w:tcPr>
          <w:p w:rsidR="00D27159" w:rsidRPr="0053208E" w:rsidRDefault="00D27159" w:rsidP="00C34A73">
            <w:pPr>
              <w:tabs>
                <w:tab w:val="left" w:pos="0"/>
              </w:tabs>
              <w:rPr>
                <w:rFonts w:asciiTheme="minorHAnsi" w:hAnsiTheme="minorHAnsi" w:cstheme="minorHAnsi"/>
                <w:b/>
                <w:sz w:val="16"/>
                <w:szCs w:val="16"/>
              </w:rPr>
            </w:pPr>
            <w:r w:rsidRPr="0053208E">
              <w:rPr>
                <w:rFonts w:asciiTheme="minorHAnsi" w:hAnsiTheme="minorHAnsi" w:cstheme="minorHAnsi"/>
                <w:b/>
                <w:sz w:val="16"/>
                <w:szCs w:val="16"/>
              </w:rPr>
              <w:t>Post Title</w:t>
            </w:r>
          </w:p>
        </w:tc>
        <w:tc>
          <w:tcPr>
            <w:tcW w:w="851" w:type="dxa"/>
            <w:vAlign w:val="center"/>
          </w:tcPr>
          <w:p w:rsidR="00D27159" w:rsidRPr="0053208E" w:rsidRDefault="00D27159" w:rsidP="00832383">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18-19</w:t>
            </w:r>
          </w:p>
        </w:tc>
        <w:tc>
          <w:tcPr>
            <w:tcW w:w="850" w:type="dxa"/>
            <w:shd w:val="clear" w:color="auto" w:fill="BFBFBF" w:themeFill="background1" w:themeFillShade="BF"/>
            <w:vAlign w:val="center"/>
          </w:tcPr>
          <w:p w:rsidR="00D27159" w:rsidRPr="0053208E" w:rsidRDefault="00D27159" w:rsidP="00007013">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w:t>
            </w:r>
            <w:r w:rsidR="00007013">
              <w:rPr>
                <w:rFonts w:asciiTheme="minorHAnsi" w:hAnsiTheme="minorHAnsi" w:cstheme="minorHAnsi"/>
                <w:b/>
                <w:sz w:val="16"/>
                <w:szCs w:val="16"/>
              </w:rPr>
              <w:t>9</w:t>
            </w:r>
            <w:r w:rsidRPr="0053208E">
              <w:rPr>
                <w:rFonts w:asciiTheme="minorHAnsi" w:hAnsiTheme="minorHAnsi" w:cstheme="minorHAnsi"/>
                <w:b/>
                <w:sz w:val="16"/>
                <w:szCs w:val="16"/>
              </w:rPr>
              <w:t>-</w:t>
            </w:r>
            <w:r w:rsidR="00007013">
              <w:rPr>
                <w:rFonts w:asciiTheme="minorHAnsi" w:hAnsiTheme="minorHAnsi" w:cstheme="minorHAnsi"/>
                <w:b/>
                <w:sz w:val="16"/>
                <w:szCs w:val="16"/>
              </w:rPr>
              <w:t>20</w:t>
            </w:r>
          </w:p>
        </w:tc>
        <w:tc>
          <w:tcPr>
            <w:tcW w:w="851" w:type="dxa"/>
            <w:vAlign w:val="center"/>
          </w:tcPr>
          <w:p w:rsidR="00D27159" w:rsidRPr="0053208E" w:rsidRDefault="00D27159" w:rsidP="00832383">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18-19</w:t>
            </w:r>
          </w:p>
        </w:tc>
        <w:tc>
          <w:tcPr>
            <w:tcW w:w="709" w:type="dxa"/>
            <w:shd w:val="clear" w:color="auto" w:fill="BFBFBF" w:themeFill="background1" w:themeFillShade="BF"/>
            <w:vAlign w:val="center"/>
          </w:tcPr>
          <w:p w:rsidR="00D27159" w:rsidRPr="0053208E" w:rsidRDefault="00D27159" w:rsidP="00007013">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w:t>
            </w:r>
            <w:r w:rsidR="00007013">
              <w:rPr>
                <w:rFonts w:asciiTheme="minorHAnsi" w:hAnsiTheme="minorHAnsi" w:cstheme="minorHAnsi"/>
                <w:b/>
                <w:sz w:val="16"/>
                <w:szCs w:val="16"/>
              </w:rPr>
              <w:t>9</w:t>
            </w:r>
            <w:r w:rsidRPr="0053208E">
              <w:rPr>
                <w:rFonts w:asciiTheme="minorHAnsi" w:hAnsiTheme="minorHAnsi" w:cstheme="minorHAnsi"/>
                <w:b/>
                <w:sz w:val="16"/>
                <w:szCs w:val="16"/>
              </w:rPr>
              <w:t>-</w:t>
            </w:r>
            <w:r w:rsidR="00007013">
              <w:rPr>
                <w:rFonts w:asciiTheme="minorHAnsi" w:hAnsiTheme="minorHAnsi" w:cstheme="minorHAnsi"/>
                <w:b/>
                <w:sz w:val="16"/>
                <w:szCs w:val="16"/>
              </w:rPr>
              <w:t>20</w:t>
            </w:r>
          </w:p>
        </w:tc>
        <w:tc>
          <w:tcPr>
            <w:tcW w:w="850" w:type="dxa"/>
            <w:vAlign w:val="center"/>
          </w:tcPr>
          <w:p w:rsidR="00D27159" w:rsidRPr="0053208E" w:rsidRDefault="00D27159" w:rsidP="00832383">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18-19</w:t>
            </w:r>
          </w:p>
        </w:tc>
        <w:tc>
          <w:tcPr>
            <w:tcW w:w="851" w:type="dxa"/>
            <w:shd w:val="clear" w:color="auto" w:fill="BFBFBF" w:themeFill="background1" w:themeFillShade="BF"/>
            <w:vAlign w:val="center"/>
          </w:tcPr>
          <w:p w:rsidR="00D27159" w:rsidRPr="0053208E" w:rsidRDefault="00D27159" w:rsidP="00007013">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w:t>
            </w:r>
            <w:r w:rsidR="00007013">
              <w:rPr>
                <w:rFonts w:asciiTheme="minorHAnsi" w:hAnsiTheme="minorHAnsi" w:cstheme="minorHAnsi"/>
                <w:b/>
                <w:sz w:val="16"/>
                <w:szCs w:val="16"/>
              </w:rPr>
              <w:t>9</w:t>
            </w:r>
            <w:r w:rsidRPr="0053208E">
              <w:rPr>
                <w:rFonts w:asciiTheme="minorHAnsi" w:hAnsiTheme="minorHAnsi" w:cstheme="minorHAnsi"/>
                <w:b/>
                <w:sz w:val="16"/>
                <w:szCs w:val="16"/>
              </w:rPr>
              <w:t>-</w:t>
            </w:r>
            <w:r w:rsidR="00007013">
              <w:rPr>
                <w:rFonts w:asciiTheme="minorHAnsi" w:hAnsiTheme="minorHAnsi" w:cstheme="minorHAnsi"/>
                <w:b/>
                <w:sz w:val="16"/>
                <w:szCs w:val="16"/>
              </w:rPr>
              <w:t>20</w:t>
            </w:r>
          </w:p>
        </w:tc>
        <w:tc>
          <w:tcPr>
            <w:tcW w:w="992" w:type="dxa"/>
            <w:vAlign w:val="center"/>
          </w:tcPr>
          <w:p w:rsidR="00D27159" w:rsidRPr="0053208E" w:rsidRDefault="00D27159" w:rsidP="00832383">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18-19</w:t>
            </w:r>
          </w:p>
        </w:tc>
        <w:tc>
          <w:tcPr>
            <w:tcW w:w="850" w:type="dxa"/>
            <w:shd w:val="clear" w:color="auto" w:fill="BFBFBF" w:themeFill="background1" w:themeFillShade="BF"/>
            <w:vAlign w:val="center"/>
          </w:tcPr>
          <w:p w:rsidR="00D27159" w:rsidRPr="0053208E" w:rsidRDefault="00D27159" w:rsidP="00007013">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w:t>
            </w:r>
            <w:r w:rsidR="00007013">
              <w:rPr>
                <w:rFonts w:asciiTheme="minorHAnsi" w:hAnsiTheme="minorHAnsi" w:cstheme="minorHAnsi"/>
                <w:b/>
                <w:sz w:val="16"/>
                <w:szCs w:val="16"/>
              </w:rPr>
              <w:t>9</w:t>
            </w:r>
            <w:r w:rsidRPr="0053208E">
              <w:rPr>
                <w:rFonts w:asciiTheme="minorHAnsi" w:hAnsiTheme="minorHAnsi" w:cstheme="minorHAnsi"/>
                <w:b/>
                <w:sz w:val="16"/>
                <w:szCs w:val="16"/>
              </w:rPr>
              <w:t>-</w:t>
            </w:r>
            <w:r w:rsidR="00007013">
              <w:rPr>
                <w:rFonts w:asciiTheme="minorHAnsi" w:hAnsiTheme="minorHAnsi" w:cstheme="minorHAnsi"/>
                <w:b/>
                <w:sz w:val="16"/>
                <w:szCs w:val="16"/>
              </w:rPr>
              <w:t>20</w:t>
            </w:r>
          </w:p>
        </w:tc>
      </w:tr>
      <w:tr w:rsidR="0053208E" w:rsidTr="00FF754F">
        <w:trPr>
          <w:trHeight w:val="353"/>
        </w:trPr>
        <w:tc>
          <w:tcPr>
            <w:tcW w:w="2410" w:type="dxa"/>
            <w:vAlign w:val="center"/>
          </w:tcPr>
          <w:p w:rsidR="0053208E" w:rsidRPr="00DC71E0" w:rsidRDefault="00D27159" w:rsidP="0053208E">
            <w:pPr>
              <w:tabs>
                <w:tab w:val="left" w:pos="0"/>
              </w:tabs>
              <w:rPr>
                <w:rFonts w:asciiTheme="minorHAnsi" w:hAnsiTheme="minorHAnsi" w:cstheme="minorHAnsi"/>
                <w:sz w:val="16"/>
                <w:szCs w:val="16"/>
              </w:rPr>
            </w:pPr>
            <w:r w:rsidRPr="00DC71E0">
              <w:rPr>
                <w:rFonts w:asciiTheme="minorHAnsi" w:hAnsiTheme="minorHAnsi" w:cstheme="minorHAnsi"/>
                <w:sz w:val="16"/>
                <w:szCs w:val="16"/>
              </w:rPr>
              <w:t>Chief Executive</w:t>
            </w:r>
          </w:p>
        </w:tc>
        <w:tc>
          <w:tcPr>
            <w:tcW w:w="851" w:type="dxa"/>
            <w:vAlign w:val="center"/>
          </w:tcPr>
          <w:p w:rsidR="00D27159" w:rsidRPr="00DC71E0" w:rsidRDefault="00DC71E0"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120,119</w:t>
            </w:r>
          </w:p>
        </w:tc>
        <w:tc>
          <w:tcPr>
            <w:tcW w:w="850" w:type="dxa"/>
            <w:shd w:val="clear" w:color="auto" w:fill="BFBFBF" w:themeFill="background1" w:themeFillShade="BF"/>
            <w:vAlign w:val="center"/>
          </w:tcPr>
          <w:p w:rsidR="00D27159" w:rsidRPr="00DC71E0"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122,518</w:t>
            </w:r>
          </w:p>
        </w:tc>
        <w:tc>
          <w:tcPr>
            <w:tcW w:w="851" w:type="dxa"/>
            <w:vAlign w:val="center"/>
          </w:tcPr>
          <w:p w:rsidR="00D27159" w:rsidRPr="00DC71E0" w:rsidRDefault="00B77155"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709" w:type="dxa"/>
            <w:shd w:val="clear" w:color="auto" w:fill="BFBFBF" w:themeFill="background1" w:themeFillShade="BF"/>
            <w:vAlign w:val="center"/>
          </w:tcPr>
          <w:p w:rsidR="00D27159" w:rsidRPr="00DC71E0"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rsidR="00D27159" w:rsidRPr="00DC71E0" w:rsidRDefault="00DC71E0"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24,688</w:t>
            </w:r>
          </w:p>
        </w:tc>
        <w:tc>
          <w:tcPr>
            <w:tcW w:w="851" w:type="dxa"/>
            <w:shd w:val="clear" w:color="auto" w:fill="BFBFBF" w:themeFill="background1" w:themeFillShade="BF"/>
            <w:vAlign w:val="center"/>
          </w:tcPr>
          <w:p w:rsidR="00D27159" w:rsidRPr="00DC71E0"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26,033</w:t>
            </w:r>
          </w:p>
        </w:tc>
        <w:tc>
          <w:tcPr>
            <w:tcW w:w="992" w:type="dxa"/>
            <w:vAlign w:val="center"/>
          </w:tcPr>
          <w:p w:rsidR="00D27159" w:rsidRPr="00DC71E0" w:rsidRDefault="00DC71E0"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144,807</w:t>
            </w:r>
          </w:p>
        </w:tc>
        <w:tc>
          <w:tcPr>
            <w:tcW w:w="850" w:type="dxa"/>
            <w:shd w:val="clear" w:color="auto" w:fill="BFBFBF" w:themeFill="background1" w:themeFillShade="BF"/>
            <w:vAlign w:val="center"/>
          </w:tcPr>
          <w:p w:rsidR="00D27159" w:rsidRPr="00DC71E0"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148,551</w:t>
            </w:r>
          </w:p>
        </w:tc>
      </w:tr>
      <w:tr w:rsidR="003665C4" w:rsidTr="00FF754F">
        <w:trPr>
          <w:trHeight w:val="286"/>
        </w:trPr>
        <w:tc>
          <w:tcPr>
            <w:tcW w:w="2410" w:type="dxa"/>
            <w:vAlign w:val="center"/>
          </w:tcPr>
          <w:p w:rsidR="003665C4" w:rsidRDefault="003665C4" w:rsidP="00C34A73">
            <w:pPr>
              <w:tabs>
                <w:tab w:val="left" w:pos="0"/>
              </w:tabs>
              <w:rPr>
                <w:rFonts w:asciiTheme="minorHAnsi" w:hAnsiTheme="minorHAnsi" w:cstheme="minorHAnsi"/>
                <w:sz w:val="16"/>
                <w:szCs w:val="16"/>
              </w:rPr>
            </w:pPr>
            <w:r w:rsidRPr="00DC71E0">
              <w:rPr>
                <w:rFonts w:asciiTheme="minorHAnsi" w:hAnsiTheme="minorHAnsi"/>
                <w:sz w:val="16"/>
                <w:szCs w:val="16"/>
              </w:rPr>
              <w:t>Exec Director &amp; Deputy Chief Executive</w:t>
            </w:r>
          </w:p>
        </w:tc>
        <w:tc>
          <w:tcPr>
            <w:tcW w:w="851"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96,418</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73,765</w:t>
            </w:r>
          </w:p>
        </w:tc>
        <w:tc>
          <w:tcPr>
            <w:tcW w:w="851"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121,599</w:t>
            </w:r>
          </w:p>
        </w:tc>
        <w:tc>
          <w:tcPr>
            <w:tcW w:w="709" w:type="dxa"/>
            <w:shd w:val="clear" w:color="auto" w:fill="BFBFBF" w:themeFill="background1" w:themeFillShade="BF"/>
            <w:vAlign w:val="center"/>
          </w:tcPr>
          <w:p w:rsidR="003665C4" w:rsidRDefault="007E1A49"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19,788</w:t>
            </w:r>
          </w:p>
        </w:tc>
        <w:tc>
          <w:tcPr>
            <w:tcW w:w="851"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15,653</w:t>
            </w:r>
          </w:p>
        </w:tc>
        <w:tc>
          <w:tcPr>
            <w:tcW w:w="992"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237,805</w:t>
            </w:r>
          </w:p>
        </w:tc>
        <w:tc>
          <w:tcPr>
            <w:tcW w:w="850" w:type="dxa"/>
            <w:shd w:val="clear" w:color="auto" w:fill="BFBFBF" w:themeFill="background1" w:themeFillShade="BF"/>
            <w:vAlign w:val="center"/>
          </w:tcPr>
          <w:p w:rsidR="003665C4" w:rsidRDefault="00FF754F" w:rsidP="00FF754F">
            <w:pPr>
              <w:tabs>
                <w:tab w:val="left" w:pos="0"/>
              </w:tabs>
              <w:jc w:val="right"/>
              <w:rPr>
                <w:rFonts w:asciiTheme="minorHAnsi" w:hAnsiTheme="minorHAnsi" w:cstheme="minorHAnsi"/>
                <w:sz w:val="16"/>
                <w:szCs w:val="16"/>
              </w:rPr>
            </w:pPr>
            <w:r>
              <w:rPr>
                <w:rFonts w:asciiTheme="minorHAnsi" w:hAnsiTheme="minorHAnsi" w:cstheme="minorHAnsi"/>
                <w:sz w:val="16"/>
                <w:szCs w:val="16"/>
              </w:rPr>
              <w:t>89,418</w:t>
            </w:r>
          </w:p>
        </w:tc>
      </w:tr>
      <w:tr w:rsidR="003665C4" w:rsidTr="00FF754F">
        <w:trPr>
          <w:trHeight w:val="286"/>
        </w:trPr>
        <w:tc>
          <w:tcPr>
            <w:tcW w:w="2410" w:type="dxa"/>
            <w:vAlign w:val="center"/>
          </w:tcPr>
          <w:p w:rsidR="003665C4" w:rsidRDefault="003665C4"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Corporate Services / S151 Officer</w:t>
            </w:r>
          </w:p>
        </w:tc>
        <w:tc>
          <w:tcPr>
            <w:tcW w:w="851"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87,742</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90,993</w:t>
            </w:r>
          </w:p>
        </w:tc>
        <w:tc>
          <w:tcPr>
            <w:tcW w:w="851" w:type="dxa"/>
            <w:vAlign w:val="center"/>
          </w:tcPr>
          <w:p w:rsidR="003665C4" w:rsidRPr="00DC71E0" w:rsidRDefault="00B77155"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709"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17,992</w:t>
            </w:r>
          </w:p>
        </w:tc>
        <w:tc>
          <w:tcPr>
            <w:tcW w:w="851"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19,288</w:t>
            </w:r>
          </w:p>
        </w:tc>
        <w:tc>
          <w:tcPr>
            <w:tcW w:w="992"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105,734</w:t>
            </w:r>
          </w:p>
        </w:tc>
        <w:tc>
          <w:tcPr>
            <w:tcW w:w="850" w:type="dxa"/>
            <w:shd w:val="clear" w:color="auto" w:fill="BFBFBF" w:themeFill="background1" w:themeFillShade="BF"/>
            <w:vAlign w:val="center"/>
          </w:tcPr>
          <w:p w:rsidR="003665C4" w:rsidRDefault="00FF754F" w:rsidP="00106029">
            <w:pPr>
              <w:tabs>
                <w:tab w:val="left" w:pos="0"/>
              </w:tabs>
              <w:jc w:val="right"/>
              <w:rPr>
                <w:rFonts w:asciiTheme="minorHAnsi" w:hAnsiTheme="minorHAnsi" w:cstheme="minorHAnsi"/>
                <w:sz w:val="16"/>
                <w:szCs w:val="16"/>
              </w:rPr>
            </w:pPr>
            <w:r>
              <w:rPr>
                <w:rFonts w:asciiTheme="minorHAnsi" w:hAnsiTheme="minorHAnsi" w:cstheme="minorHAnsi"/>
                <w:sz w:val="16"/>
                <w:szCs w:val="16"/>
              </w:rPr>
              <w:t>110,281</w:t>
            </w:r>
          </w:p>
        </w:tc>
      </w:tr>
      <w:tr w:rsidR="003665C4" w:rsidTr="00FF754F">
        <w:trPr>
          <w:trHeight w:val="286"/>
        </w:trPr>
        <w:tc>
          <w:tcPr>
            <w:tcW w:w="2410" w:type="dxa"/>
            <w:vAlign w:val="center"/>
          </w:tcPr>
          <w:p w:rsidR="003665C4" w:rsidRDefault="003665C4"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Growth &amp; Place</w:t>
            </w:r>
          </w:p>
        </w:tc>
        <w:tc>
          <w:tcPr>
            <w:tcW w:w="851"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82,499</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85,605</w:t>
            </w:r>
          </w:p>
        </w:tc>
        <w:tc>
          <w:tcPr>
            <w:tcW w:w="851" w:type="dxa"/>
            <w:vAlign w:val="center"/>
          </w:tcPr>
          <w:p w:rsidR="003665C4" w:rsidRPr="00DC71E0" w:rsidRDefault="00B77155"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709"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16,907</w:t>
            </w:r>
          </w:p>
        </w:tc>
        <w:tc>
          <w:tcPr>
            <w:tcW w:w="851"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18,143</w:t>
            </w:r>
          </w:p>
        </w:tc>
        <w:tc>
          <w:tcPr>
            <w:tcW w:w="992"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99,406</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103,748</w:t>
            </w:r>
          </w:p>
        </w:tc>
      </w:tr>
      <w:tr w:rsidR="003665C4" w:rsidTr="00FF754F">
        <w:trPr>
          <w:trHeight w:val="286"/>
        </w:trPr>
        <w:tc>
          <w:tcPr>
            <w:tcW w:w="2410" w:type="dxa"/>
            <w:vAlign w:val="center"/>
          </w:tcPr>
          <w:p w:rsidR="003665C4" w:rsidRDefault="003665C4"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Housing &amp; Communities Services</w:t>
            </w:r>
          </w:p>
        </w:tc>
        <w:tc>
          <w:tcPr>
            <w:tcW w:w="851"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82,499</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85,605</w:t>
            </w:r>
          </w:p>
        </w:tc>
        <w:tc>
          <w:tcPr>
            <w:tcW w:w="851" w:type="dxa"/>
            <w:vAlign w:val="center"/>
          </w:tcPr>
          <w:p w:rsidR="003665C4" w:rsidRPr="00DC71E0" w:rsidRDefault="00B77155"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709"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16,907</w:t>
            </w:r>
          </w:p>
        </w:tc>
        <w:tc>
          <w:tcPr>
            <w:tcW w:w="851"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18,143</w:t>
            </w:r>
          </w:p>
        </w:tc>
        <w:tc>
          <w:tcPr>
            <w:tcW w:w="992"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99,406</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103,748</w:t>
            </w:r>
          </w:p>
        </w:tc>
      </w:tr>
      <w:tr w:rsidR="003665C4" w:rsidTr="00FF754F">
        <w:trPr>
          <w:trHeight w:val="286"/>
        </w:trPr>
        <w:tc>
          <w:tcPr>
            <w:tcW w:w="2410" w:type="dxa"/>
            <w:vAlign w:val="center"/>
          </w:tcPr>
          <w:p w:rsidR="003665C4" w:rsidRDefault="003665C4"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Planning &amp; the Environment</w:t>
            </w:r>
          </w:p>
        </w:tc>
        <w:tc>
          <w:tcPr>
            <w:tcW w:w="851"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82,425</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85,530</w:t>
            </w:r>
          </w:p>
        </w:tc>
        <w:tc>
          <w:tcPr>
            <w:tcW w:w="851" w:type="dxa"/>
            <w:vAlign w:val="center"/>
          </w:tcPr>
          <w:p w:rsidR="003665C4" w:rsidRPr="00DC71E0" w:rsidRDefault="00B77155"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709"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16,891</w:t>
            </w:r>
          </w:p>
        </w:tc>
        <w:tc>
          <w:tcPr>
            <w:tcW w:w="851"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18,127</w:t>
            </w:r>
          </w:p>
        </w:tc>
        <w:tc>
          <w:tcPr>
            <w:tcW w:w="992"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99,316</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103,657</w:t>
            </w:r>
          </w:p>
        </w:tc>
      </w:tr>
      <w:tr w:rsidR="003665C4" w:rsidTr="00FF754F">
        <w:trPr>
          <w:trHeight w:val="286"/>
        </w:trPr>
        <w:tc>
          <w:tcPr>
            <w:tcW w:w="2410" w:type="dxa"/>
            <w:vAlign w:val="center"/>
          </w:tcPr>
          <w:p w:rsidR="003665C4" w:rsidRDefault="003665C4"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Residents' Services</w:t>
            </w:r>
          </w:p>
        </w:tc>
        <w:tc>
          <w:tcPr>
            <w:tcW w:w="851"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79,191</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12,960</w:t>
            </w:r>
          </w:p>
        </w:tc>
        <w:tc>
          <w:tcPr>
            <w:tcW w:w="851"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192,369</w:t>
            </w:r>
          </w:p>
        </w:tc>
        <w:tc>
          <w:tcPr>
            <w:tcW w:w="709" w:type="dxa"/>
            <w:shd w:val="clear" w:color="auto" w:fill="BFBFBF" w:themeFill="background1" w:themeFillShade="BF"/>
            <w:vAlign w:val="center"/>
          </w:tcPr>
          <w:p w:rsidR="003665C4" w:rsidRDefault="007E1A49"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16,222</w:t>
            </w:r>
          </w:p>
        </w:tc>
        <w:tc>
          <w:tcPr>
            <w:tcW w:w="851"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2,744</w:t>
            </w:r>
          </w:p>
        </w:tc>
        <w:tc>
          <w:tcPr>
            <w:tcW w:w="992" w:type="dxa"/>
            <w:vAlign w:val="center"/>
          </w:tcPr>
          <w:p w:rsidR="003665C4" w:rsidRPr="00DC71E0" w:rsidRDefault="003665C4"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287,782</w:t>
            </w:r>
          </w:p>
        </w:tc>
        <w:tc>
          <w:tcPr>
            <w:tcW w:w="850" w:type="dxa"/>
            <w:shd w:val="clear" w:color="auto" w:fill="BFBFBF" w:themeFill="background1" w:themeFillShade="BF"/>
            <w:vAlign w:val="center"/>
          </w:tcPr>
          <w:p w:rsidR="003665C4" w:rsidRDefault="00FF754F"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15,704</w:t>
            </w:r>
          </w:p>
        </w:tc>
      </w:tr>
      <w:tr w:rsidR="003665C4" w:rsidTr="00FF754F">
        <w:tc>
          <w:tcPr>
            <w:tcW w:w="2410" w:type="dxa"/>
            <w:vAlign w:val="center"/>
          </w:tcPr>
          <w:p w:rsidR="003665C4" w:rsidRPr="00DC71E0" w:rsidRDefault="003665C4" w:rsidP="00C34A73">
            <w:pPr>
              <w:tabs>
                <w:tab w:val="left" w:pos="0"/>
              </w:tabs>
              <w:rPr>
                <w:rFonts w:asciiTheme="minorHAnsi" w:hAnsiTheme="minorHAnsi" w:cstheme="minorHAnsi"/>
                <w:sz w:val="16"/>
                <w:szCs w:val="16"/>
              </w:rPr>
            </w:pPr>
          </w:p>
        </w:tc>
        <w:tc>
          <w:tcPr>
            <w:tcW w:w="851" w:type="dxa"/>
            <w:vAlign w:val="center"/>
          </w:tcPr>
          <w:p w:rsidR="003665C4" w:rsidRPr="00DC71E0" w:rsidRDefault="003665C4" w:rsidP="00BC6EA7">
            <w:pPr>
              <w:tabs>
                <w:tab w:val="left" w:pos="0"/>
              </w:tabs>
              <w:jc w:val="right"/>
              <w:rPr>
                <w:rFonts w:asciiTheme="minorHAnsi" w:hAnsiTheme="minorHAnsi" w:cstheme="minorHAnsi"/>
                <w:b/>
                <w:sz w:val="16"/>
                <w:szCs w:val="16"/>
              </w:rPr>
            </w:pPr>
            <w:r>
              <w:rPr>
                <w:rFonts w:asciiTheme="minorHAnsi" w:hAnsiTheme="minorHAnsi" w:cstheme="minorHAnsi"/>
                <w:b/>
                <w:sz w:val="16"/>
                <w:szCs w:val="16"/>
              </w:rPr>
              <w:t>630,89</w:t>
            </w:r>
            <w:r w:rsidR="00BC6EA7">
              <w:rPr>
                <w:rFonts w:asciiTheme="minorHAnsi" w:hAnsiTheme="minorHAnsi" w:cstheme="minorHAnsi"/>
                <w:b/>
                <w:sz w:val="16"/>
                <w:szCs w:val="16"/>
              </w:rPr>
              <w:t>3</w:t>
            </w:r>
          </w:p>
        </w:tc>
        <w:tc>
          <w:tcPr>
            <w:tcW w:w="850" w:type="dxa"/>
            <w:shd w:val="clear" w:color="auto" w:fill="BFBFBF" w:themeFill="background1" w:themeFillShade="BF"/>
            <w:vAlign w:val="center"/>
          </w:tcPr>
          <w:p w:rsidR="003665C4" w:rsidRPr="00DC71E0" w:rsidRDefault="00FF754F" w:rsidP="00FF754F">
            <w:pPr>
              <w:tabs>
                <w:tab w:val="left" w:pos="0"/>
              </w:tabs>
              <w:jc w:val="right"/>
              <w:rPr>
                <w:rFonts w:asciiTheme="minorHAnsi" w:hAnsiTheme="minorHAnsi" w:cstheme="minorHAnsi"/>
                <w:b/>
                <w:sz w:val="16"/>
                <w:szCs w:val="16"/>
              </w:rPr>
            </w:pPr>
            <w:r>
              <w:rPr>
                <w:rFonts w:asciiTheme="minorHAnsi" w:hAnsiTheme="minorHAnsi" w:cstheme="minorHAnsi"/>
                <w:b/>
                <w:sz w:val="16"/>
                <w:szCs w:val="16"/>
              </w:rPr>
              <w:t>556,976</w:t>
            </w:r>
          </w:p>
        </w:tc>
        <w:tc>
          <w:tcPr>
            <w:tcW w:w="851" w:type="dxa"/>
            <w:vAlign w:val="center"/>
          </w:tcPr>
          <w:p w:rsidR="003665C4" w:rsidRPr="00DC71E0" w:rsidRDefault="003665C4" w:rsidP="00832383">
            <w:pPr>
              <w:tabs>
                <w:tab w:val="left" w:pos="0"/>
              </w:tabs>
              <w:jc w:val="right"/>
              <w:rPr>
                <w:rFonts w:asciiTheme="minorHAnsi" w:hAnsiTheme="minorHAnsi" w:cstheme="minorHAnsi"/>
                <w:b/>
                <w:sz w:val="16"/>
                <w:szCs w:val="16"/>
              </w:rPr>
            </w:pPr>
            <w:r>
              <w:rPr>
                <w:rFonts w:asciiTheme="minorHAnsi" w:hAnsiTheme="minorHAnsi" w:cstheme="minorHAnsi"/>
                <w:b/>
                <w:sz w:val="16"/>
                <w:szCs w:val="16"/>
              </w:rPr>
              <w:t>313,968</w:t>
            </w:r>
          </w:p>
        </w:tc>
        <w:tc>
          <w:tcPr>
            <w:tcW w:w="709" w:type="dxa"/>
            <w:shd w:val="clear" w:color="auto" w:fill="BFBFBF" w:themeFill="background1" w:themeFillShade="BF"/>
            <w:vAlign w:val="center"/>
          </w:tcPr>
          <w:p w:rsidR="003665C4" w:rsidRPr="00DC71E0" w:rsidRDefault="003665C4" w:rsidP="00832383">
            <w:pPr>
              <w:tabs>
                <w:tab w:val="left" w:pos="0"/>
              </w:tabs>
              <w:jc w:val="right"/>
              <w:rPr>
                <w:rFonts w:asciiTheme="minorHAnsi" w:hAnsiTheme="minorHAnsi" w:cstheme="minorHAnsi"/>
                <w:b/>
                <w:sz w:val="16"/>
                <w:szCs w:val="16"/>
              </w:rPr>
            </w:pPr>
          </w:p>
        </w:tc>
        <w:tc>
          <w:tcPr>
            <w:tcW w:w="850" w:type="dxa"/>
            <w:vAlign w:val="center"/>
          </w:tcPr>
          <w:p w:rsidR="003665C4" w:rsidRPr="00DC71E0" w:rsidRDefault="003665C4" w:rsidP="00BC6EA7">
            <w:pPr>
              <w:tabs>
                <w:tab w:val="left" w:pos="0"/>
              </w:tabs>
              <w:jc w:val="right"/>
              <w:rPr>
                <w:rFonts w:asciiTheme="minorHAnsi" w:hAnsiTheme="minorHAnsi" w:cstheme="minorHAnsi"/>
                <w:b/>
                <w:sz w:val="16"/>
                <w:szCs w:val="16"/>
              </w:rPr>
            </w:pPr>
            <w:r>
              <w:rPr>
                <w:rFonts w:asciiTheme="minorHAnsi" w:hAnsiTheme="minorHAnsi" w:cstheme="minorHAnsi"/>
                <w:b/>
                <w:sz w:val="16"/>
                <w:szCs w:val="16"/>
              </w:rPr>
              <w:t>129,39</w:t>
            </w:r>
            <w:r w:rsidR="00BC6EA7">
              <w:rPr>
                <w:rFonts w:asciiTheme="minorHAnsi" w:hAnsiTheme="minorHAnsi" w:cstheme="minorHAnsi"/>
                <w:b/>
                <w:sz w:val="16"/>
                <w:szCs w:val="16"/>
              </w:rPr>
              <w:t>5</w:t>
            </w:r>
          </w:p>
        </w:tc>
        <w:tc>
          <w:tcPr>
            <w:tcW w:w="851" w:type="dxa"/>
            <w:shd w:val="clear" w:color="auto" w:fill="BFBFBF" w:themeFill="background1" w:themeFillShade="BF"/>
            <w:vAlign w:val="center"/>
          </w:tcPr>
          <w:p w:rsidR="003665C4" w:rsidRPr="00DC71E0" w:rsidRDefault="00FF754F" w:rsidP="00832383">
            <w:pPr>
              <w:tabs>
                <w:tab w:val="left" w:pos="0"/>
              </w:tabs>
              <w:jc w:val="right"/>
              <w:rPr>
                <w:rFonts w:asciiTheme="minorHAnsi" w:hAnsiTheme="minorHAnsi" w:cstheme="minorHAnsi"/>
                <w:b/>
                <w:sz w:val="16"/>
                <w:szCs w:val="16"/>
              </w:rPr>
            </w:pPr>
            <w:r>
              <w:rPr>
                <w:rFonts w:asciiTheme="minorHAnsi" w:hAnsiTheme="minorHAnsi" w:cstheme="minorHAnsi"/>
                <w:b/>
                <w:sz w:val="16"/>
                <w:szCs w:val="16"/>
              </w:rPr>
              <w:t>118,131</w:t>
            </w:r>
          </w:p>
        </w:tc>
        <w:tc>
          <w:tcPr>
            <w:tcW w:w="992" w:type="dxa"/>
            <w:vAlign w:val="center"/>
          </w:tcPr>
          <w:p w:rsidR="003665C4" w:rsidRPr="00DC71E0" w:rsidRDefault="003665C4" w:rsidP="00BC6EA7">
            <w:pPr>
              <w:tabs>
                <w:tab w:val="left" w:pos="0"/>
              </w:tabs>
              <w:jc w:val="right"/>
              <w:rPr>
                <w:rFonts w:asciiTheme="minorHAnsi" w:hAnsiTheme="minorHAnsi" w:cstheme="minorHAnsi"/>
                <w:b/>
                <w:sz w:val="16"/>
                <w:szCs w:val="16"/>
              </w:rPr>
            </w:pPr>
            <w:r>
              <w:rPr>
                <w:rFonts w:asciiTheme="minorHAnsi" w:hAnsiTheme="minorHAnsi" w:cstheme="minorHAnsi"/>
                <w:b/>
                <w:sz w:val="16"/>
                <w:szCs w:val="16"/>
              </w:rPr>
              <w:t>1,074,25</w:t>
            </w:r>
            <w:r w:rsidR="00BC6EA7">
              <w:rPr>
                <w:rFonts w:asciiTheme="minorHAnsi" w:hAnsiTheme="minorHAnsi" w:cstheme="minorHAnsi"/>
                <w:b/>
                <w:sz w:val="16"/>
                <w:szCs w:val="16"/>
              </w:rPr>
              <w:t>6</w:t>
            </w:r>
          </w:p>
        </w:tc>
        <w:tc>
          <w:tcPr>
            <w:tcW w:w="850" w:type="dxa"/>
            <w:shd w:val="clear" w:color="auto" w:fill="BFBFBF" w:themeFill="background1" w:themeFillShade="BF"/>
            <w:vAlign w:val="center"/>
          </w:tcPr>
          <w:p w:rsidR="003665C4" w:rsidRPr="00DC71E0" w:rsidRDefault="00FF754F" w:rsidP="00FF754F">
            <w:pPr>
              <w:tabs>
                <w:tab w:val="left" w:pos="0"/>
              </w:tabs>
              <w:jc w:val="right"/>
              <w:rPr>
                <w:rFonts w:asciiTheme="minorHAnsi" w:hAnsiTheme="minorHAnsi" w:cstheme="minorHAnsi"/>
                <w:b/>
                <w:sz w:val="16"/>
                <w:szCs w:val="16"/>
              </w:rPr>
            </w:pPr>
            <w:r>
              <w:rPr>
                <w:rFonts w:asciiTheme="minorHAnsi" w:hAnsiTheme="minorHAnsi" w:cstheme="minorHAnsi"/>
                <w:b/>
                <w:sz w:val="16"/>
                <w:szCs w:val="16"/>
              </w:rPr>
              <w:t>675,107</w:t>
            </w:r>
          </w:p>
        </w:tc>
      </w:tr>
    </w:tbl>
    <w:p w:rsidR="00727438" w:rsidRDefault="00727438" w:rsidP="00136F70">
      <w:pPr>
        <w:tabs>
          <w:tab w:val="left" w:pos="0"/>
        </w:tabs>
        <w:rPr>
          <w:rFonts w:asciiTheme="minorHAnsi" w:hAnsiTheme="minorHAnsi" w:cstheme="minorHAnsi"/>
          <w:sz w:val="22"/>
          <w:szCs w:val="22"/>
        </w:rPr>
      </w:pPr>
    </w:p>
    <w:p w:rsidR="00422723" w:rsidRDefault="00422723" w:rsidP="00136F70">
      <w:pPr>
        <w:tabs>
          <w:tab w:val="left" w:pos="0"/>
        </w:tabs>
        <w:rPr>
          <w:rFonts w:asciiTheme="minorHAnsi" w:hAnsiTheme="minorHAnsi" w:cstheme="minorHAnsi"/>
          <w:sz w:val="22"/>
          <w:szCs w:val="22"/>
        </w:rPr>
      </w:pPr>
    </w:p>
    <w:p w:rsidR="00136F70" w:rsidRDefault="00136F70" w:rsidP="00136F70">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employees, including the senior officers separately disclosed, as receiving more than £50,000 remuneration for the year (excluding employer’s pension contributions) were paid the following amounts:</w:t>
      </w:r>
    </w:p>
    <w:p w:rsidR="002A6B9B" w:rsidRPr="0068094B" w:rsidRDefault="002A6B9B" w:rsidP="00136F70">
      <w:pPr>
        <w:tabs>
          <w:tab w:val="left" w:pos="0"/>
        </w:tabs>
        <w:rPr>
          <w:rFonts w:asciiTheme="minorHAnsi" w:hAnsiTheme="minorHAnsi" w:cstheme="minorHAnsi"/>
          <w:sz w:val="22"/>
          <w:szCs w:val="22"/>
        </w:rPr>
      </w:pPr>
    </w:p>
    <w:p w:rsidR="000A671A" w:rsidRDefault="00251E12" w:rsidP="00080FCC">
      <w:pPr>
        <w:tabs>
          <w:tab w:val="left" w:pos="0"/>
        </w:tabs>
        <w:jc w:val="both"/>
        <w:rPr>
          <w:rFonts w:asciiTheme="minorHAnsi" w:hAnsiTheme="minorHAnsi" w:cstheme="minorHAnsi"/>
          <w:bCs/>
          <w:sz w:val="22"/>
          <w:szCs w:val="22"/>
        </w:rPr>
      </w:pPr>
      <w:r>
        <w:rPr>
          <w:noProof/>
          <w:lang w:eastAsia="en-GB"/>
        </w:rPr>
        <w:drawing>
          <wp:inline distT="0" distB="0" distL="0" distR="0" wp14:anchorId="6DFD2420" wp14:editId="6D3AA31F">
            <wp:extent cx="4562475" cy="3419475"/>
            <wp:effectExtent l="0" t="0" r="9525" b="9525"/>
            <wp:docPr id="1" name="Chart 1" title="Officers’ Remuneratio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A671A" w:rsidRDefault="000A671A" w:rsidP="00080FCC">
      <w:pPr>
        <w:tabs>
          <w:tab w:val="left" w:pos="0"/>
        </w:tabs>
        <w:jc w:val="both"/>
        <w:rPr>
          <w:rFonts w:asciiTheme="minorHAnsi" w:hAnsiTheme="minorHAnsi" w:cstheme="minorHAnsi"/>
          <w:bCs/>
          <w:sz w:val="22"/>
          <w:szCs w:val="22"/>
        </w:rPr>
      </w:pPr>
    </w:p>
    <w:p w:rsidR="00871025" w:rsidRDefault="00080FCC" w:rsidP="00871025">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Salary range bandings that are zero for both financial years have been omitted.</w:t>
      </w:r>
    </w:p>
    <w:p w:rsidR="00422723" w:rsidRDefault="00871025" w:rsidP="00871025">
      <w:pPr>
        <w:widowControl/>
        <w:suppressAutoHyphens w:val="0"/>
        <w:rPr>
          <w:rFonts w:asciiTheme="minorHAnsi" w:hAnsiTheme="minorHAnsi" w:cstheme="minorHAnsi"/>
          <w:bCs/>
          <w:sz w:val="22"/>
          <w:szCs w:val="22"/>
        </w:rPr>
      </w:pPr>
      <w:r>
        <w:rPr>
          <w:rFonts w:asciiTheme="minorHAnsi" w:hAnsiTheme="minorHAnsi" w:cstheme="minorHAnsi"/>
          <w:bCs/>
          <w:sz w:val="22"/>
          <w:szCs w:val="22"/>
        </w:rPr>
        <w:br w:type="page"/>
      </w:r>
    </w:p>
    <w:p w:rsidR="00136F70" w:rsidRPr="0068094B" w:rsidRDefault="00136F70" w:rsidP="008451B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lastRenderedPageBreak/>
        <w:t>The number of exit packages with total cost per band and total cost of the compulsory and other redundancies are set out in the table below:</w:t>
      </w:r>
    </w:p>
    <w:p w:rsidR="00874F26" w:rsidRPr="0068094B" w:rsidRDefault="00874F26" w:rsidP="00874F26">
      <w:pPr>
        <w:tabs>
          <w:tab w:val="left" w:pos="0"/>
        </w:tabs>
        <w:jc w:val="both"/>
        <w:rPr>
          <w:rFonts w:asciiTheme="minorHAnsi" w:hAnsiTheme="minorHAnsi" w:cstheme="minorHAnsi"/>
          <w:bCs/>
          <w:sz w:val="22"/>
          <w:szCs w:val="22"/>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xit package costs"/>
      </w:tblPr>
      <w:tblGrid>
        <w:gridCol w:w="1985"/>
        <w:gridCol w:w="992"/>
        <w:gridCol w:w="992"/>
        <w:gridCol w:w="992"/>
        <w:gridCol w:w="993"/>
        <w:gridCol w:w="992"/>
        <w:gridCol w:w="992"/>
        <w:gridCol w:w="1134"/>
        <w:gridCol w:w="1134"/>
      </w:tblGrid>
      <w:tr w:rsidR="00874F26" w:rsidRPr="001667A9" w:rsidTr="003B5F7F">
        <w:trPr>
          <w:trHeight w:val="672"/>
          <w:tblHeader/>
          <w:jc w:val="center"/>
        </w:trPr>
        <w:tc>
          <w:tcPr>
            <w:tcW w:w="1985" w:type="dxa"/>
            <w:vMerge w:val="restart"/>
          </w:tcPr>
          <w:p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Exit package cost band (including special payments)</w:t>
            </w:r>
          </w:p>
        </w:tc>
        <w:tc>
          <w:tcPr>
            <w:tcW w:w="1984" w:type="dxa"/>
            <w:gridSpan w:val="2"/>
          </w:tcPr>
          <w:p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Number of compulsory redundancies</w:t>
            </w:r>
          </w:p>
        </w:tc>
        <w:tc>
          <w:tcPr>
            <w:tcW w:w="1985" w:type="dxa"/>
            <w:gridSpan w:val="2"/>
          </w:tcPr>
          <w:p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Number of other departures agreed</w:t>
            </w:r>
          </w:p>
        </w:tc>
        <w:tc>
          <w:tcPr>
            <w:tcW w:w="1984" w:type="dxa"/>
            <w:gridSpan w:val="2"/>
          </w:tcPr>
          <w:p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Total number of exit packages by cost band</w:t>
            </w:r>
          </w:p>
        </w:tc>
        <w:tc>
          <w:tcPr>
            <w:tcW w:w="2268" w:type="dxa"/>
            <w:gridSpan w:val="2"/>
          </w:tcPr>
          <w:p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Total cost of exit packages in each band</w:t>
            </w:r>
          </w:p>
        </w:tc>
      </w:tr>
      <w:tr w:rsidR="00874F26" w:rsidRPr="001667A9" w:rsidTr="003B5F7F">
        <w:trPr>
          <w:tblHeader/>
          <w:jc w:val="center"/>
        </w:trPr>
        <w:tc>
          <w:tcPr>
            <w:tcW w:w="1985" w:type="dxa"/>
            <w:vMerge/>
            <w:vAlign w:val="center"/>
          </w:tcPr>
          <w:p w:rsidR="00874F26" w:rsidRPr="001667A9" w:rsidRDefault="00874F26" w:rsidP="00A70078">
            <w:pPr>
              <w:tabs>
                <w:tab w:val="left" w:pos="0"/>
              </w:tabs>
              <w:jc w:val="center"/>
              <w:rPr>
                <w:rFonts w:asciiTheme="minorHAnsi" w:hAnsiTheme="minorHAnsi" w:cstheme="minorHAnsi"/>
                <w:b/>
                <w:bCs/>
                <w:sz w:val="20"/>
              </w:rPr>
            </w:pPr>
          </w:p>
        </w:tc>
        <w:tc>
          <w:tcPr>
            <w:tcW w:w="992" w:type="dxa"/>
            <w:vAlign w:val="center"/>
          </w:tcPr>
          <w:p w:rsidR="00874F26" w:rsidRPr="001667A9" w:rsidRDefault="00874F26" w:rsidP="007E1A49">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7E1A49">
              <w:rPr>
                <w:rFonts w:asciiTheme="minorHAnsi" w:hAnsiTheme="minorHAnsi" w:cstheme="minorHAnsi"/>
                <w:b/>
                <w:bCs/>
                <w:sz w:val="20"/>
              </w:rPr>
              <w:t>8</w:t>
            </w:r>
            <w:r w:rsidRPr="001667A9">
              <w:rPr>
                <w:rFonts w:asciiTheme="minorHAnsi" w:hAnsiTheme="minorHAnsi" w:cstheme="minorHAnsi"/>
                <w:b/>
                <w:bCs/>
                <w:sz w:val="20"/>
              </w:rPr>
              <w:t>-1</w:t>
            </w:r>
            <w:r w:rsidR="007E1A49">
              <w:rPr>
                <w:rFonts w:asciiTheme="minorHAnsi" w:hAnsiTheme="minorHAnsi" w:cstheme="minorHAnsi"/>
                <w:b/>
                <w:bCs/>
                <w:sz w:val="20"/>
              </w:rPr>
              <w:t>9</w:t>
            </w:r>
          </w:p>
        </w:tc>
        <w:tc>
          <w:tcPr>
            <w:tcW w:w="992" w:type="dxa"/>
            <w:shd w:val="clear" w:color="auto" w:fill="D9D9D9" w:themeFill="background1" w:themeFillShade="D9"/>
            <w:vAlign w:val="center"/>
          </w:tcPr>
          <w:p w:rsidR="00874F26" w:rsidRPr="001667A9" w:rsidRDefault="005D0FAE" w:rsidP="009D25E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Pr>
                <w:rFonts w:asciiTheme="minorHAnsi" w:hAnsiTheme="minorHAnsi" w:cstheme="minorHAnsi"/>
                <w:b/>
                <w:bCs/>
                <w:sz w:val="20"/>
              </w:rPr>
              <w:t>9</w:t>
            </w:r>
            <w:r w:rsidRPr="001667A9">
              <w:rPr>
                <w:rFonts w:asciiTheme="minorHAnsi" w:hAnsiTheme="minorHAnsi" w:cstheme="minorHAnsi"/>
                <w:b/>
                <w:bCs/>
                <w:sz w:val="20"/>
              </w:rPr>
              <w:t>-</w:t>
            </w:r>
            <w:r>
              <w:rPr>
                <w:rFonts w:asciiTheme="minorHAnsi" w:hAnsiTheme="minorHAnsi" w:cstheme="minorHAnsi"/>
                <w:b/>
                <w:bCs/>
                <w:sz w:val="20"/>
              </w:rPr>
              <w:t>20</w:t>
            </w:r>
          </w:p>
        </w:tc>
        <w:tc>
          <w:tcPr>
            <w:tcW w:w="992" w:type="dxa"/>
            <w:vAlign w:val="center"/>
          </w:tcPr>
          <w:p w:rsidR="00874F26" w:rsidRPr="001667A9" w:rsidRDefault="00874F26" w:rsidP="007E1A49">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7E1A49">
              <w:rPr>
                <w:rFonts w:asciiTheme="minorHAnsi" w:hAnsiTheme="minorHAnsi" w:cstheme="minorHAnsi"/>
                <w:b/>
                <w:bCs/>
                <w:sz w:val="20"/>
              </w:rPr>
              <w:t>8</w:t>
            </w:r>
            <w:r w:rsidRPr="001667A9">
              <w:rPr>
                <w:rFonts w:asciiTheme="minorHAnsi" w:hAnsiTheme="minorHAnsi" w:cstheme="minorHAnsi"/>
                <w:b/>
                <w:bCs/>
                <w:sz w:val="20"/>
              </w:rPr>
              <w:t>-1</w:t>
            </w:r>
            <w:r w:rsidR="007E1A49">
              <w:rPr>
                <w:rFonts w:asciiTheme="minorHAnsi" w:hAnsiTheme="minorHAnsi" w:cstheme="minorHAnsi"/>
                <w:b/>
                <w:bCs/>
                <w:sz w:val="20"/>
              </w:rPr>
              <w:t>9</w:t>
            </w:r>
          </w:p>
        </w:tc>
        <w:tc>
          <w:tcPr>
            <w:tcW w:w="993" w:type="dxa"/>
            <w:shd w:val="clear" w:color="auto" w:fill="D9D9D9" w:themeFill="background1" w:themeFillShade="D9"/>
            <w:vAlign w:val="center"/>
          </w:tcPr>
          <w:p w:rsidR="00874F26" w:rsidRPr="001667A9" w:rsidRDefault="00874F26" w:rsidP="007E1A49">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7E1A49">
              <w:rPr>
                <w:rFonts w:asciiTheme="minorHAnsi" w:hAnsiTheme="minorHAnsi" w:cstheme="minorHAnsi"/>
                <w:b/>
                <w:bCs/>
                <w:sz w:val="20"/>
              </w:rPr>
              <w:t>9</w:t>
            </w:r>
            <w:r w:rsidRPr="001667A9">
              <w:rPr>
                <w:rFonts w:asciiTheme="minorHAnsi" w:hAnsiTheme="minorHAnsi" w:cstheme="minorHAnsi"/>
                <w:b/>
                <w:bCs/>
                <w:sz w:val="20"/>
              </w:rPr>
              <w:t>-</w:t>
            </w:r>
            <w:r w:rsidR="007E1A49">
              <w:rPr>
                <w:rFonts w:asciiTheme="minorHAnsi" w:hAnsiTheme="minorHAnsi" w:cstheme="minorHAnsi"/>
                <w:b/>
                <w:bCs/>
                <w:sz w:val="20"/>
              </w:rPr>
              <w:t>20</w:t>
            </w:r>
          </w:p>
        </w:tc>
        <w:tc>
          <w:tcPr>
            <w:tcW w:w="992" w:type="dxa"/>
            <w:vAlign w:val="center"/>
          </w:tcPr>
          <w:p w:rsidR="00874F26" w:rsidRPr="001667A9" w:rsidRDefault="00874F26" w:rsidP="007E1A49">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7E1A49">
              <w:rPr>
                <w:rFonts w:asciiTheme="minorHAnsi" w:hAnsiTheme="minorHAnsi" w:cstheme="minorHAnsi"/>
                <w:b/>
                <w:bCs/>
                <w:sz w:val="20"/>
              </w:rPr>
              <w:t>8</w:t>
            </w:r>
            <w:r w:rsidRPr="001667A9">
              <w:rPr>
                <w:rFonts w:asciiTheme="minorHAnsi" w:hAnsiTheme="minorHAnsi" w:cstheme="minorHAnsi"/>
                <w:b/>
                <w:bCs/>
                <w:sz w:val="20"/>
              </w:rPr>
              <w:t>-1</w:t>
            </w:r>
            <w:r w:rsidR="007E1A49">
              <w:rPr>
                <w:rFonts w:asciiTheme="minorHAnsi" w:hAnsiTheme="minorHAnsi" w:cstheme="minorHAnsi"/>
                <w:b/>
                <w:bCs/>
                <w:sz w:val="20"/>
              </w:rPr>
              <w:t>9</w:t>
            </w:r>
          </w:p>
        </w:tc>
        <w:tc>
          <w:tcPr>
            <w:tcW w:w="992" w:type="dxa"/>
            <w:shd w:val="clear" w:color="auto" w:fill="D9D9D9" w:themeFill="background1" w:themeFillShade="D9"/>
            <w:vAlign w:val="center"/>
          </w:tcPr>
          <w:p w:rsidR="00874F26" w:rsidRPr="001667A9" w:rsidRDefault="00874F26" w:rsidP="007E1A49">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7E1A49">
              <w:rPr>
                <w:rFonts w:asciiTheme="minorHAnsi" w:hAnsiTheme="minorHAnsi" w:cstheme="minorHAnsi"/>
                <w:b/>
                <w:bCs/>
                <w:sz w:val="20"/>
              </w:rPr>
              <w:t>9</w:t>
            </w:r>
            <w:r w:rsidRPr="001667A9">
              <w:rPr>
                <w:rFonts w:asciiTheme="minorHAnsi" w:hAnsiTheme="minorHAnsi" w:cstheme="minorHAnsi"/>
                <w:b/>
                <w:bCs/>
                <w:sz w:val="20"/>
              </w:rPr>
              <w:t>-</w:t>
            </w:r>
            <w:r w:rsidR="007E1A49">
              <w:rPr>
                <w:rFonts w:asciiTheme="minorHAnsi" w:hAnsiTheme="minorHAnsi" w:cstheme="minorHAnsi"/>
                <w:b/>
                <w:bCs/>
                <w:sz w:val="20"/>
              </w:rPr>
              <w:t>20</w:t>
            </w:r>
          </w:p>
        </w:tc>
        <w:tc>
          <w:tcPr>
            <w:tcW w:w="1134" w:type="dxa"/>
            <w:vAlign w:val="center"/>
          </w:tcPr>
          <w:p w:rsidR="00874F26" w:rsidRPr="001667A9" w:rsidRDefault="00874F26" w:rsidP="007E1A49">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7E1A49">
              <w:rPr>
                <w:rFonts w:asciiTheme="minorHAnsi" w:hAnsiTheme="minorHAnsi" w:cstheme="minorHAnsi"/>
                <w:b/>
                <w:bCs/>
                <w:sz w:val="20"/>
              </w:rPr>
              <w:t>8</w:t>
            </w:r>
            <w:r w:rsidRPr="001667A9">
              <w:rPr>
                <w:rFonts w:asciiTheme="minorHAnsi" w:hAnsiTheme="minorHAnsi" w:cstheme="minorHAnsi"/>
                <w:b/>
                <w:bCs/>
                <w:sz w:val="20"/>
              </w:rPr>
              <w:t>-1</w:t>
            </w:r>
            <w:r w:rsidR="007E1A49">
              <w:rPr>
                <w:rFonts w:asciiTheme="minorHAnsi" w:hAnsiTheme="minorHAnsi" w:cstheme="minorHAnsi"/>
                <w:b/>
                <w:bCs/>
                <w:sz w:val="20"/>
              </w:rPr>
              <w:t>9</w:t>
            </w:r>
          </w:p>
        </w:tc>
        <w:tc>
          <w:tcPr>
            <w:tcW w:w="1134" w:type="dxa"/>
            <w:shd w:val="clear" w:color="auto" w:fill="D9D9D9" w:themeFill="background1" w:themeFillShade="D9"/>
            <w:vAlign w:val="center"/>
          </w:tcPr>
          <w:p w:rsidR="00874F26" w:rsidRPr="001667A9" w:rsidRDefault="00874F26" w:rsidP="007E1A49">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7E1A49">
              <w:rPr>
                <w:rFonts w:asciiTheme="minorHAnsi" w:hAnsiTheme="minorHAnsi" w:cstheme="minorHAnsi"/>
                <w:b/>
                <w:bCs/>
                <w:sz w:val="20"/>
              </w:rPr>
              <w:t>9</w:t>
            </w:r>
            <w:r w:rsidRPr="001667A9">
              <w:rPr>
                <w:rFonts w:asciiTheme="minorHAnsi" w:hAnsiTheme="minorHAnsi" w:cstheme="minorHAnsi"/>
                <w:b/>
                <w:bCs/>
                <w:sz w:val="20"/>
              </w:rPr>
              <w:t>-</w:t>
            </w:r>
            <w:r w:rsidR="007E1A49">
              <w:rPr>
                <w:rFonts w:asciiTheme="minorHAnsi" w:hAnsiTheme="minorHAnsi" w:cstheme="minorHAnsi"/>
                <w:b/>
                <w:bCs/>
                <w:sz w:val="20"/>
              </w:rPr>
              <w:t>20</w:t>
            </w:r>
          </w:p>
        </w:tc>
      </w:tr>
      <w:tr w:rsidR="00874F26" w:rsidRPr="001667A9" w:rsidTr="003B5F7F">
        <w:trPr>
          <w:trHeight w:val="284"/>
          <w:jc w:val="center"/>
        </w:trPr>
        <w:tc>
          <w:tcPr>
            <w:tcW w:w="1985" w:type="dxa"/>
            <w:tcBorders>
              <w:bottom w:val="single" w:sz="4" w:space="0" w:color="auto"/>
            </w:tcBorders>
            <w:vAlign w:val="center"/>
          </w:tcPr>
          <w:p w:rsidR="00874F26" w:rsidRPr="001667A9" w:rsidRDefault="00874F26" w:rsidP="00A70078">
            <w:pPr>
              <w:tabs>
                <w:tab w:val="left" w:pos="0"/>
              </w:tabs>
              <w:jc w:val="center"/>
              <w:rPr>
                <w:rFonts w:asciiTheme="minorHAnsi" w:hAnsiTheme="minorHAnsi" w:cstheme="minorHAnsi"/>
                <w:b/>
                <w:bCs/>
                <w:sz w:val="20"/>
              </w:rPr>
            </w:pPr>
          </w:p>
        </w:tc>
        <w:tc>
          <w:tcPr>
            <w:tcW w:w="992" w:type="dxa"/>
            <w:tcBorders>
              <w:bottom w:val="single" w:sz="4" w:space="0" w:color="auto"/>
            </w:tcBorders>
            <w:vAlign w:val="center"/>
          </w:tcPr>
          <w:p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vAlign w:val="center"/>
          </w:tcPr>
          <w:p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3" w:type="dxa"/>
            <w:tcBorders>
              <w:bottom w:val="single" w:sz="4" w:space="0" w:color="auto"/>
            </w:tcBorders>
            <w:shd w:val="clear" w:color="auto" w:fill="D9D9D9" w:themeFill="background1" w:themeFillShade="D9"/>
            <w:vAlign w:val="center"/>
          </w:tcPr>
          <w:p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vAlign w:val="center"/>
          </w:tcPr>
          <w:p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1134" w:type="dxa"/>
            <w:tcBorders>
              <w:bottom w:val="single" w:sz="4" w:space="0" w:color="auto"/>
            </w:tcBorders>
            <w:vAlign w:val="center"/>
          </w:tcPr>
          <w:p w:rsidR="00874F26" w:rsidRPr="001667A9" w:rsidRDefault="00874F26" w:rsidP="00A7007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w:t>
            </w:r>
          </w:p>
        </w:tc>
        <w:tc>
          <w:tcPr>
            <w:tcW w:w="1134" w:type="dxa"/>
            <w:tcBorders>
              <w:bottom w:val="single" w:sz="4" w:space="0" w:color="auto"/>
            </w:tcBorders>
            <w:shd w:val="clear" w:color="auto" w:fill="D9D9D9" w:themeFill="background1" w:themeFillShade="D9"/>
            <w:vAlign w:val="center"/>
          </w:tcPr>
          <w:p w:rsidR="00874F26" w:rsidRPr="001667A9" w:rsidRDefault="00874F26" w:rsidP="00A7007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w:t>
            </w:r>
          </w:p>
        </w:tc>
      </w:tr>
      <w:tr w:rsidR="007E1A49" w:rsidRPr="001667A9" w:rsidTr="003B5F7F">
        <w:trPr>
          <w:trHeight w:val="284"/>
          <w:jc w:val="center"/>
        </w:trPr>
        <w:tc>
          <w:tcPr>
            <w:tcW w:w="1985" w:type="dxa"/>
            <w:tcBorders>
              <w:top w:val="single" w:sz="4" w:space="0" w:color="auto"/>
            </w:tcBorders>
            <w:vAlign w:val="center"/>
          </w:tcPr>
          <w:p w:rsidR="007E1A49" w:rsidRPr="001667A9" w:rsidRDefault="007E1A49" w:rsidP="001667A9">
            <w:pPr>
              <w:tabs>
                <w:tab w:val="left" w:pos="0"/>
              </w:tabs>
              <w:rPr>
                <w:rFonts w:asciiTheme="minorHAnsi" w:hAnsiTheme="minorHAnsi" w:cstheme="minorHAnsi"/>
                <w:bCs/>
                <w:sz w:val="20"/>
              </w:rPr>
            </w:pPr>
            <w:r w:rsidRPr="001667A9">
              <w:rPr>
                <w:rFonts w:asciiTheme="minorHAnsi" w:hAnsiTheme="minorHAnsi" w:cstheme="minorHAnsi"/>
                <w:bCs/>
                <w:sz w:val="20"/>
              </w:rPr>
              <w:t>£0 - £20,000</w:t>
            </w:r>
          </w:p>
        </w:tc>
        <w:tc>
          <w:tcPr>
            <w:tcW w:w="992" w:type="dxa"/>
            <w:tcBorders>
              <w:top w:val="single" w:sz="4" w:space="0" w:color="auto"/>
            </w:tcBorders>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top w:val="single" w:sz="4" w:space="0" w:color="auto"/>
            </w:tcBorders>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3" w:type="dxa"/>
            <w:tcBorders>
              <w:top w:val="single" w:sz="4" w:space="0" w:color="auto"/>
            </w:tcBorders>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1134" w:type="dxa"/>
            <w:tcBorders>
              <w:top w:val="single" w:sz="4" w:space="0" w:color="auto"/>
            </w:tcBorders>
            <w:vAlign w:val="center"/>
          </w:tcPr>
          <w:p w:rsidR="007E1A49" w:rsidRPr="001667A9" w:rsidRDefault="007E1A49" w:rsidP="00D122DB">
            <w:pPr>
              <w:tabs>
                <w:tab w:val="left" w:pos="0"/>
              </w:tabs>
              <w:jc w:val="center"/>
              <w:rPr>
                <w:rFonts w:asciiTheme="minorHAnsi" w:hAnsiTheme="minorHAnsi" w:cstheme="minorHAnsi"/>
                <w:bCs/>
                <w:sz w:val="20"/>
              </w:rPr>
            </w:pPr>
            <w:r>
              <w:rPr>
                <w:rFonts w:asciiTheme="minorHAnsi" w:hAnsiTheme="minorHAnsi" w:cstheme="minorHAnsi"/>
                <w:bCs/>
                <w:sz w:val="20"/>
              </w:rPr>
              <w:t>14,668</w:t>
            </w:r>
          </w:p>
        </w:tc>
        <w:tc>
          <w:tcPr>
            <w:tcW w:w="1134" w:type="dxa"/>
            <w:tcBorders>
              <w:top w:val="single" w:sz="4" w:space="0" w:color="auto"/>
            </w:tcBorders>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10,031</w:t>
            </w:r>
          </w:p>
        </w:tc>
      </w:tr>
      <w:tr w:rsidR="007E1A49" w:rsidRPr="001667A9" w:rsidTr="003B5F7F">
        <w:trPr>
          <w:trHeight w:val="284"/>
          <w:jc w:val="center"/>
        </w:trPr>
        <w:tc>
          <w:tcPr>
            <w:tcW w:w="1985" w:type="dxa"/>
            <w:vAlign w:val="center"/>
          </w:tcPr>
          <w:p w:rsidR="007E1A49" w:rsidRPr="001667A9" w:rsidRDefault="007E1A49" w:rsidP="001667A9">
            <w:pPr>
              <w:tabs>
                <w:tab w:val="left" w:pos="0"/>
              </w:tabs>
              <w:rPr>
                <w:rFonts w:asciiTheme="minorHAnsi" w:hAnsiTheme="minorHAnsi" w:cstheme="minorHAnsi"/>
                <w:bCs/>
                <w:sz w:val="20"/>
              </w:rPr>
            </w:pPr>
            <w:r w:rsidRPr="001667A9">
              <w:rPr>
                <w:rFonts w:asciiTheme="minorHAnsi" w:hAnsiTheme="minorHAnsi" w:cstheme="minorHAnsi"/>
                <w:bCs/>
                <w:sz w:val="20"/>
              </w:rPr>
              <w:t>£20,001 -£40,000</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2</w:t>
            </w:r>
          </w:p>
        </w:tc>
        <w:tc>
          <w:tcPr>
            <w:tcW w:w="992"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1134"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62,612</w:t>
            </w:r>
          </w:p>
        </w:tc>
        <w:tc>
          <w:tcPr>
            <w:tcW w:w="1134"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21,880</w:t>
            </w:r>
          </w:p>
        </w:tc>
      </w:tr>
      <w:tr w:rsidR="007E1A49" w:rsidRPr="001667A9" w:rsidTr="003B5F7F">
        <w:trPr>
          <w:trHeight w:val="284"/>
          <w:jc w:val="center"/>
        </w:trPr>
        <w:tc>
          <w:tcPr>
            <w:tcW w:w="1985" w:type="dxa"/>
            <w:vAlign w:val="center"/>
          </w:tcPr>
          <w:p w:rsidR="007E1A49" w:rsidRPr="001667A9" w:rsidRDefault="007E1A49" w:rsidP="00F33E24">
            <w:pPr>
              <w:tabs>
                <w:tab w:val="left" w:pos="0"/>
              </w:tabs>
              <w:rPr>
                <w:rFonts w:asciiTheme="minorHAnsi" w:hAnsiTheme="minorHAnsi" w:cstheme="minorHAnsi"/>
                <w:bCs/>
                <w:sz w:val="20"/>
              </w:rPr>
            </w:pPr>
            <w:r w:rsidRPr="001667A9">
              <w:rPr>
                <w:rFonts w:asciiTheme="minorHAnsi" w:hAnsiTheme="minorHAnsi" w:cstheme="minorHAnsi"/>
                <w:bCs/>
                <w:sz w:val="20"/>
              </w:rPr>
              <w:t>£</w:t>
            </w:r>
            <w:r w:rsidR="00F33E24">
              <w:rPr>
                <w:rFonts w:asciiTheme="minorHAnsi" w:hAnsiTheme="minorHAnsi" w:cstheme="minorHAnsi"/>
                <w:bCs/>
                <w:sz w:val="20"/>
              </w:rPr>
              <w:t>6</w:t>
            </w:r>
            <w:r w:rsidRPr="001667A9">
              <w:rPr>
                <w:rFonts w:asciiTheme="minorHAnsi" w:hAnsiTheme="minorHAnsi" w:cstheme="minorHAnsi"/>
                <w:bCs/>
                <w:sz w:val="20"/>
              </w:rPr>
              <w:t>0,001 - £</w:t>
            </w:r>
            <w:r w:rsidR="00F33E24">
              <w:rPr>
                <w:rFonts w:asciiTheme="minorHAnsi" w:hAnsiTheme="minorHAnsi" w:cstheme="minorHAnsi"/>
                <w:bCs/>
                <w:sz w:val="20"/>
              </w:rPr>
              <w:t>8</w:t>
            </w:r>
            <w:r w:rsidRPr="001667A9">
              <w:rPr>
                <w:rFonts w:asciiTheme="minorHAnsi" w:hAnsiTheme="minorHAnsi" w:cstheme="minorHAnsi"/>
                <w:bCs/>
                <w:sz w:val="20"/>
              </w:rPr>
              <w:t>0,000</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3"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1134" w:type="dxa"/>
            <w:vAlign w:val="center"/>
          </w:tcPr>
          <w:p w:rsidR="007E1A49" w:rsidRPr="001667A9" w:rsidRDefault="007E1A49" w:rsidP="00C45D74">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68,852</w:t>
            </w:r>
          </w:p>
        </w:tc>
      </w:tr>
      <w:tr w:rsidR="007E1A49" w:rsidRPr="001667A9" w:rsidTr="003B5F7F">
        <w:trPr>
          <w:trHeight w:val="284"/>
          <w:jc w:val="center"/>
        </w:trPr>
        <w:tc>
          <w:tcPr>
            <w:tcW w:w="1985" w:type="dxa"/>
            <w:vAlign w:val="center"/>
          </w:tcPr>
          <w:p w:rsidR="007E1A49" w:rsidRPr="001667A9" w:rsidRDefault="007E1A49" w:rsidP="001667A9">
            <w:pPr>
              <w:tabs>
                <w:tab w:val="left" w:pos="0"/>
              </w:tabs>
              <w:rPr>
                <w:rFonts w:asciiTheme="minorHAnsi" w:hAnsiTheme="minorHAnsi" w:cstheme="minorHAnsi"/>
                <w:bCs/>
                <w:sz w:val="20"/>
              </w:rPr>
            </w:pPr>
            <w:r>
              <w:rPr>
                <w:rFonts w:asciiTheme="minorHAnsi" w:hAnsiTheme="minorHAnsi" w:cstheme="minorHAnsi"/>
                <w:bCs/>
                <w:sz w:val="20"/>
              </w:rPr>
              <w:t>£120,001 - £140,000</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rsidR="007E1A4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shd w:val="clear" w:color="auto" w:fill="D9D9D9" w:themeFill="background1" w:themeFillShade="D9"/>
            <w:vAlign w:val="center"/>
          </w:tcPr>
          <w:p w:rsidR="007E1A4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121,599</w:t>
            </w:r>
          </w:p>
        </w:tc>
        <w:tc>
          <w:tcPr>
            <w:tcW w:w="1134" w:type="dxa"/>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r>
      <w:tr w:rsidR="007E1A49" w:rsidRPr="001667A9" w:rsidTr="003B5F7F">
        <w:trPr>
          <w:trHeight w:val="284"/>
          <w:jc w:val="center"/>
        </w:trPr>
        <w:tc>
          <w:tcPr>
            <w:tcW w:w="1985" w:type="dxa"/>
            <w:tcBorders>
              <w:bottom w:val="single" w:sz="4" w:space="0" w:color="auto"/>
            </w:tcBorders>
            <w:vAlign w:val="center"/>
          </w:tcPr>
          <w:p w:rsidR="007E1A49" w:rsidRPr="001667A9" w:rsidRDefault="007E1A49" w:rsidP="00D122DB">
            <w:pPr>
              <w:tabs>
                <w:tab w:val="left" w:pos="0"/>
              </w:tabs>
              <w:rPr>
                <w:rFonts w:asciiTheme="minorHAnsi" w:hAnsiTheme="minorHAnsi" w:cstheme="minorHAnsi"/>
                <w:bCs/>
                <w:sz w:val="20"/>
              </w:rPr>
            </w:pPr>
            <w:r>
              <w:rPr>
                <w:rFonts w:asciiTheme="minorHAnsi" w:hAnsiTheme="minorHAnsi" w:cstheme="minorHAnsi"/>
                <w:bCs/>
                <w:sz w:val="20"/>
              </w:rPr>
              <w:t>£180,001 - £200,000</w:t>
            </w:r>
          </w:p>
        </w:tc>
        <w:tc>
          <w:tcPr>
            <w:tcW w:w="992" w:type="dxa"/>
            <w:tcBorders>
              <w:bottom w:val="single" w:sz="4" w:space="0" w:color="auto"/>
            </w:tcBorders>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bottom w:val="single" w:sz="4" w:space="0" w:color="auto"/>
            </w:tcBorders>
            <w:shd w:val="clear" w:color="auto" w:fill="D9D9D9" w:themeFill="background1" w:themeFillShade="D9"/>
            <w:vAlign w:val="center"/>
          </w:tcPr>
          <w:p w:rsidR="007E1A4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bottom w:val="single" w:sz="4" w:space="0" w:color="auto"/>
            </w:tcBorders>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tcBorders>
              <w:bottom w:val="single" w:sz="4" w:space="0" w:color="auto"/>
            </w:tcBorders>
            <w:shd w:val="clear" w:color="auto" w:fill="D9D9D9" w:themeFill="background1" w:themeFillShade="D9"/>
            <w:vAlign w:val="center"/>
          </w:tcPr>
          <w:p w:rsidR="007E1A4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bottom w:val="single" w:sz="4" w:space="0" w:color="auto"/>
            </w:tcBorders>
            <w:vAlign w:val="center"/>
          </w:tcPr>
          <w:p w:rsidR="007E1A49" w:rsidRPr="001667A9" w:rsidRDefault="007E1A4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bottom w:val="single" w:sz="4" w:space="0" w:color="auto"/>
            </w:tcBorders>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tcBorders>
              <w:bottom w:val="single" w:sz="4" w:space="0" w:color="auto"/>
            </w:tcBorders>
            <w:vAlign w:val="center"/>
          </w:tcPr>
          <w:p w:rsidR="007E1A49" w:rsidRPr="001667A9" w:rsidRDefault="005D0FAE" w:rsidP="005D0FAE">
            <w:pPr>
              <w:tabs>
                <w:tab w:val="left" w:pos="0"/>
              </w:tabs>
              <w:jc w:val="center"/>
              <w:rPr>
                <w:rFonts w:asciiTheme="minorHAnsi" w:hAnsiTheme="minorHAnsi" w:cstheme="minorHAnsi"/>
                <w:bCs/>
                <w:sz w:val="20"/>
              </w:rPr>
            </w:pPr>
            <w:r>
              <w:rPr>
                <w:rFonts w:asciiTheme="minorHAnsi" w:hAnsiTheme="minorHAnsi" w:cstheme="minorHAnsi"/>
                <w:bCs/>
                <w:sz w:val="20"/>
              </w:rPr>
              <w:t>193,998</w:t>
            </w:r>
          </w:p>
        </w:tc>
        <w:tc>
          <w:tcPr>
            <w:tcW w:w="1134" w:type="dxa"/>
            <w:tcBorders>
              <w:bottom w:val="single" w:sz="4" w:space="0" w:color="auto"/>
            </w:tcBorders>
            <w:shd w:val="clear" w:color="auto" w:fill="D9D9D9" w:themeFill="background1" w:themeFillShade="D9"/>
            <w:vAlign w:val="center"/>
          </w:tcPr>
          <w:p w:rsidR="007E1A49" w:rsidRPr="001667A9" w:rsidRDefault="00F33E24"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r>
      <w:tr w:rsidR="007E1A49" w:rsidRPr="001667A9" w:rsidTr="003B5F7F">
        <w:trPr>
          <w:trHeight w:val="284"/>
          <w:jc w:val="center"/>
        </w:trPr>
        <w:tc>
          <w:tcPr>
            <w:tcW w:w="1985" w:type="dxa"/>
            <w:tcBorders>
              <w:top w:val="single" w:sz="4" w:space="0" w:color="auto"/>
            </w:tcBorders>
            <w:vAlign w:val="center"/>
          </w:tcPr>
          <w:p w:rsidR="007E1A49" w:rsidRPr="002A6B9B" w:rsidRDefault="007E1A49" w:rsidP="00A70078">
            <w:pPr>
              <w:tabs>
                <w:tab w:val="left" w:pos="0"/>
              </w:tabs>
              <w:jc w:val="center"/>
              <w:rPr>
                <w:rFonts w:asciiTheme="minorHAnsi" w:hAnsiTheme="minorHAnsi" w:cstheme="minorHAnsi"/>
                <w:b/>
                <w:bCs/>
                <w:sz w:val="20"/>
              </w:rPr>
            </w:pPr>
            <w:r w:rsidRPr="002A6B9B">
              <w:rPr>
                <w:rFonts w:asciiTheme="minorHAnsi" w:hAnsiTheme="minorHAnsi" w:cstheme="minorHAnsi"/>
                <w:b/>
                <w:bCs/>
                <w:sz w:val="20"/>
              </w:rPr>
              <w:t>Total</w:t>
            </w:r>
          </w:p>
        </w:tc>
        <w:tc>
          <w:tcPr>
            <w:tcW w:w="992" w:type="dxa"/>
            <w:tcBorders>
              <w:top w:val="single" w:sz="4" w:space="0" w:color="auto"/>
            </w:tcBorders>
            <w:vAlign w:val="center"/>
          </w:tcPr>
          <w:p w:rsidR="007E1A49" w:rsidRPr="002A6B9B" w:rsidRDefault="007E1A49" w:rsidP="00A70078">
            <w:pPr>
              <w:tabs>
                <w:tab w:val="left" w:pos="0"/>
              </w:tabs>
              <w:jc w:val="center"/>
              <w:rPr>
                <w:rFonts w:asciiTheme="minorHAnsi" w:hAnsiTheme="minorHAnsi" w:cstheme="minorHAnsi"/>
                <w:b/>
                <w:bCs/>
                <w:sz w:val="20"/>
              </w:rPr>
            </w:pPr>
            <w:r w:rsidRPr="002A6B9B">
              <w:rPr>
                <w:rFonts w:asciiTheme="minorHAnsi" w:hAnsiTheme="minorHAnsi" w:cstheme="minorHAnsi"/>
                <w:b/>
                <w:bCs/>
                <w:sz w:val="20"/>
              </w:rPr>
              <w:t>2</w:t>
            </w:r>
          </w:p>
        </w:tc>
        <w:tc>
          <w:tcPr>
            <w:tcW w:w="992" w:type="dxa"/>
            <w:tcBorders>
              <w:top w:val="single" w:sz="4" w:space="0" w:color="auto"/>
            </w:tcBorders>
            <w:shd w:val="clear" w:color="auto" w:fill="D9D9D9" w:themeFill="background1" w:themeFillShade="D9"/>
            <w:vAlign w:val="center"/>
          </w:tcPr>
          <w:p w:rsidR="007E1A49" w:rsidRPr="002A6B9B" w:rsidRDefault="00F33E24" w:rsidP="00A70078">
            <w:pPr>
              <w:tabs>
                <w:tab w:val="left" w:pos="0"/>
              </w:tabs>
              <w:jc w:val="center"/>
              <w:rPr>
                <w:rFonts w:asciiTheme="minorHAnsi" w:hAnsiTheme="minorHAnsi" w:cstheme="minorHAnsi"/>
                <w:b/>
                <w:bCs/>
                <w:sz w:val="20"/>
              </w:rPr>
            </w:pPr>
            <w:r>
              <w:rPr>
                <w:rFonts w:asciiTheme="minorHAnsi" w:hAnsiTheme="minorHAnsi" w:cstheme="minorHAnsi"/>
                <w:b/>
                <w:bCs/>
                <w:sz w:val="20"/>
              </w:rPr>
              <w:t>0</w:t>
            </w:r>
          </w:p>
        </w:tc>
        <w:tc>
          <w:tcPr>
            <w:tcW w:w="992" w:type="dxa"/>
            <w:tcBorders>
              <w:top w:val="single" w:sz="4" w:space="0" w:color="auto"/>
            </w:tcBorders>
            <w:vAlign w:val="center"/>
          </w:tcPr>
          <w:p w:rsidR="007E1A49" w:rsidRPr="002A6B9B" w:rsidRDefault="007E1A49" w:rsidP="00A70078">
            <w:pPr>
              <w:tabs>
                <w:tab w:val="left" w:pos="0"/>
              </w:tabs>
              <w:jc w:val="center"/>
              <w:rPr>
                <w:rFonts w:asciiTheme="minorHAnsi" w:hAnsiTheme="minorHAnsi" w:cstheme="minorHAnsi"/>
                <w:b/>
                <w:bCs/>
                <w:sz w:val="20"/>
              </w:rPr>
            </w:pPr>
            <w:r w:rsidRPr="002A6B9B">
              <w:rPr>
                <w:rFonts w:asciiTheme="minorHAnsi" w:hAnsiTheme="minorHAnsi" w:cstheme="minorHAnsi"/>
                <w:b/>
                <w:bCs/>
                <w:sz w:val="20"/>
              </w:rPr>
              <w:t>3</w:t>
            </w:r>
          </w:p>
        </w:tc>
        <w:tc>
          <w:tcPr>
            <w:tcW w:w="993" w:type="dxa"/>
            <w:tcBorders>
              <w:top w:val="single" w:sz="4" w:space="0" w:color="auto"/>
            </w:tcBorders>
            <w:shd w:val="clear" w:color="auto" w:fill="D9D9D9" w:themeFill="background1" w:themeFillShade="D9"/>
            <w:vAlign w:val="center"/>
          </w:tcPr>
          <w:p w:rsidR="007E1A49" w:rsidRPr="002A6B9B" w:rsidRDefault="00F33E24" w:rsidP="00A70078">
            <w:pPr>
              <w:tabs>
                <w:tab w:val="left" w:pos="0"/>
              </w:tabs>
              <w:jc w:val="center"/>
              <w:rPr>
                <w:rFonts w:asciiTheme="minorHAnsi" w:hAnsiTheme="minorHAnsi" w:cstheme="minorHAnsi"/>
                <w:b/>
                <w:bCs/>
                <w:sz w:val="20"/>
              </w:rPr>
            </w:pPr>
            <w:r>
              <w:rPr>
                <w:rFonts w:asciiTheme="minorHAnsi" w:hAnsiTheme="minorHAnsi" w:cstheme="minorHAnsi"/>
                <w:b/>
                <w:bCs/>
                <w:sz w:val="20"/>
              </w:rPr>
              <w:t>3</w:t>
            </w:r>
          </w:p>
        </w:tc>
        <w:tc>
          <w:tcPr>
            <w:tcW w:w="992" w:type="dxa"/>
            <w:tcBorders>
              <w:top w:val="single" w:sz="4" w:space="0" w:color="auto"/>
            </w:tcBorders>
            <w:vAlign w:val="center"/>
          </w:tcPr>
          <w:p w:rsidR="007E1A49" w:rsidRPr="002A6B9B" w:rsidRDefault="007E1A49" w:rsidP="00A70078">
            <w:pPr>
              <w:tabs>
                <w:tab w:val="left" w:pos="0"/>
              </w:tabs>
              <w:jc w:val="center"/>
              <w:rPr>
                <w:rFonts w:asciiTheme="minorHAnsi" w:hAnsiTheme="minorHAnsi" w:cstheme="minorHAnsi"/>
                <w:b/>
                <w:bCs/>
                <w:sz w:val="20"/>
              </w:rPr>
            </w:pPr>
            <w:r w:rsidRPr="002A6B9B">
              <w:rPr>
                <w:rFonts w:asciiTheme="minorHAnsi" w:hAnsiTheme="minorHAnsi" w:cstheme="minorHAnsi"/>
                <w:b/>
                <w:bCs/>
                <w:sz w:val="20"/>
              </w:rPr>
              <w:t>5</w:t>
            </w:r>
          </w:p>
        </w:tc>
        <w:tc>
          <w:tcPr>
            <w:tcW w:w="992" w:type="dxa"/>
            <w:tcBorders>
              <w:top w:val="single" w:sz="4" w:space="0" w:color="auto"/>
            </w:tcBorders>
            <w:shd w:val="clear" w:color="auto" w:fill="D9D9D9" w:themeFill="background1" w:themeFillShade="D9"/>
            <w:vAlign w:val="center"/>
          </w:tcPr>
          <w:p w:rsidR="007E1A49" w:rsidRPr="002A6B9B" w:rsidRDefault="00F33E24" w:rsidP="00A70078">
            <w:pPr>
              <w:tabs>
                <w:tab w:val="left" w:pos="0"/>
              </w:tabs>
              <w:jc w:val="center"/>
              <w:rPr>
                <w:rFonts w:asciiTheme="minorHAnsi" w:hAnsiTheme="minorHAnsi" w:cstheme="minorHAnsi"/>
                <w:b/>
                <w:bCs/>
                <w:sz w:val="20"/>
              </w:rPr>
            </w:pPr>
            <w:r>
              <w:rPr>
                <w:rFonts w:asciiTheme="minorHAnsi" w:hAnsiTheme="minorHAnsi" w:cstheme="minorHAnsi"/>
                <w:b/>
                <w:bCs/>
                <w:sz w:val="20"/>
              </w:rPr>
              <w:t>3</w:t>
            </w:r>
          </w:p>
        </w:tc>
        <w:tc>
          <w:tcPr>
            <w:tcW w:w="1134" w:type="dxa"/>
            <w:tcBorders>
              <w:top w:val="single" w:sz="4" w:space="0" w:color="auto"/>
            </w:tcBorders>
            <w:vAlign w:val="center"/>
          </w:tcPr>
          <w:p w:rsidR="007E1A49" w:rsidRPr="002A6B9B" w:rsidRDefault="007E1A49" w:rsidP="005D0FAE">
            <w:pPr>
              <w:tabs>
                <w:tab w:val="left" w:pos="0"/>
              </w:tabs>
              <w:jc w:val="center"/>
              <w:rPr>
                <w:rFonts w:asciiTheme="minorHAnsi" w:hAnsiTheme="minorHAnsi" w:cstheme="minorHAnsi"/>
                <w:b/>
                <w:bCs/>
                <w:sz w:val="20"/>
              </w:rPr>
            </w:pPr>
            <w:r w:rsidRPr="002A6B9B">
              <w:rPr>
                <w:rFonts w:asciiTheme="minorHAnsi" w:hAnsiTheme="minorHAnsi" w:cstheme="minorHAnsi"/>
                <w:b/>
                <w:bCs/>
                <w:sz w:val="20"/>
              </w:rPr>
              <w:t>39</w:t>
            </w:r>
            <w:r w:rsidR="005D0FAE">
              <w:rPr>
                <w:rFonts w:asciiTheme="minorHAnsi" w:hAnsiTheme="minorHAnsi" w:cstheme="minorHAnsi"/>
                <w:b/>
                <w:bCs/>
                <w:sz w:val="20"/>
              </w:rPr>
              <w:t>2</w:t>
            </w:r>
            <w:r w:rsidRPr="002A6B9B">
              <w:rPr>
                <w:rFonts w:asciiTheme="minorHAnsi" w:hAnsiTheme="minorHAnsi" w:cstheme="minorHAnsi"/>
                <w:b/>
                <w:bCs/>
                <w:sz w:val="20"/>
              </w:rPr>
              <w:t>,</w:t>
            </w:r>
            <w:r w:rsidR="005D0FAE">
              <w:rPr>
                <w:rFonts w:asciiTheme="minorHAnsi" w:hAnsiTheme="minorHAnsi" w:cstheme="minorHAnsi"/>
                <w:b/>
                <w:bCs/>
                <w:sz w:val="20"/>
              </w:rPr>
              <w:t>876</w:t>
            </w:r>
          </w:p>
        </w:tc>
        <w:tc>
          <w:tcPr>
            <w:tcW w:w="1134" w:type="dxa"/>
            <w:tcBorders>
              <w:top w:val="single" w:sz="4" w:space="0" w:color="auto"/>
            </w:tcBorders>
            <w:shd w:val="clear" w:color="auto" w:fill="D9D9D9" w:themeFill="background1" w:themeFillShade="D9"/>
            <w:vAlign w:val="center"/>
          </w:tcPr>
          <w:p w:rsidR="007E1A49" w:rsidRPr="002A6B9B" w:rsidRDefault="00F33E24" w:rsidP="00C45D74">
            <w:pPr>
              <w:tabs>
                <w:tab w:val="left" w:pos="0"/>
              </w:tabs>
              <w:jc w:val="center"/>
              <w:rPr>
                <w:rFonts w:asciiTheme="minorHAnsi" w:hAnsiTheme="minorHAnsi" w:cstheme="minorHAnsi"/>
                <w:b/>
                <w:bCs/>
                <w:sz w:val="20"/>
              </w:rPr>
            </w:pPr>
            <w:r>
              <w:rPr>
                <w:rFonts w:asciiTheme="minorHAnsi" w:hAnsiTheme="minorHAnsi" w:cstheme="minorHAnsi"/>
                <w:b/>
                <w:bCs/>
                <w:sz w:val="20"/>
              </w:rPr>
              <w:t>100,763</w:t>
            </w:r>
          </w:p>
        </w:tc>
      </w:tr>
    </w:tbl>
    <w:p w:rsidR="00874F26" w:rsidRDefault="00874F26" w:rsidP="00874F26">
      <w:pPr>
        <w:pStyle w:val="ListParagraph"/>
        <w:tabs>
          <w:tab w:val="left" w:pos="0"/>
        </w:tabs>
        <w:jc w:val="both"/>
        <w:rPr>
          <w:rFonts w:asciiTheme="minorHAnsi" w:hAnsiTheme="minorHAnsi" w:cstheme="minorHAnsi"/>
          <w:b/>
          <w:bCs/>
          <w:szCs w:val="22"/>
        </w:rPr>
      </w:pPr>
    </w:p>
    <w:p w:rsidR="008451B9" w:rsidRPr="008451B9" w:rsidRDefault="008451B9" w:rsidP="008451B9">
      <w:pPr>
        <w:tabs>
          <w:tab w:val="left" w:pos="0"/>
        </w:tabs>
        <w:rPr>
          <w:rFonts w:asciiTheme="minorHAnsi" w:hAnsiTheme="minorHAnsi" w:cstheme="minorHAnsi"/>
          <w:bCs/>
          <w:sz w:val="22"/>
          <w:szCs w:val="22"/>
        </w:rPr>
      </w:pPr>
      <w:r w:rsidRPr="00991320">
        <w:rPr>
          <w:rFonts w:asciiTheme="minorHAnsi" w:hAnsiTheme="minorHAnsi" w:cstheme="minorHAnsi"/>
          <w:bCs/>
          <w:sz w:val="22"/>
          <w:szCs w:val="22"/>
        </w:rPr>
        <w:t>In order to meet the Council’s deficit reduction plan, services are reviewed and where necessary restructured.  It is Council policy that where an employee receives compensation for the loss of their position, any resulting pension costs are deducted from the payment they are entitled to receive</w:t>
      </w:r>
      <w:r w:rsidR="00B22435" w:rsidRPr="00991320">
        <w:rPr>
          <w:rFonts w:asciiTheme="minorHAnsi" w:hAnsiTheme="minorHAnsi" w:cstheme="minorHAnsi"/>
          <w:bCs/>
          <w:sz w:val="22"/>
          <w:szCs w:val="22"/>
        </w:rPr>
        <w:t>, subject to the statutory minimum</w:t>
      </w:r>
      <w:r w:rsidR="00871025">
        <w:rPr>
          <w:rFonts w:asciiTheme="minorHAnsi" w:hAnsiTheme="minorHAnsi" w:cstheme="minorHAnsi"/>
          <w:bCs/>
          <w:sz w:val="22"/>
          <w:szCs w:val="22"/>
        </w:rPr>
        <w:t>.</w:t>
      </w:r>
    </w:p>
    <w:p w:rsidR="00F51A24" w:rsidRDefault="00F51A24" w:rsidP="00874F26">
      <w:pPr>
        <w:pStyle w:val="ListParagraph"/>
        <w:tabs>
          <w:tab w:val="left" w:pos="0"/>
        </w:tabs>
        <w:jc w:val="both"/>
        <w:rPr>
          <w:rFonts w:asciiTheme="minorHAnsi" w:hAnsiTheme="minorHAnsi" w:cstheme="minorHAnsi"/>
          <w:b/>
          <w:bCs/>
          <w:szCs w:val="22"/>
        </w:rPr>
      </w:pPr>
    </w:p>
    <w:p w:rsidR="00DB5637" w:rsidRDefault="00DB5637" w:rsidP="00874F26">
      <w:pPr>
        <w:pStyle w:val="ListParagraph"/>
        <w:tabs>
          <w:tab w:val="left" w:pos="0"/>
        </w:tabs>
        <w:jc w:val="both"/>
        <w:rPr>
          <w:rFonts w:asciiTheme="minorHAnsi" w:hAnsiTheme="minorHAnsi" w:cstheme="minorHAnsi"/>
          <w:b/>
          <w:bCs/>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External Audit Costs</w:t>
      </w:r>
    </w:p>
    <w:tbl>
      <w:tblPr>
        <w:tblW w:w="9403" w:type="dxa"/>
        <w:jc w:val="center"/>
        <w:tblLayout w:type="fixed"/>
        <w:tblLook w:val="0000" w:firstRow="0" w:lastRow="0" w:firstColumn="0" w:lastColumn="0" w:noHBand="0" w:noVBand="0"/>
      </w:tblPr>
      <w:tblGrid>
        <w:gridCol w:w="5865"/>
        <w:gridCol w:w="1275"/>
        <w:gridCol w:w="1276"/>
        <w:gridCol w:w="987"/>
      </w:tblGrid>
      <w:tr w:rsidR="000530F1" w:rsidRPr="0068094B" w:rsidTr="004456F7">
        <w:trPr>
          <w:trHeight w:val="574"/>
          <w:jc w:val="center"/>
        </w:trPr>
        <w:tc>
          <w:tcPr>
            <w:tcW w:w="5865" w:type="dxa"/>
          </w:tcPr>
          <w:p w:rsidR="000530F1" w:rsidRPr="0068094B" w:rsidRDefault="000530F1" w:rsidP="000307B3">
            <w:pPr>
              <w:tabs>
                <w:tab w:val="left" w:pos="0"/>
              </w:tabs>
              <w:snapToGrid w:val="0"/>
              <w:jc w:val="both"/>
              <w:rPr>
                <w:rFonts w:asciiTheme="minorHAnsi" w:hAnsiTheme="minorHAnsi" w:cstheme="minorHAnsi"/>
                <w:sz w:val="22"/>
                <w:szCs w:val="22"/>
              </w:rPr>
            </w:pPr>
          </w:p>
        </w:tc>
        <w:tc>
          <w:tcPr>
            <w:tcW w:w="1275" w:type="dxa"/>
          </w:tcPr>
          <w:p w:rsidR="000530F1" w:rsidRPr="0068094B" w:rsidRDefault="000530F1" w:rsidP="000307B3">
            <w:pPr>
              <w:tabs>
                <w:tab w:val="left" w:pos="0"/>
              </w:tabs>
              <w:snapToGrid w:val="0"/>
              <w:jc w:val="right"/>
              <w:rPr>
                <w:rFonts w:asciiTheme="minorHAnsi" w:hAnsiTheme="minorHAnsi" w:cstheme="minorHAnsi"/>
                <w:b/>
                <w:color w:val="333333"/>
                <w:sz w:val="22"/>
                <w:szCs w:val="22"/>
              </w:rPr>
            </w:pPr>
          </w:p>
        </w:tc>
        <w:tc>
          <w:tcPr>
            <w:tcW w:w="1276" w:type="dxa"/>
            <w:tcBorders>
              <w:bottom w:val="single" w:sz="4" w:space="0" w:color="000000"/>
            </w:tcBorders>
            <w:vAlign w:val="center"/>
          </w:tcPr>
          <w:p w:rsidR="000530F1" w:rsidRDefault="000530F1" w:rsidP="000307B3">
            <w:pPr>
              <w:tabs>
                <w:tab w:val="left" w:pos="0"/>
              </w:tabs>
              <w:snapToGrid w:val="0"/>
              <w:jc w:val="right"/>
              <w:rPr>
                <w:rFonts w:asciiTheme="minorHAnsi" w:hAnsiTheme="minorHAnsi" w:cstheme="minorHAnsi"/>
                <w:b/>
                <w:color w:val="333333"/>
                <w:sz w:val="22"/>
                <w:szCs w:val="22"/>
              </w:rPr>
            </w:pPr>
            <w:r>
              <w:rPr>
                <w:rFonts w:asciiTheme="minorHAnsi" w:hAnsiTheme="minorHAnsi" w:cstheme="minorHAnsi"/>
                <w:b/>
                <w:color w:val="333333"/>
                <w:sz w:val="22"/>
                <w:szCs w:val="22"/>
              </w:rPr>
              <w:t>(Restated)</w:t>
            </w:r>
          </w:p>
          <w:p w:rsidR="000530F1" w:rsidRPr="0068094B" w:rsidRDefault="000530F1" w:rsidP="000307B3">
            <w:pPr>
              <w:tabs>
                <w:tab w:val="left" w:pos="0"/>
              </w:tabs>
              <w:snapToGrid w:val="0"/>
              <w:jc w:val="right"/>
              <w:rPr>
                <w:rFonts w:asciiTheme="minorHAnsi" w:hAnsiTheme="minorHAnsi" w:cstheme="minorHAnsi"/>
                <w:b/>
                <w:color w:val="333333"/>
                <w:sz w:val="22"/>
                <w:szCs w:val="22"/>
              </w:rPr>
            </w:pPr>
            <w:r w:rsidRPr="0068094B">
              <w:rPr>
                <w:rFonts w:asciiTheme="minorHAnsi" w:hAnsiTheme="minorHAnsi" w:cstheme="minorHAnsi"/>
                <w:b/>
                <w:color w:val="333333"/>
                <w:sz w:val="22"/>
                <w:szCs w:val="22"/>
              </w:rPr>
              <w:t>201</w:t>
            </w:r>
            <w:r>
              <w:rPr>
                <w:rFonts w:asciiTheme="minorHAnsi" w:hAnsiTheme="minorHAnsi" w:cstheme="minorHAnsi"/>
                <w:b/>
                <w:color w:val="333333"/>
                <w:sz w:val="22"/>
                <w:szCs w:val="22"/>
              </w:rPr>
              <w:t>8</w:t>
            </w:r>
            <w:r w:rsidRPr="0068094B">
              <w:rPr>
                <w:rFonts w:asciiTheme="minorHAnsi" w:hAnsiTheme="minorHAnsi" w:cstheme="minorHAnsi"/>
                <w:b/>
                <w:color w:val="333333"/>
                <w:sz w:val="22"/>
                <w:szCs w:val="22"/>
              </w:rPr>
              <w:t>-1</w:t>
            </w:r>
            <w:r>
              <w:rPr>
                <w:rFonts w:asciiTheme="minorHAnsi" w:hAnsiTheme="minorHAnsi" w:cstheme="minorHAnsi"/>
                <w:b/>
                <w:color w:val="333333"/>
                <w:sz w:val="22"/>
                <w:szCs w:val="22"/>
              </w:rPr>
              <w:t>9</w:t>
            </w:r>
          </w:p>
          <w:p w:rsidR="000530F1" w:rsidRPr="0068094B" w:rsidRDefault="000530F1" w:rsidP="000307B3">
            <w:pPr>
              <w:tabs>
                <w:tab w:val="left" w:pos="0"/>
              </w:tabs>
              <w:jc w:val="right"/>
              <w:rPr>
                <w:rFonts w:asciiTheme="minorHAnsi" w:hAnsiTheme="minorHAnsi" w:cstheme="minorHAnsi"/>
                <w:b/>
                <w:color w:val="333333"/>
                <w:sz w:val="22"/>
                <w:szCs w:val="22"/>
              </w:rPr>
            </w:pPr>
            <w:r w:rsidRPr="0068094B">
              <w:rPr>
                <w:rFonts w:asciiTheme="minorHAnsi" w:hAnsiTheme="minorHAnsi" w:cstheme="minorHAnsi"/>
                <w:b/>
                <w:color w:val="333333"/>
                <w:sz w:val="22"/>
                <w:szCs w:val="22"/>
              </w:rPr>
              <w:t>£000</w:t>
            </w:r>
          </w:p>
        </w:tc>
        <w:tc>
          <w:tcPr>
            <w:tcW w:w="987" w:type="dxa"/>
            <w:tcBorders>
              <w:bottom w:val="single" w:sz="4" w:space="0" w:color="808080"/>
            </w:tcBorders>
            <w:shd w:val="clear" w:color="auto" w:fill="D9D9D9" w:themeFill="background1" w:themeFillShade="D9"/>
            <w:vAlign w:val="center"/>
          </w:tcPr>
          <w:p w:rsidR="000530F1" w:rsidRDefault="000530F1" w:rsidP="000307B3">
            <w:pPr>
              <w:tabs>
                <w:tab w:val="left" w:pos="0"/>
              </w:tabs>
              <w:snapToGrid w:val="0"/>
              <w:jc w:val="right"/>
              <w:rPr>
                <w:rFonts w:asciiTheme="minorHAnsi" w:hAnsiTheme="minorHAnsi" w:cstheme="minorHAnsi"/>
                <w:b/>
                <w:sz w:val="22"/>
                <w:szCs w:val="22"/>
              </w:rPr>
            </w:pPr>
          </w:p>
          <w:p w:rsidR="000530F1" w:rsidRPr="0068094B" w:rsidRDefault="000530F1"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Pr>
                <w:rFonts w:asciiTheme="minorHAnsi" w:hAnsiTheme="minorHAnsi" w:cstheme="minorHAnsi"/>
                <w:b/>
                <w:sz w:val="22"/>
                <w:szCs w:val="22"/>
              </w:rPr>
              <w:t>9</w:t>
            </w:r>
            <w:r w:rsidRPr="0068094B">
              <w:rPr>
                <w:rFonts w:asciiTheme="minorHAnsi" w:hAnsiTheme="minorHAnsi" w:cstheme="minorHAnsi"/>
                <w:b/>
                <w:sz w:val="22"/>
                <w:szCs w:val="22"/>
              </w:rPr>
              <w:t>-</w:t>
            </w:r>
            <w:r>
              <w:rPr>
                <w:rFonts w:asciiTheme="minorHAnsi" w:hAnsiTheme="minorHAnsi" w:cstheme="minorHAnsi"/>
                <w:b/>
                <w:sz w:val="22"/>
                <w:szCs w:val="22"/>
              </w:rPr>
              <w:t>20</w:t>
            </w:r>
          </w:p>
          <w:p w:rsidR="000530F1" w:rsidRPr="0068094B" w:rsidRDefault="000530F1"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0530F1" w:rsidRPr="0068094B" w:rsidTr="004456F7">
        <w:trPr>
          <w:jc w:val="center"/>
        </w:trPr>
        <w:tc>
          <w:tcPr>
            <w:tcW w:w="5865" w:type="dxa"/>
            <w:vMerge w:val="restart"/>
          </w:tcPr>
          <w:p w:rsidR="000530F1" w:rsidRPr="0068094B" w:rsidRDefault="000530F1" w:rsidP="00B134BA">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Fees payable to Ernst &amp; Young LLP with regard to external audit services carried out by the appointed auditor for the year</w:t>
            </w:r>
          </w:p>
        </w:tc>
        <w:tc>
          <w:tcPr>
            <w:tcW w:w="1275" w:type="dxa"/>
          </w:tcPr>
          <w:p w:rsidR="000530F1" w:rsidRPr="00DD5BA3" w:rsidRDefault="000530F1" w:rsidP="000530F1">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Planned </w:t>
            </w:r>
          </w:p>
        </w:tc>
        <w:tc>
          <w:tcPr>
            <w:tcW w:w="1276" w:type="dxa"/>
            <w:vAlign w:val="center"/>
          </w:tcPr>
          <w:p w:rsidR="000530F1" w:rsidRPr="00DD5BA3" w:rsidRDefault="000530F1"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38</w:t>
            </w:r>
          </w:p>
        </w:tc>
        <w:tc>
          <w:tcPr>
            <w:tcW w:w="987" w:type="dxa"/>
            <w:shd w:val="clear" w:color="auto" w:fill="D9D9D9" w:themeFill="background1" w:themeFillShade="D9"/>
            <w:vAlign w:val="center"/>
          </w:tcPr>
          <w:p w:rsidR="000530F1" w:rsidRPr="0068094B" w:rsidRDefault="000530F1" w:rsidP="00B939D2">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38</w:t>
            </w:r>
          </w:p>
        </w:tc>
      </w:tr>
      <w:tr w:rsidR="000530F1" w:rsidRPr="0068094B" w:rsidTr="004456F7">
        <w:trPr>
          <w:jc w:val="center"/>
        </w:trPr>
        <w:tc>
          <w:tcPr>
            <w:tcW w:w="5865" w:type="dxa"/>
            <w:vMerge/>
          </w:tcPr>
          <w:p w:rsidR="000530F1" w:rsidRPr="0068094B" w:rsidRDefault="000530F1" w:rsidP="00AE6061">
            <w:pPr>
              <w:tabs>
                <w:tab w:val="left" w:pos="0"/>
              </w:tabs>
              <w:snapToGrid w:val="0"/>
              <w:rPr>
                <w:rFonts w:asciiTheme="minorHAnsi" w:hAnsiTheme="minorHAnsi" w:cstheme="minorHAnsi"/>
                <w:sz w:val="22"/>
                <w:szCs w:val="22"/>
              </w:rPr>
            </w:pPr>
          </w:p>
        </w:tc>
        <w:tc>
          <w:tcPr>
            <w:tcW w:w="1275" w:type="dxa"/>
          </w:tcPr>
          <w:p w:rsidR="000530F1" w:rsidRPr="00DD5BA3" w:rsidRDefault="004456F7" w:rsidP="000530F1">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sidR="000530F1" w:rsidRPr="00DD5BA3">
              <w:rPr>
                <w:rFonts w:asciiTheme="minorHAnsi" w:eastAsia="Times New Roman" w:hAnsiTheme="minorHAnsi" w:cstheme="minorHAnsi"/>
                <w:sz w:val="22"/>
                <w:szCs w:val="22"/>
                <w:lang w:val="en-US"/>
              </w:rPr>
              <w:t>Additional</w:t>
            </w:r>
          </w:p>
        </w:tc>
        <w:tc>
          <w:tcPr>
            <w:tcW w:w="1276" w:type="dxa"/>
            <w:vAlign w:val="center"/>
          </w:tcPr>
          <w:p w:rsidR="000530F1" w:rsidRPr="00DD5BA3" w:rsidRDefault="000530F1"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1</w:t>
            </w:r>
          </w:p>
        </w:tc>
        <w:tc>
          <w:tcPr>
            <w:tcW w:w="987" w:type="dxa"/>
            <w:shd w:val="clear" w:color="auto" w:fill="D9D9D9" w:themeFill="background1" w:themeFillShade="D9"/>
            <w:vAlign w:val="center"/>
          </w:tcPr>
          <w:p w:rsidR="000530F1" w:rsidRPr="0068094B" w:rsidRDefault="000530F1" w:rsidP="00B939D2">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w:t>
            </w:r>
          </w:p>
        </w:tc>
      </w:tr>
      <w:tr w:rsidR="000530F1" w:rsidRPr="0068094B" w:rsidTr="004456F7">
        <w:trPr>
          <w:jc w:val="center"/>
        </w:trPr>
        <w:tc>
          <w:tcPr>
            <w:tcW w:w="5865" w:type="dxa"/>
          </w:tcPr>
          <w:p w:rsidR="000530F1" w:rsidRPr="0068094B" w:rsidRDefault="000530F1" w:rsidP="00AE6061">
            <w:pPr>
              <w:tabs>
                <w:tab w:val="left" w:pos="0"/>
              </w:tabs>
              <w:snapToGrid w:val="0"/>
              <w:rPr>
                <w:rFonts w:asciiTheme="minorHAnsi" w:hAnsiTheme="minorHAnsi" w:cstheme="minorHAnsi"/>
                <w:sz w:val="22"/>
                <w:szCs w:val="22"/>
              </w:rPr>
            </w:pPr>
          </w:p>
        </w:tc>
        <w:tc>
          <w:tcPr>
            <w:tcW w:w="1275" w:type="dxa"/>
          </w:tcPr>
          <w:p w:rsidR="000530F1" w:rsidRPr="00DD5BA3" w:rsidRDefault="000530F1"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vAlign w:val="center"/>
          </w:tcPr>
          <w:p w:rsidR="000530F1" w:rsidRPr="00DD5BA3" w:rsidRDefault="000530F1"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shd w:val="clear" w:color="auto" w:fill="D9D9D9" w:themeFill="background1" w:themeFillShade="D9"/>
            <w:vAlign w:val="center"/>
          </w:tcPr>
          <w:p w:rsidR="000530F1" w:rsidRPr="0068094B" w:rsidRDefault="000530F1" w:rsidP="00B939D2">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530F1" w:rsidRPr="0068094B" w:rsidTr="004456F7">
        <w:trPr>
          <w:jc w:val="center"/>
        </w:trPr>
        <w:tc>
          <w:tcPr>
            <w:tcW w:w="5865" w:type="dxa"/>
            <w:vMerge w:val="restart"/>
          </w:tcPr>
          <w:p w:rsidR="000530F1" w:rsidRPr="0068094B" w:rsidRDefault="000530F1" w:rsidP="001536B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Fees payable to Ernst &amp; Young LLP for the certification of grant claims and returns for the year</w:t>
            </w:r>
          </w:p>
        </w:tc>
        <w:tc>
          <w:tcPr>
            <w:tcW w:w="1275" w:type="dxa"/>
          </w:tcPr>
          <w:p w:rsidR="000530F1" w:rsidRPr="00DD5BA3" w:rsidRDefault="004456F7" w:rsidP="000530F1">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sidR="000530F1" w:rsidRPr="00DD5BA3">
              <w:rPr>
                <w:rFonts w:asciiTheme="minorHAnsi" w:eastAsia="Times New Roman" w:hAnsiTheme="minorHAnsi" w:cstheme="minorHAnsi"/>
                <w:sz w:val="22"/>
                <w:szCs w:val="22"/>
                <w:lang w:val="en-US"/>
              </w:rPr>
              <w:t>Planned</w:t>
            </w:r>
          </w:p>
        </w:tc>
        <w:tc>
          <w:tcPr>
            <w:tcW w:w="1276" w:type="dxa"/>
            <w:vAlign w:val="center"/>
          </w:tcPr>
          <w:p w:rsidR="000530F1" w:rsidRPr="00DD5BA3" w:rsidRDefault="000530F1"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11</w:t>
            </w:r>
          </w:p>
        </w:tc>
        <w:tc>
          <w:tcPr>
            <w:tcW w:w="987" w:type="dxa"/>
            <w:shd w:val="clear" w:color="auto" w:fill="D9D9D9" w:themeFill="background1" w:themeFillShade="D9"/>
            <w:vAlign w:val="center"/>
          </w:tcPr>
          <w:p w:rsidR="000530F1" w:rsidRPr="0068094B" w:rsidRDefault="000530F1" w:rsidP="00B939D2">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11</w:t>
            </w:r>
          </w:p>
        </w:tc>
      </w:tr>
      <w:tr w:rsidR="000530F1" w:rsidRPr="0068094B" w:rsidTr="004456F7">
        <w:trPr>
          <w:jc w:val="center"/>
        </w:trPr>
        <w:tc>
          <w:tcPr>
            <w:tcW w:w="5865" w:type="dxa"/>
            <w:vMerge/>
          </w:tcPr>
          <w:p w:rsidR="000530F1" w:rsidRPr="0068094B" w:rsidRDefault="000530F1" w:rsidP="00AE6061">
            <w:pPr>
              <w:tabs>
                <w:tab w:val="left" w:pos="0"/>
              </w:tabs>
              <w:snapToGrid w:val="0"/>
              <w:rPr>
                <w:rFonts w:asciiTheme="minorHAnsi" w:hAnsiTheme="minorHAnsi" w:cstheme="minorHAnsi"/>
                <w:sz w:val="22"/>
                <w:szCs w:val="22"/>
              </w:rPr>
            </w:pPr>
          </w:p>
        </w:tc>
        <w:tc>
          <w:tcPr>
            <w:tcW w:w="1275" w:type="dxa"/>
          </w:tcPr>
          <w:p w:rsidR="000530F1" w:rsidRPr="00DD5BA3" w:rsidRDefault="004456F7" w:rsidP="000530F1">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sidR="000530F1" w:rsidRPr="00DD5BA3">
              <w:rPr>
                <w:rFonts w:asciiTheme="minorHAnsi" w:eastAsia="Times New Roman" w:hAnsiTheme="minorHAnsi" w:cstheme="minorHAnsi"/>
                <w:sz w:val="22"/>
                <w:szCs w:val="22"/>
                <w:lang w:val="en-US"/>
              </w:rPr>
              <w:t>Additional</w:t>
            </w:r>
          </w:p>
        </w:tc>
        <w:tc>
          <w:tcPr>
            <w:tcW w:w="1276" w:type="dxa"/>
            <w:vAlign w:val="center"/>
          </w:tcPr>
          <w:p w:rsidR="000530F1" w:rsidRPr="00DD5BA3" w:rsidRDefault="000530F1"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15</w:t>
            </w:r>
          </w:p>
        </w:tc>
        <w:tc>
          <w:tcPr>
            <w:tcW w:w="987" w:type="dxa"/>
            <w:shd w:val="clear" w:color="auto" w:fill="D9D9D9" w:themeFill="background1" w:themeFillShade="D9"/>
            <w:vAlign w:val="center"/>
          </w:tcPr>
          <w:p w:rsidR="000530F1" w:rsidRPr="0068094B" w:rsidRDefault="000530F1" w:rsidP="00B939D2">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w:t>
            </w:r>
          </w:p>
        </w:tc>
      </w:tr>
      <w:tr w:rsidR="000530F1" w:rsidRPr="0068094B" w:rsidTr="004456F7">
        <w:trPr>
          <w:jc w:val="center"/>
        </w:trPr>
        <w:tc>
          <w:tcPr>
            <w:tcW w:w="5865" w:type="dxa"/>
          </w:tcPr>
          <w:p w:rsidR="000530F1" w:rsidRPr="0068094B" w:rsidRDefault="000530F1" w:rsidP="00AE6061">
            <w:pPr>
              <w:tabs>
                <w:tab w:val="left" w:pos="0"/>
              </w:tabs>
              <w:snapToGrid w:val="0"/>
              <w:rPr>
                <w:rFonts w:asciiTheme="minorHAnsi" w:hAnsiTheme="minorHAnsi" w:cstheme="minorHAnsi"/>
                <w:sz w:val="22"/>
                <w:szCs w:val="22"/>
              </w:rPr>
            </w:pPr>
          </w:p>
        </w:tc>
        <w:tc>
          <w:tcPr>
            <w:tcW w:w="1275" w:type="dxa"/>
          </w:tcPr>
          <w:p w:rsidR="000530F1" w:rsidRPr="00DD5BA3" w:rsidRDefault="000530F1"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tcBorders>
              <w:bottom w:val="single" w:sz="4" w:space="0" w:color="000000"/>
            </w:tcBorders>
            <w:vAlign w:val="center"/>
          </w:tcPr>
          <w:p w:rsidR="000530F1" w:rsidRPr="00DD5BA3" w:rsidRDefault="000530F1"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tcBorders>
              <w:bottom w:val="single" w:sz="4" w:space="0" w:color="808080"/>
            </w:tcBorders>
            <w:shd w:val="clear" w:color="auto" w:fill="D9D9D9" w:themeFill="background1" w:themeFillShade="D9"/>
            <w:vAlign w:val="center"/>
          </w:tcPr>
          <w:p w:rsidR="000530F1" w:rsidRPr="0068094B" w:rsidRDefault="000530F1" w:rsidP="00B939D2">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530F1" w:rsidRPr="0068094B" w:rsidTr="004456F7">
        <w:trPr>
          <w:trHeight w:val="340"/>
          <w:jc w:val="center"/>
        </w:trPr>
        <w:tc>
          <w:tcPr>
            <w:tcW w:w="5865" w:type="dxa"/>
            <w:vAlign w:val="center"/>
          </w:tcPr>
          <w:p w:rsidR="000530F1" w:rsidRPr="0068094B" w:rsidRDefault="000530F1"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w:t>
            </w:r>
          </w:p>
        </w:tc>
        <w:tc>
          <w:tcPr>
            <w:tcW w:w="1275" w:type="dxa"/>
          </w:tcPr>
          <w:p w:rsidR="000530F1" w:rsidRPr="00DD5BA3" w:rsidRDefault="000530F1" w:rsidP="000307B3">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p>
        </w:tc>
        <w:tc>
          <w:tcPr>
            <w:tcW w:w="1276" w:type="dxa"/>
            <w:tcBorders>
              <w:top w:val="single" w:sz="4" w:space="0" w:color="000000"/>
              <w:bottom w:val="double" w:sz="4" w:space="0" w:color="000000"/>
            </w:tcBorders>
            <w:vAlign w:val="center"/>
          </w:tcPr>
          <w:p w:rsidR="000530F1" w:rsidRPr="00DD5BA3" w:rsidRDefault="000530F1" w:rsidP="000307B3">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sidRPr="00DD5BA3">
              <w:rPr>
                <w:rFonts w:asciiTheme="minorHAnsi" w:hAnsiTheme="minorHAnsi" w:cstheme="minorHAnsi"/>
                <w:b w:val="0"/>
                <w:sz w:val="22"/>
                <w:szCs w:val="22"/>
                <w:lang w:val="en-US"/>
              </w:rPr>
              <w:t>65</w:t>
            </w:r>
          </w:p>
        </w:tc>
        <w:tc>
          <w:tcPr>
            <w:tcW w:w="987" w:type="dxa"/>
            <w:tcBorders>
              <w:top w:val="single" w:sz="4" w:space="0" w:color="808080"/>
              <w:bottom w:val="double" w:sz="4" w:space="0" w:color="808080"/>
            </w:tcBorders>
            <w:shd w:val="clear" w:color="auto" w:fill="D9D9D9" w:themeFill="background1" w:themeFillShade="D9"/>
            <w:vAlign w:val="center"/>
          </w:tcPr>
          <w:p w:rsidR="000530F1" w:rsidRPr="0068094B" w:rsidRDefault="000530F1" w:rsidP="00B939D2">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Pr>
                <w:rFonts w:asciiTheme="minorHAnsi" w:hAnsiTheme="minorHAnsi" w:cstheme="minorHAnsi"/>
                <w:b w:val="0"/>
                <w:sz w:val="22"/>
                <w:szCs w:val="22"/>
                <w:lang w:val="en-US"/>
              </w:rPr>
              <w:t>49</w:t>
            </w:r>
          </w:p>
        </w:tc>
      </w:tr>
    </w:tbl>
    <w:p w:rsidR="00F948B5" w:rsidRDefault="00F948B5" w:rsidP="00F948B5">
      <w:pPr>
        <w:pStyle w:val="ListParagraph"/>
        <w:tabs>
          <w:tab w:val="left" w:pos="0"/>
        </w:tabs>
        <w:jc w:val="both"/>
        <w:rPr>
          <w:rFonts w:asciiTheme="minorHAnsi" w:hAnsiTheme="minorHAnsi" w:cstheme="minorHAnsi"/>
          <w:b/>
          <w:bCs/>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Grant Income</w:t>
      </w:r>
      <w:r w:rsidR="0095054C" w:rsidRPr="0068094B">
        <w:rPr>
          <w:rFonts w:asciiTheme="minorHAnsi" w:hAnsiTheme="minorHAnsi" w:cstheme="minorHAnsi"/>
          <w:b/>
          <w:bCs/>
          <w:szCs w:val="22"/>
        </w:rPr>
        <w:t xml:space="preserve"> </w:t>
      </w:r>
    </w:p>
    <w:p w:rsidR="00070322" w:rsidRPr="0068094B" w:rsidRDefault="00070322" w:rsidP="00070322">
      <w:pPr>
        <w:pStyle w:val="ListParagraph"/>
        <w:tabs>
          <w:tab w:val="left" w:pos="0"/>
        </w:tabs>
        <w:jc w:val="both"/>
        <w:rPr>
          <w:rFonts w:asciiTheme="minorHAnsi" w:hAnsiTheme="minorHAnsi" w:cstheme="minorHAnsi"/>
          <w:b/>
          <w:bCs/>
          <w:szCs w:val="22"/>
        </w:rPr>
      </w:pPr>
    </w:p>
    <w:p w:rsidR="009647CF" w:rsidRDefault="009647CF" w:rsidP="009647CF">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credited the following grants, contributions and donations to the Comprehensive Income and Expenditure Statement in </w:t>
      </w:r>
      <w:r w:rsidR="00233918" w:rsidRPr="0068094B">
        <w:rPr>
          <w:rFonts w:asciiTheme="minorHAnsi" w:hAnsiTheme="minorHAnsi" w:cstheme="minorHAnsi"/>
          <w:sz w:val="22"/>
          <w:szCs w:val="22"/>
        </w:rPr>
        <w:t>201</w:t>
      </w:r>
      <w:r w:rsidR="006B2AA2">
        <w:rPr>
          <w:rFonts w:asciiTheme="minorHAnsi" w:hAnsiTheme="minorHAnsi" w:cstheme="minorHAnsi"/>
          <w:sz w:val="22"/>
          <w:szCs w:val="22"/>
        </w:rPr>
        <w:t>9</w:t>
      </w:r>
      <w:r w:rsidR="00233918" w:rsidRPr="0068094B">
        <w:rPr>
          <w:rFonts w:asciiTheme="minorHAnsi" w:hAnsiTheme="minorHAnsi" w:cstheme="minorHAnsi"/>
          <w:sz w:val="22"/>
          <w:szCs w:val="22"/>
        </w:rPr>
        <w:t>-</w:t>
      </w:r>
      <w:r w:rsidR="006B2AA2">
        <w:rPr>
          <w:rFonts w:asciiTheme="minorHAnsi" w:hAnsiTheme="minorHAnsi" w:cstheme="minorHAnsi"/>
          <w:sz w:val="22"/>
          <w:szCs w:val="22"/>
        </w:rPr>
        <w:t>20</w:t>
      </w:r>
      <w:r w:rsidR="009067DE"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rsidR="000F3377" w:rsidRDefault="000F3377" w:rsidP="009647CF">
      <w:pPr>
        <w:tabs>
          <w:tab w:val="left" w:pos="0"/>
        </w:tabs>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Income "/>
      </w:tblPr>
      <w:tblGrid>
        <w:gridCol w:w="4928"/>
        <w:gridCol w:w="1276"/>
        <w:gridCol w:w="1275"/>
        <w:gridCol w:w="1468"/>
      </w:tblGrid>
      <w:tr w:rsidR="000F3377" w:rsidRPr="00DD5BA3" w:rsidTr="00E40E8E">
        <w:trPr>
          <w:tblHeader/>
        </w:trPr>
        <w:tc>
          <w:tcPr>
            <w:tcW w:w="4928" w:type="dxa"/>
          </w:tcPr>
          <w:p w:rsidR="000F3377" w:rsidRDefault="000F3377" w:rsidP="009647CF">
            <w:pPr>
              <w:tabs>
                <w:tab w:val="left" w:pos="0"/>
              </w:tabs>
              <w:rPr>
                <w:rFonts w:asciiTheme="minorHAnsi" w:hAnsiTheme="minorHAnsi" w:cstheme="minorHAnsi"/>
                <w:sz w:val="22"/>
                <w:szCs w:val="22"/>
              </w:rPr>
            </w:pPr>
          </w:p>
        </w:tc>
        <w:tc>
          <w:tcPr>
            <w:tcW w:w="1276" w:type="dxa"/>
            <w:tcBorders>
              <w:bottom w:val="single" w:sz="4" w:space="0" w:color="auto"/>
            </w:tcBorders>
            <w:vAlign w:val="center"/>
          </w:tcPr>
          <w:p w:rsidR="000F3377" w:rsidRPr="00DD5BA3" w:rsidRDefault="000F3377" w:rsidP="00C34D7A">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w:t>
            </w:r>
            <w:r w:rsidR="00C34D7A" w:rsidRPr="00DD5BA3">
              <w:rPr>
                <w:rFonts w:asciiTheme="minorHAnsi" w:hAnsiTheme="minorHAnsi" w:cstheme="minorHAnsi"/>
                <w:b/>
                <w:sz w:val="22"/>
                <w:szCs w:val="22"/>
              </w:rPr>
              <w:t>Original</w:t>
            </w:r>
            <w:r w:rsidRPr="00DD5BA3">
              <w:rPr>
                <w:rFonts w:asciiTheme="minorHAnsi" w:hAnsiTheme="minorHAnsi" w:cstheme="minorHAnsi"/>
                <w:b/>
                <w:sz w:val="22"/>
                <w:szCs w:val="22"/>
              </w:rPr>
              <w:t>)</w:t>
            </w:r>
          </w:p>
          <w:p w:rsidR="000F3377" w:rsidRPr="00DD5BA3" w:rsidRDefault="000F3377" w:rsidP="00C34D7A">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2018-19</w:t>
            </w:r>
          </w:p>
          <w:p w:rsidR="000F3377" w:rsidRPr="00DD5BA3" w:rsidRDefault="000F3377" w:rsidP="00C34D7A">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c>
          <w:tcPr>
            <w:tcW w:w="1275" w:type="dxa"/>
            <w:tcBorders>
              <w:bottom w:val="single" w:sz="4" w:space="0" w:color="auto"/>
            </w:tcBorders>
            <w:vAlign w:val="center"/>
          </w:tcPr>
          <w:p w:rsidR="000F3377" w:rsidRPr="00DD5BA3" w:rsidRDefault="000F3377" w:rsidP="000F3377">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(Restated)</w:t>
            </w:r>
          </w:p>
          <w:p w:rsidR="000F3377" w:rsidRPr="00DD5BA3" w:rsidRDefault="000F3377" w:rsidP="000F3377">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2018-19</w:t>
            </w:r>
          </w:p>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c>
          <w:tcPr>
            <w:tcW w:w="1468" w:type="dxa"/>
            <w:tcBorders>
              <w:bottom w:val="single" w:sz="4" w:space="0" w:color="808080" w:themeColor="background1" w:themeShade="80"/>
            </w:tcBorders>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b/>
                <w:sz w:val="22"/>
                <w:szCs w:val="22"/>
              </w:rPr>
            </w:pPr>
          </w:p>
          <w:p w:rsidR="000F3377" w:rsidRPr="00DD5BA3" w:rsidRDefault="000F3377" w:rsidP="000F3377">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2019-20</w:t>
            </w:r>
          </w:p>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r>
      <w:tr w:rsidR="000F3377" w:rsidRPr="00DD5BA3" w:rsidTr="00C34D7A">
        <w:tc>
          <w:tcPr>
            <w:tcW w:w="4928" w:type="dxa"/>
          </w:tcPr>
          <w:p w:rsidR="000F3377" w:rsidRDefault="000F3377" w:rsidP="009647CF">
            <w:pPr>
              <w:tabs>
                <w:tab w:val="left" w:pos="0"/>
              </w:tabs>
              <w:rPr>
                <w:rFonts w:asciiTheme="minorHAnsi" w:hAnsiTheme="minorHAnsi" w:cstheme="minorHAnsi"/>
                <w:sz w:val="22"/>
                <w:szCs w:val="22"/>
              </w:rPr>
            </w:pPr>
            <w:r w:rsidRPr="0068094B">
              <w:rPr>
                <w:rFonts w:asciiTheme="minorHAnsi" w:hAnsiTheme="minorHAnsi" w:cstheme="minorHAnsi"/>
                <w:b/>
                <w:bCs/>
                <w:sz w:val="22"/>
                <w:szCs w:val="22"/>
                <w:u w:val="single"/>
              </w:rPr>
              <w:t>Credited to Taxation and Non Specific Grant Income and Expenditure</w:t>
            </w:r>
          </w:p>
        </w:tc>
        <w:tc>
          <w:tcPr>
            <w:tcW w:w="1276" w:type="dxa"/>
            <w:tcBorders>
              <w:top w:val="single" w:sz="4" w:space="0" w:color="auto"/>
            </w:tcBorders>
          </w:tcPr>
          <w:p w:rsidR="000F3377" w:rsidRPr="00DD5BA3" w:rsidRDefault="000F3377" w:rsidP="009647CF">
            <w:pPr>
              <w:tabs>
                <w:tab w:val="left" w:pos="0"/>
              </w:tabs>
              <w:rPr>
                <w:rFonts w:asciiTheme="minorHAnsi" w:hAnsiTheme="minorHAnsi" w:cstheme="minorHAnsi"/>
                <w:sz w:val="22"/>
                <w:szCs w:val="22"/>
              </w:rPr>
            </w:pPr>
          </w:p>
        </w:tc>
        <w:tc>
          <w:tcPr>
            <w:tcW w:w="1275" w:type="dxa"/>
            <w:tcBorders>
              <w:top w:val="single" w:sz="4" w:space="0" w:color="auto"/>
            </w:tcBorders>
          </w:tcPr>
          <w:p w:rsidR="000F3377" w:rsidRPr="00DD5BA3" w:rsidRDefault="000F3377" w:rsidP="009647CF">
            <w:pPr>
              <w:tabs>
                <w:tab w:val="left" w:pos="0"/>
              </w:tabs>
              <w:rPr>
                <w:rFonts w:asciiTheme="minorHAnsi" w:hAnsiTheme="minorHAnsi" w:cstheme="minorHAnsi"/>
                <w:sz w:val="22"/>
                <w:szCs w:val="22"/>
              </w:rPr>
            </w:pPr>
          </w:p>
        </w:tc>
        <w:tc>
          <w:tcPr>
            <w:tcW w:w="1468" w:type="dxa"/>
            <w:tcBorders>
              <w:top w:val="single" w:sz="4" w:space="0" w:color="808080" w:themeColor="background1" w:themeShade="80"/>
            </w:tcBorders>
            <w:shd w:val="clear" w:color="auto" w:fill="D9D9D9" w:themeFill="background1" w:themeFillShade="D9"/>
          </w:tcPr>
          <w:p w:rsidR="000F3377" w:rsidRPr="00DD5BA3" w:rsidRDefault="000F3377" w:rsidP="009647CF">
            <w:pPr>
              <w:tabs>
                <w:tab w:val="left" w:pos="0"/>
              </w:tabs>
              <w:rPr>
                <w:rFonts w:asciiTheme="minorHAnsi" w:hAnsiTheme="minorHAnsi" w:cstheme="minorHAnsi"/>
                <w:sz w:val="22"/>
                <w:szCs w:val="22"/>
              </w:rPr>
            </w:pPr>
          </w:p>
        </w:tc>
      </w:tr>
      <w:tr w:rsidR="000F3377" w:rsidRPr="00DD5BA3" w:rsidTr="00C34D7A">
        <w:tc>
          <w:tcPr>
            <w:tcW w:w="4928" w:type="dxa"/>
            <w:vAlign w:val="center"/>
          </w:tcPr>
          <w:p w:rsidR="000F3377" w:rsidRDefault="000F3377" w:rsidP="000F3377">
            <w:pPr>
              <w:tabs>
                <w:tab w:val="left" w:pos="0"/>
              </w:tabs>
              <w:rPr>
                <w:rFonts w:asciiTheme="minorHAnsi" w:hAnsiTheme="minorHAnsi" w:cstheme="minorHAnsi"/>
                <w:sz w:val="22"/>
                <w:szCs w:val="22"/>
              </w:rPr>
            </w:pPr>
            <w:r w:rsidRPr="0068094B">
              <w:rPr>
                <w:rFonts w:asciiTheme="minorHAnsi" w:hAnsiTheme="minorHAnsi" w:cstheme="minorHAnsi"/>
                <w:sz w:val="22"/>
                <w:szCs w:val="22"/>
              </w:rPr>
              <w:t>Capital grants and contributions</w:t>
            </w:r>
          </w:p>
        </w:tc>
        <w:tc>
          <w:tcPr>
            <w:tcW w:w="1276" w:type="dxa"/>
            <w:vAlign w:val="center"/>
          </w:tcPr>
          <w:p w:rsidR="000F3377" w:rsidRPr="00DD5BA3" w:rsidRDefault="00C34D7A"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8,825</w:t>
            </w:r>
          </w:p>
        </w:tc>
        <w:tc>
          <w:tcPr>
            <w:tcW w:w="1275" w:type="dxa"/>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8,825</w:t>
            </w:r>
          </w:p>
        </w:tc>
        <w:tc>
          <w:tcPr>
            <w:tcW w:w="1468" w:type="dxa"/>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3,530</w:t>
            </w:r>
          </w:p>
        </w:tc>
      </w:tr>
      <w:tr w:rsidR="000F3377" w:rsidRPr="00DD5BA3" w:rsidTr="00C34D7A">
        <w:tc>
          <w:tcPr>
            <w:tcW w:w="4928" w:type="dxa"/>
          </w:tcPr>
          <w:p w:rsidR="000F3377" w:rsidRDefault="000F3377" w:rsidP="000F3377">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New Homes Bonus Scheme </w:t>
            </w:r>
          </w:p>
        </w:tc>
        <w:tc>
          <w:tcPr>
            <w:tcW w:w="1276" w:type="dxa"/>
            <w:vAlign w:val="center"/>
          </w:tcPr>
          <w:p w:rsidR="000F3377" w:rsidRPr="00DD5BA3" w:rsidRDefault="00C34D7A"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2,314</w:t>
            </w:r>
          </w:p>
        </w:tc>
        <w:tc>
          <w:tcPr>
            <w:tcW w:w="1275" w:type="dxa"/>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2,314</w:t>
            </w:r>
          </w:p>
        </w:tc>
        <w:tc>
          <w:tcPr>
            <w:tcW w:w="1468" w:type="dxa"/>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2,178</w:t>
            </w:r>
          </w:p>
        </w:tc>
      </w:tr>
      <w:tr w:rsidR="00C34D7A" w:rsidRPr="00DD5BA3" w:rsidTr="00C34D7A">
        <w:tc>
          <w:tcPr>
            <w:tcW w:w="4928" w:type="dxa"/>
          </w:tcPr>
          <w:p w:rsidR="00C34D7A" w:rsidRPr="0068094B" w:rsidRDefault="00C34D7A" w:rsidP="000F3377">
            <w:pPr>
              <w:tabs>
                <w:tab w:val="left" w:pos="0"/>
              </w:tabs>
              <w:rPr>
                <w:rFonts w:asciiTheme="minorHAnsi" w:hAnsiTheme="minorHAnsi" w:cstheme="minorHAnsi"/>
                <w:sz w:val="22"/>
                <w:szCs w:val="22"/>
              </w:rPr>
            </w:pPr>
            <w:r>
              <w:rPr>
                <w:rFonts w:asciiTheme="minorHAnsi" w:hAnsiTheme="minorHAnsi" w:cstheme="minorHAnsi"/>
                <w:sz w:val="22"/>
                <w:szCs w:val="22"/>
              </w:rPr>
              <w:t>Small Business Rate Relief Grant</w:t>
            </w:r>
          </w:p>
        </w:tc>
        <w:tc>
          <w:tcPr>
            <w:tcW w:w="1276" w:type="dxa"/>
            <w:vAlign w:val="center"/>
          </w:tcPr>
          <w:p w:rsidR="00C34D7A" w:rsidRPr="00DD5BA3" w:rsidRDefault="00C34D7A" w:rsidP="005C2F15">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1,</w:t>
            </w:r>
            <w:r w:rsidR="005C2F15" w:rsidRPr="00DD5BA3">
              <w:rPr>
                <w:rFonts w:asciiTheme="minorHAnsi" w:hAnsiTheme="minorHAnsi" w:cstheme="minorHAnsi"/>
                <w:sz w:val="22"/>
                <w:szCs w:val="22"/>
              </w:rPr>
              <w:t>791</w:t>
            </w:r>
          </w:p>
        </w:tc>
        <w:tc>
          <w:tcPr>
            <w:tcW w:w="1275" w:type="dxa"/>
            <w:vAlign w:val="center"/>
          </w:tcPr>
          <w:p w:rsidR="00C34D7A" w:rsidRPr="00DD5BA3" w:rsidRDefault="00C34D7A"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w:t>
            </w:r>
          </w:p>
        </w:tc>
        <w:tc>
          <w:tcPr>
            <w:tcW w:w="1468" w:type="dxa"/>
            <w:shd w:val="clear" w:color="auto" w:fill="D9D9D9" w:themeFill="background1" w:themeFillShade="D9"/>
            <w:vAlign w:val="center"/>
          </w:tcPr>
          <w:p w:rsidR="00C34D7A" w:rsidRPr="00DD5BA3" w:rsidRDefault="00C34D7A"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w:t>
            </w:r>
          </w:p>
        </w:tc>
      </w:tr>
      <w:tr w:rsidR="000F3377" w:rsidRPr="00DD5BA3" w:rsidTr="00C34D7A">
        <w:tc>
          <w:tcPr>
            <w:tcW w:w="4928" w:type="dxa"/>
          </w:tcPr>
          <w:p w:rsidR="000F3377" w:rsidRDefault="000F3377" w:rsidP="000F3377">
            <w:pPr>
              <w:tabs>
                <w:tab w:val="left" w:pos="0"/>
              </w:tabs>
              <w:rPr>
                <w:rFonts w:asciiTheme="minorHAnsi" w:hAnsiTheme="minorHAnsi" w:cstheme="minorHAnsi"/>
                <w:sz w:val="22"/>
                <w:szCs w:val="22"/>
              </w:rPr>
            </w:pPr>
            <w:r w:rsidRPr="0068094B">
              <w:rPr>
                <w:rFonts w:asciiTheme="minorHAnsi" w:hAnsiTheme="minorHAnsi" w:cstheme="minorHAnsi"/>
                <w:sz w:val="22"/>
                <w:szCs w:val="22"/>
              </w:rPr>
              <w:t>Business Rate</w:t>
            </w:r>
            <w:r>
              <w:rPr>
                <w:rFonts w:asciiTheme="minorHAnsi" w:hAnsiTheme="minorHAnsi" w:cstheme="minorHAnsi"/>
                <w:sz w:val="22"/>
                <w:szCs w:val="22"/>
              </w:rPr>
              <w:t xml:space="preserve">s Retention Scheme </w:t>
            </w:r>
            <w:r w:rsidRPr="0068094B">
              <w:rPr>
                <w:rFonts w:asciiTheme="minorHAnsi" w:hAnsiTheme="minorHAnsi" w:cstheme="minorHAnsi"/>
                <w:sz w:val="22"/>
                <w:szCs w:val="22"/>
              </w:rPr>
              <w:t>Grant</w:t>
            </w:r>
            <w:r>
              <w:rPr>
                <w:rFonts w:asciiTheme="minorHAnsi" w:hAnsiTheme="minorHAnsi" w:cstheme="minorHAnsi"/>
                <w:sz w:val="22"/>
                <w:szCs w:val="22"/>
              </w:rPr>
              <w:t>s</w:t>
            </w:r>
          </w:p>
        </w:tc>
        <w:tc>
          <w:tcPr>
            <w:tcW w:w="1276" w:type="dxa"/>
            <w:vAlign w:val="center"/>
          </w:tcPr>
          <w:p w:rsidR="000F3377" w:rsidRPr="00DD5BA3" w:rsidRDefault="00C34D7A"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w:t>
            </w:r>
          </w:p>
        </w:tc>
        <w:tc>
          <w:tcPr>
            <w:tcW w:w="1275" w:type="dxa"/>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1,920</w:t>
            </w:r>
          </w:p>
        </w:tc>
        <w:tc>
          <w:tcPr>
            <w:tcW w:w="1468" w:type="dxa"/>
            <w:shd w:val="clear" w:color="auto" w:fill="D9D9D9" w:themeFill="background1" w:themeFillShade="D9"/>
            <w:vAlign w:val="center"/>
          </w:tcPr>
          <w:p w:rsidR="000F3377" w:rsidRPr="00DD5BA3" w:rsidRDefault="000F3377" w:rsidP="00EC13C0">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1,3</w:t>
            </w:r>
            <w:r w:rsidR="00EC13C0" w:rsidRPr="00DD5BA3">
              <w:rPr>
                <w:rFonts w:asciiTheme="minorHAnsi" w:hAnsiTheme="minorHAnsi" w:cstheme="minorHAnsi"/>
                <w:sz w:val="22"/>
                <w:szCs w:val="22"/>
              </w:rPr>
              <w:t>53</w:t>
            </w:r>
          </w:p>
        </w:tc>
      </w:tr>
      <w:tr w:rsidR="000F3377" w:rsidRPr="00DD5BA3" w:rsidTr="00C34D7A">
        <w:tc>
          <w:tcPr>
            <w:tcW w:w="4928" w:type="dxa"/>
          </w:tcPr>
          <w:p w:rsidR="000F3377" w:rsidRDefault="000F3377" w:rsidP="000F3377">
            <w:pPr>
              <w:tabs>
                <w:tab w:val="left" w:pos="0"/>
              </w:tabs>
              <w:rPr>
                <w:rFonts w:asciiTheme="minorHAnsi" w:hAnsiTheme="minorHAnsi" w:cstheme="minorHAnsi"/>
                <w:sz w:val="22"/>
                <w:szCs w:val="22"/>
              </w:rPr>
            </w:pPr>
            <w:r w:rsidRPr="0068094B">
              <w:rPr>
                <w:rFonts w:asciiTheme="minorHAnsi" w:hAnsiTheme="minorHAnsi" w:cstheme="minorHAnsi"/>
                <w:sz w:val="22"/>
                <w:szCs w:val="22"/>
              </w:rPr>
              <w:t>Other Government Grants</w:t>
            </w:r>
          </w:p>
        </w:tc>
        <w:tc>
          <w:tcPr>
            <w:tcW w:w="1276" w:type="dxa"/>
            <w:tcBorders>
              <w:bottom w:val="single" w:sz="4" w:space="0" w:color="auto"/>
            </w:tcBorders>
            <w:vAlign w:val="center"/>
          </w:tcPr>
          <w:p w:rsidR="000F3377" w:rsidRPr="00DD5BA3" w:rsidRDefault="005C2F15"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410</w:t>
            </w:r>
          </w:p>
        </w:tc>
        <w:tc>
          <w:tcPr>
            <w:tcW w:w="1275" w:type="dxa"/>
            <w:tcBorders>
              <w:bottom w:val="single" w:sz="4" w:space="0" w:color="auto"/>
            </w:tcBorders>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274</w:t>
            </w:r>
          </w:p>
        </w:tc>
        <w:tc>
          <w:tcPr>
            <w:tcW w:w="1468" w:type="dxa"/>
            <w:tcBorders>
              <w:bottom w:val="single" w:sz="4" w:space="0" w:color="808080" w:themeColor="background1" w:themeShade="80"/>
            </w:tcBorders>
            <w:shd w:val="clear" w:color="auto" w:fill="D9D9D9" w:themeFill="background1" w:themeFillShade="D9"/>
            <w:vAlign w:val="center"/>
          </w:tcPr>
          <w:p w:rsidR="000F3377" w:rsidRPr="00DD5BA3" w:rsidRDefault="000F3377" w:rsidP="00EC13C0">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9</w:t>
            </w:r>
            <w:r w:rsidR="00EC13C0" w:rsidRPr="00DD5BA3">
              <w:rPr>
                <w:rFonts w:asciiTheme="minorHAnsi" w:hAnsiTheme="minorHAnsi" w:cstheme="minorHAnsi"/>
                <w:sz w:val="22"/>
                <w:szCs w:val="22"/>
              </w:rPr>
              <w:t>9</w:t>
            </w:r>
          </w:p>
        </w:tc>
      </w:tr>
      <w:tr w:rsidR="000F3377" w:rsidRPr="00DD5BA3" w:rsidTr="00C34D7A">
        <w:tc>
          <w:tcPr>
            <w:tcW w:w="4928" w:type="dxa"/>
          </w:tcPr>
          <w:p w:rsidR="000F3377" w:rsidRDefault="000F3377" w:rsidP="000F3377">
            <w:pPr>
              <w:tabs>
                <w:tab w:val="left" w:pos="0"/>
              </w:tabs>
              <w:rPr>
                <w:rFonts w:asciiTheme="minorHAnsi" w:hAnsiTheme="minorHAnsi" w:cstheme="minorHAnsi"/>
                <w:sz w:val="22"/>
                <w:szCs w:val="22"/>
              </w:rPr>
            </w:pPr>
            <w:r w:rsidRPr="0068094B">
              <w:rPr>
                <w:rFonts w:asciiTheme="minorHAnsi" w:hAnsiTheme="minorHAnsi" w:cstheme="minorHAnsi"/>
                <w:b/>
                <w:bCs/>
                <w:sz w:val="22"/>
                <w:szCs w:val="22"/>
              </w:rPr>
              <w:t>Total</w:t>
            </w:r>
          </w:p>
        </w:tc>
        <w:tc>
          <w:tcPr>
            <w:tcW w:w="1276" w:type="dxa"/>
            <w:tcBorders>
              <w:top w:val="single" w:sz="4" w:space="0" w:color="auto"/>
            </w:tcBorders>
            <w:vAlign w:val="center"/>
          </w:tcPr>
          <w:p w:rsidR="000F3377" w:rsidRPr="00DD5BA3" w:rsidRDefault="00C34D7A" w:rsidP="000F3377">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13,340</w:t>
            </w:r>
          </w:p>
        </w:tc>
        <w:tc>
          <w:tcPr>
            <w:tcW w:w="1275" w:type="dxa"/>
            <w:tcBorders>
              <w:top w:val="single" w:sz="4" w:space="0" w:color="auto"/>
            </w:tcBorders>
            <w:vAlign w:val="center"/>
          </w:tcPr>
          <w:p w:rsidR="000F3377" w:rsidRPr="00DD5BA3" w:rsidRDefault="000F3377" w:rsidP="000F3377">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13,333</w:t>
            </w:r>
          </w:p>
        </w:tc>
        <w:tc>
          <w:tcPr>
            <w:tcW w:w="1468" w:type="dxa"/>
            <w:tcBorders>
              <w:top w:val="single" w:sz="4" w:space="0" w:color="808080" w:themeColor="background1" w:themeShade="80"/>
            </w:tcBorders>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7,160</w:t>
            </w:r>
          </w:p>
        </w:tc>
      </w:tr>
      <w:tr w:rsidR="000F3377" w:rsidRPr="00DD5BA3" w:rsidTr="00C34D7A">
        <w:tc>
          <w:tcPr>
            <w:tcW w:w="4928" w:type="dxa"/>
            <w:vAlign w:val="center"/>
          </w:tcPr>
          <w:p w:rsidR="000F3377" w:rsidRDefault="000F3377" w:rsidP="000F3377">
            <w:pPr>
              <w:tabs>
                <w:tab w:val="left" w:pos="0"/>
              </w:tabs>
              <w:rPr>
                <w:rFonts w:asciiTheme="minorHAnsi" w:hAnsiTheme="minorHAnsi" w:cstheme="minorHAnsi"/>
                <w:sz w:val="22"/>
                <w:szCs w:val="22"/>
              </w:rPr>
            </w:pPr>
          </w:p>
        </w:tc>
        <w:tc>
          <w:tcPr>
            <w:tcW w:w="1276" w:type="dxa"/>
            <w:vAlign w:val="center"/>
          </w:tcPr>
          <w:p w:rsidR="000F3377" w:rsidRPr="00DD5BA3" w:rsidRDefault="000F3377" w:rsidP="000F3377">
            <w:pPr>
              <w:tabs>
                <w:tab w:val="left" w:pos="0"/>
              </w:tabs>
              <w:jc w:val="right"/>
              <w:rPr>
                <w:rFonts w:asciiTheme="minorHAnsi" w:hAnsiTheme="minorHAnsi" w:cstheme="minorHAnsi"/>
                <w:sz w:val="22"/>
                <w:szCs w:val="22"/>
              </w:rPr>
            </w:pPr>
          </w:p>
        </w:tc>
        <w:tc>
          <w:tcPr>
            <w:tcW w:w="1275" w:type="dxa"/>
            <w:vAlign w:val="center"/>
          </w:tcPr>
          <w:p w:rsidR="000F3377" w:rsidRPr="00DD5BA3" w:rsidRDefault="000F3377" w:rsidP="000F3377">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sz w:val="22"/>
                <w:szCs w:val="22"/>
              </w:rPr>
            </w:pPr>
          </w:p>
        </w:tc>
      </w:tr>
      <w:tr w:rsidR="000F3377" w:rsidRPr="00DD5BA3" w:rsidTr="00C34D7A">
        <w:tc>
          <w:tcPr>
            <w:tcW w:w="4928" w:type="dxa"/>
            <w:vAlign w:val="center"/>
          </w:tcPr>
          <w:p w:rsidR="000F3377" w:rsidRDefault="000F3377" w:rsidP="000F3377">
            <w:pPr>
              <w:tabs>
                <w:tab w:val="left" w:pos="0"/>
              </w:tabs>
              <w:rPr>
                <w:rFonts w:asciiTheme="minorHAnsi" w:hAnsiTheme="minorHAnsi" w:cstheme="minorHAnsi"/>
                <w:sz w:val="22"/>
                <w:szCs w:val="22"/>
              </w:rPr>
            </w:pPr>
            <w:r w:rsidRPr="001862C5">
              <w:rPr>
                <w:rFonts w:asciiTheme="minorHAnsi" w:hAnsiTheme="minorHAnsi" w:cstheme="minorHAnsi"/>
                <w:b/>
                <w:bCs/>
                <w:sz w:val="22"/>
                <w:szCs w:val="22"/>
                <w:u w:val="single"/>
              </w:rPr>
              <w:t>Credited to Services</w:t>
            </w:r>
          </w:p>
        </w:tc>
        <w:tc>
          <w:tcPr>
            <w:tcW w:w="1276" w:type="dxa"/>
            <w:vAlign w:val="center"/>
          </w:tcPr>
          <w:p w:rsidR="000F3377" w:rsidRPr="00DD5BA3" w:rsidRDefault="000F3377" w:rsidP="000F3377">
            <w:pPr>
              <w:tabs>
                <w:tab w:val="left" w:pos="0"/>
              </w:tabs>
              <w:jc w:val="right"/>
              <w:rPr>
                <w:rFonts w:asciiTheme="minorHAnsi" w:hAnsiTheme="minorHAnsi" w:cstheme="minorHAnsi"/>
                <w:sz w:val="22"/>
                <w:szCs w:val="22"/>
              </w:rPr>
            </w:pPr>
          </w:p>
        </w:tc>
        <w:tc>
          <w:tcPr>
            <w:tcW w:w="1275" w:type="dxa"/>
            <w:vAlign w:val="center"/>
          </w:tcPr>
          <w:p w:rsidR="000F3377" w:rsidRPr="00DD5BA3" w:rsidRDefault="000F3377" w:rsidP="000F3377">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sz w:val="22"/>
                <w:szCs w:val="22"/>
              </w:rPr>
            </w:pPr>
          </w:p>
        </w:tc>
      </w:tr>
      <w:tr w:rsidR="000F3377" w:rsidRPr="00DD5BA3" w:rsidTr="00C34D7A">
        <w:tc>
          <w:tcPr>
            <w:tcW w:w="4928" w:type="dxa"/>
            <w:vAlign w:val="center"/>
          </w:tcPr>
          <w:p w:rsidR="000F3377" w:rsidRDefault="000F3377" w:rsidP="000F3377">
            <w:pPr>
              <w:tabs>
                <w:tab w:val="left" w:pos="0"/>
              </w:tabs>
              <w:rPr>
                <w:rFonts w:asciiTheme="minorHAnsi" w:hAnsiTheme="minorHAnsi" w:cstheme="minorHAnsi"/>
                <w:sz w:val="22"/>
                <w:szCs w:val="22"/>
              </w:rPr>
            </w:pPr>
            <w:r>
              <w:rPr>
                <w:rFonts w:asciiTheme="minorHAnsi" w:hAnsiTheme="minorHAnsi" w:cstheme="minorHAnsi"/>
                <w:sz w:val="22"/>
                <w:szCs w:val="22"/>
              </w:rPr>
              <w:t>Benefits Subsidy</w:t>
            </w:r>
          </w:p>
        </w:tc>
        <w:tc>
          <w:tcPr>
            <w:tcW w:w="1276" w:type="dxa"/>
            <w:vAlign w:val="center"/>
          </w:tcPr>
          <w:p w:rsidR="000F3377" w:rsidRPr="00DD5BA3" w:rsidRDefault="00C34D7A"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w:t>
            </w:r>
          </w:p>
        </w:tc>
        <w:tc>
          <w:tcPr>
            <w:tcW w:w="1275" w:type="dxa"/>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32,955</w:t>
            </w:r>
          </w:p>
        </w:tc>
        <w:tc>
          <w:tcPr>
            <w:tcW w:w="1468" w:type="dxa"/>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27,601</w:t>
            </w:r>
          </w:p>
        </w:tc>
      </w:tr>
      <w:tr w:rsidR="000F3377" w:rsidRPr="00DD5BA3" w:rsidTr="00C34D7A">
        <w:tc>
          <w:tcPr>
            <w:tcW w:w="4928" w:type="dxa"/>
            <w:vAlign w:val="center"/>
          </w:tcPr>
          <w:p w:rsidR="000F3377" w:rsidRDefault="000F3377" w:rsidP="000F3377">
            <w:pPr>
              <w:tabs>
                <w:tab w:val="left" w:pos="0"/>
              </w:tabs>
              <w:rPr>
                <w:rFonts w:asciiTheme="minorHAnsi" w:hAnsiTheme="minorHAnsi" w:cstheme="minorHAnsi"/>
                <w:sz w:val="22"/>
                <w:szCs w:val="22"/>
              </w:rPr>
            </w:pPr>
            <w:r w:rsidRPr="00F51A24">
              <w:rPr>
                <w:rFonts w:asciiTheme="minorHAnsi" w:hAnsiTheme="minorHAnsi" w:cstheme="minorHAnsi"/>
                <w:sz w:val="22"/>
                <w:szCs w:val="22"/>
              </w:rPr>
              <w:t>Disabled Facilities Grant</w:t>
            </w:r>
          </w:p>
        </w:tc>
        <w:tc>
          <w:tcPr>
            <w:tcW w:w="1276" w:type="dxa"/>
            <w:vAlign w:val="center"/>
          </w:tcPr>
          <w:p w:rsidR="000F3377" w:rsidRPr="00DD5BA3" w:rsidRDefault="00C34D7A"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1,523</w:t>
            </w:r>
          </w:p>
        </w:tc>
        <w:tc>
          <w:tcPr>
            <w:tcW w:w="1275" w:type="dxa"/>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1,523</w:t>
            </w:r>
          </w:p>
        </w:tc>
        <w:tc>
          <w:tcPr>
            <w:tcW w:w="1468" w:type="dxa"/>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1,561</w:t>
            </w:r>
          </w:p>
        </w:tc>
      </w:tr>
      <w:tr w:rsidR="000F3377" w:rsidRPr="00DD5BA3" w:rsidTr="00C34D7A">
        <w:tc>
          <w:tcPr>
            <w:tcW w:w="4928" w:type="dxa"/>
            <w:vAlign w:val="center"/>
          </w:tcPr>
          <w:p w:rsidR="000F3377" w:rsidRDefault="000F3377" w:rsidP="000F3377">
            <w:pPr>
              <w:tabs>
                <w:tab w:val="left" w:pos="0"/>
              </w:tabs>
              <w:rPr>
                <w:rFonts w:asciiTheme="minorHAnsi" w:hAnsiTheme="minorHAnsi" w:cstheme="minorHAnsi"/>
                <w:sz w:val="22"/>
                <w:szCs w:val="22"/>
              </w:rPr>
            </w:pPr>
            <w:r w:rsidRPr="00F51A24">
              <w:rPr>
                <w:rFonts w:asciiTheme="minorHAnsi" w:hAnsiTheme="minorHAnsi" w:cstheme="minorHAnsi"/>
                <w:sz w:val="22"/>
                <w:szCs w:val="22"/>
              </w:rPr>
              <w:t>Other Grants &amp; Contributions</w:t>
            </w:r>
          </w:p>
        </w:tc>
        <w:tc>
          <w:tcPr>
            <w:tcW w:w="1276" w:type="dxa"/>
            <w:tcBorders>
              <w:bottom w:val="single" w:sz="4" w:space="0" w:color="auto"/>
            </w:tcBorders>
            <w:vAlign w:val="center"/>
          </w:tcPr>
          <w:p w:rsidR="000F3377" w:rsidRPr="00DD5BA3" w:rsidRDefault="00C34D7A"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2,963</w:t>
            </w:r>
          </w:p>
        </w:tc>
        <w:tc>
          <w:tcPr>
            <w:tcW w:w="1275" w:type="dxa"/>
            <w:tcBorders>
              <w:bottom w:val="single" w:sz="4" w:space="0" w:color="auto"/>
            </w:tcBorders>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2,963</w:t>
            </w:r>
          </w:p>
        </w:tc>
        <w:tc>
          <w:tcPr>
            <w:tcW w:w="1468" w:type="dxa"/>
            <w:tcBorders>
              <w:bottom w:val="single" w:sz="4" w:space="0" w:color="808080" w:themeColor="background1" w:themeShade="80"/>
            </w:tcBorders>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3,677</w:t>
            </w:r>
          </w:p>
        </w:tc>
      </w:tr>
      <w:tr w:rsidR="000F3377" w:rsidRPr="00DD5BA3" w:rsidTr="00C34D7A">
        <w:tc>
          <w:tcPr>
            <w:tcW w:w="4928" w:type="dxa"/>
            <w:vAlign w:val="center"/>
          </w:tcPr>
          <w:p w:rsidR="000F3377" w:rsidRDefault="000F3377" w:rsidP="000F3377">
            <w:pPr>
              <w:tabs>
                <w:tab w:val="left" w:pos="0"/>
              </w:tabs>
              <w:rPr>
                <w:rFonts w:asciiTheme="minorHAnsi" w:hAnsiTheme="minorHAnsi" w:cstheme="minorHAnsi"/>
                <w:sz w:val="22"/>
                <w:szCs w:val="22"/>
              </w:rPr>
            </w:pPr>
            <w:r w:rsidRPr="001862C5">
              <w:rPr>
                <w:rFonts w:asciiTheme="minorHAnsi" w:hAnsiTheme="minorHAnsi" w:cstheme="minorHAnsi"/>
                <w:b/>
                <w:bCs/>
                <w:sz w:val="22"/>
                <w:szCs w:val="22"/>
              </w:rPr>
              <w:t>Total</w:t>
            </w:r>
          </w:p>
        </w:tc>
        <w:tc>
          <w:tcPr>
            <w:tcW w:w="1276" w:type="dxa"/>
            <w:tcBorders>
              <w:top w:val="single" w:sz="4" w:space="0" w:color="auto"/>
            </w:tcBorders>
            <w:vAlign w:val="center"/>
          </w:tcPr>
          <w:p w:rsidR="000F3377" w:rsidRPr="00DD5BA3" w:rsidRDefault="00C34D7A" w:rsidP="00C34D7A">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4,486</w:t>
            </w:r>
          </w:p>
        </w:tc>
        <w:tc>
          <w:tcPr>
            <w:tcW w:w="1275" w:type="dxa"/>
            <w:tcBorders>
              <w:top w:val="single" w:sz="4" w:space="0" w:color="auto"/>
            </w:tcBorders>
            <w:vAlign w:val="center"/>
          </w:tcPr>
          <w:p w:rsidR="000F3377" w:rsidRPr="00DD5BA3" w:rsidRDefault="000F3377" w:rsidP="00C34D7A">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37,441</w:t>
            </w:r>
          </w:p>
        </w:tc>
        <w:tc>
          <w:tcPr>
            <w:tcW w:w="1468" w:type="dxa"/>
            <w:tcBorders>
              <w:top w:val="single" w:sz="4" w:space="0" w:color="808080" w:themeColor="background1" w:themeShade="80"/>
            </w:tcBorders>
            <w:shd w:val="clear" w:color="auto" w:fill="D9D9D9" w:themeFill="background1" w:themeFillShade="D9"/>
            <w:vAlign w:val="center"/>
          </w:tcPr>
          <w:p w:rsidR="000F3377" w:rsidRPr="00DD5BA3" w:rsidRDefault="000F3377" w:rsidP="000F3377">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32,839</w:t>
            </w:r>
          </w:p>
        </w:tc>
      </w:tr>
    </w:tbl>
    <w:p w:rsidR="008128DA" w:rsidRDefault="008128DA" w:rsidP="005E6645">
      <w:pPr>
        <w:tabs>
          <w:tab w:val="left" w:pos="0"/>
        </w:tabs>
        <w:rPr>
          <w:rFonts w:asciiTheme="minorHAnsi" w:hAnsiTheme="minorHAnsi" w:cstheme="minorHAnsi"/>
          <w:bCs/>
          <w:sz w:val="22"/>
          <w:szCs w:val="22"/>
          <w:highlight w:val="yellow"/>
        </w:rPr>
      </w:pPr>
    </w:p>
    <w:p w:rsidR="00AC1214" w:rsidRPr="00DD5BA3" w:rsidRDefault="005E6645" w:rsidP="005E6645">
      <w:pPr>
        <w:tabs>
          <w:tab w:val="left" w:pos="0"/>
        </w:tabs>
        <w:rPr>
          <w:rFonts w:asciiTheme="minorHAnsi" w:hAnsiTheme="minorHAnsi" w:cstheme="minorHAnsi"/>
          <w:bCs/>
          <w:sz w:val="22"/>
          <w:szCs w:val="22"/>
        </w:rPr>
      </w:pPr>
      <w:r w:rsidRPr="00DD5BA3">
        <w:rPr>
          <w:rFonts w:asciiTheme="minorHAnsi" w:hAnsiTheme="minorHAnsi" w:cstheme="minorHAnsi"/>
          <w:bCs/>
          <w:sz w:val="22"/>
          <w:szCs w:val="22"/>
        </w:rPr>
        <w:t xml:space="preserve">This disclosure note has been restated for 2018-19 to include </w:t>
      </w:r>
      <w:r w:rsidR="00A1085B" w:rsidRPr="00DD5BA3">
        <w:rPr>
          <w:rFonts w:asciiTheme="minorHAnsi" w:hAnsiTheme="minorHAnsi" w:cstheme="minorHAnsi"/>
          <w:bCs/>
          <w:sz w:val="22"/>
          <w:szCs w:val="22"/>
        </w:rPr>
        <w:t xml:space="preserve">the </w:t>
      </w:r>
      <w:r w:rsidRPr="00DD5BA3">
        <w:rPr>
          <w:rFonts w:asciiTheme="minorHAnsi" w:hAnsiTheme="minorHAnsi" w:cstheme="minorHAnsi"/>
          <w:bCs/>
          <w:sz w:val="22"/>
          <w:szCs w:val="22"/>
        </w:rPr>
        <w:t>subsidy contribution the Council receives from the government towards its housing benefit expenditure</w:t>
      </w:r>
      <w:r w:rsidR="002A0ABC" w:rsidRPr="00DD5BA3">
        <w:rPr>
          <w:rFonts w:asciiTheme="minorHAnsi" w:hAnsiTheme="minorHAnsi" w:cstheme="minorHAnsi"/>
          <w:bCs/>
          <w:sz w:val="22"/>
          <w:szCs w:val="22"/>
        </w:rPr>
        <w:t xml:space="preserve"> which was omitted</w:t>
      </w:r>
      <w:r w:rsidR="00AC1214" w:rsidRPr="00DD5BA3">
        <w:rPr>
          <w:rFonts w:asciiTheme="minorHAnsi" w:hAnsiTheme="minorHAnsi" w:cstheme="minorHAnsi"/>
          <w:bCs/>
          <w:sz w:val="22"/>
          <w:szCs w:val="22"/>
        </w:rPr>
        <w:t xml:space="preserve"> as the Council d</w:t>
      </w:r>
      <w:r w:rsidR="00510730" w:rsidRPr="00DD5BA3">
        <w:rPr>
          <w:rFonts w:asciiTheme="minorHAnsi" w:hAnsiTheme="minorHAnsi" w:cstheme="minorHAnsi"/>
          <w:bCs/>
          <w:sz w:val="22"/>
          <w:szCs w:val="22"/>
        </w:rPr>
        <w:t>id</w:t>
      </w:r>
      <w:r w:rsidR="00AC1214" w:rsidRPr="00DD5BA3">
        <w:rPr>
          <w:rFonts w:asciiTheme="minorHAnsi" w:hAnsiTheme="minorHAnsi" w:cstheme="minorHAnsi"/>
          <w:bCs/>
          <w:sz w:val="22"/>
          <w:szCs w:val="22"/>
        </w:rPr>
        <w:t xml:space="preserve"> not consider this to be grant income</w:t>
      </w:r>
      <w:r w:rsidRPr="00DD5BA3">
        <w:rPr>
          <w:rFonts w:asciiTheme="minorHAnsi" w:hAnsiTheme="minorHAnsi" w:cstheme="minorHAnsi"/>
          <w:bCs/>
          <w:sz w:val="22"/>
          <w:szCs w:val="22"/>
        </w:rPr>
        <w:t xml:space="preserve">. </w:t>
      </w:r>
    </w:p>
    <w:p w:rsidR="00AC1214" w:rsidRPr="00DD5BA3" w:rsidRDefault="00AC1214" w:rsidP="005E6645">
      <w:pPr>
        <w:tabs>
          <w:tab w:val="left" w:pos="0"/>
        </w:tabs>
        <w:rPr>
          <w:rFonts w:asciiTheme="minorHAnsi" w:hAnsiTheme="minorHAnsi" w:cstheme="minorHAnsi"/>
          <w:bCs/>
          <w:sz w:val="22"/>
          <w:szCs w:val="22"/>
        </w:rPr>
      </w:pPr>
    </w:p>
    <w:p w:rsidR="009647CF" w:rsidRPr="00AC1214" w:rsidRDefault="005E6645" w:rsidP="005E6645">
      <w:pPr>
        <w:tabs>
          <w:tab w:val="left" w:pos="0"/>
        </w:tabs>
        <w:rPr>
          <w:rFonts w:asciiTheme="minorHAnsi" w:hAnsiTheme="minorHAnsi" w:cstheme="minorHAnsi"/>
          <w:b/>
          <w:bCs/>
          <w:sz w:val="22"/>
          <w:szCs w:val="22"/>
        </w:rPr>
      </w:pPr>
      <w:r w:rsidRPr="00DD5BA3">
        <w:rPr>
          <w:rFonts w:asciiTheme="minorHAnsi" w:hAnsiTheme="minorHAnsi" w:cstheme="minorHAnsi"/>
          <w:bCs/>
          <w:sz w:val="22"/>
          <w:szCs w:val="22"/>
        </w:rPr>
        <w:t xml:space="preserve">The presentation of this note has also been revised </w:t>
      </w:r>
      <w:r w:rsidR="00A1085B" w:rsidRPr="00DD5BA3">
        <w:rPr>
          <w:rFonts w:asciiTheme="minorHAnsi" w:hAnsiTheme="minorHAnsi" w:cstheme="minorHAnsi"/>
          <w:bCs/>
          <w:sz w:val="22"/>
          <w:szCs w:val="22"/>
        </w:rPr>
        <w:t>in order</w:t>
      </w:r>
      <w:r w:rsidRPr="00DD5BA3">
        <w:rPr>
          <w:rFonts w:asciiTheme="minorHAnsi" w:hAnsiTheme="minorHAnsi" w:cstheme="minorHAnsi"/>
          <w:bCs/>
          <w:sz w:val="22"/>
          <w:szCs w:val="22"/>
        </w:rPr>
        <w:t xml:space="preserve"> to</w:t>
      </w:r>
      <w:r w:rsidR="00A1085B" w:rsidRPr="00DD5BA3">
        <w:rPr>
          <w:rFonts w:asciiTheme="minorHAnsi" w:hAnsiTheme="minorHAnsi" w:cstheme="minorHAnsi"/>
          <w:bCs/>
          <w:sz w:val="22"/>
          <w:szCs w:val="22"/>
        </w:rPr>
        <w:t xml:space="preserve"> reclassify certain grants between Business Rates Retention Scheme </w:t>
      </w:r>
      <w:r w:rsidR="00AC1214" w:rsidRPr="00DD5BA3">
        <w:rPr>
          <w:rFonts w:asciiTheme="minorHAnsi" w:hAnsiTheme="minorHAnsi" w:cstheme="minorHAnsi"/>
          <w:bCs/>
          <w:sz w:val="22"/>
          <w:szCs w:val="22"/>
        </w:rPr>
        <w:t xml:space="preserve">(BRRS) </w:t>
      </w:r>
      <w:r w:rsidR="00A1085B" w:rsidRPr="00DD5BA3">
        <w:rPr>
          <w:rFonts w:asciiTheme="minorHAnsi" w:hAnsiTheme="minorHAnsi" w:cstheme="minorHAnsi"/>
          <w:bCs/>
          <w:sz w:val="22"/>
          <w:szCs w:val="22"/>
        </w:rPr>
        <w:t>Grants and Other Government Grants</w:t>
      </w:r>
      <w:r w:rsidR="00AC1214" w:rsidRPr="00DD5BA3">
        <w:rPr>
          <w:rFonts w:asciiTheme="minorHAnsi" w:hAnsiTheme="minorHAnsi" w:cstheme="minorHAnsi"/>
          <w:bCs/>
          <w:sz w:val="22"/>
          <w:szCs w:val="22"/>
        </w:rPr>
        <w:t>. This facilitates</w:t>
      </w:r>
      <w:r w:rsidR="00AC1214" w:rsidRPr="00DD5BA3">
        <w:rPr>
          <w:rFonts w:asciiTheme="minorHAnsi" w:hAnsiTheme="minorHAnsi" w:cstheme="minorHAnsi"/>
          <w:sz w:val="22"/>
          <w:szCs w:val="22"/>
        </w:rPr>
        <w:t xml:space="preserve"> all grants attributable to the BRRS regardless of value to be disclosed in total rather than across more than one heading in the disclosure note dependent upon their value</w:t>
      </w:r>
      <w:r w:rsidR="00871025">
        <w:rPr>
          <w:rFonts w:asciiTheme="minorHAnsi" w:hAnsiTheme="minorHAnsi" w:cstheme="minorHAnsi"/>
          <w:bCs/>
          <w:sz w:val="22"/>
          <w:szCs w:val="22"/>
        </w:rPr>
        <w:t>.</w:t>
      </w:r>
    </w:p>
    <w:p w:rsidR="0046374A" w:rsidRDefault="0046374A" w:rsidP="009647CF">
      <w:pPr>
        <w:tabs>
          <w:tab w:val="left" w:pos="0"/>
        </w:tabs>
        <w:jc w:val="both"/>
        <w:rPr>
          <w:rFonts w:asciiTheme="minorHAnsi" w:hAnsiTheme="minorHAnsi" w:cstheme="minorHAnsi"/>
          <w:b/>
          <w:bCs/>
          <w:sz w:val="22"/>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Related Parties</w:t>
      </w:r>
    </w:p>
    <w:p w:rsidR="00390DB0" w:rsidRPr="0068094B" w:rsidRDefault="00390DB0" w:rsidP="00390DB0">
      <w:pPr>
        <w:pStyle w:val="ListParagraph"/>
        <w:tabs>
          <w:tab w:val="left" w:pos="0"/>
        </w:tabs>
        <w:jc w:val="both"/>
        <w:rPr>
          <w:rFonts w:asciiTheme="minorHAnsi" w:hAnsiTheme="minorHAnsi" w:cstheme="minorHAnsi"/>
          <w:b/>
          <w:bCs/>
          <w:szCs w:val="22"/>
        </w:rPr>
      </w:pPr>
    </w:p>
    <w:p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 disclose material transactions with related parties – bodies or individuals that have the potential to control or influence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or to be controlled or influenced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Disclosure of these transactions allows the reader to assess the extent to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might have been constrained in its ability to operate independently or might have secured the ability to limit another party’s ability to bargain freely with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highlight w:val="yellow"/>
        </w:rPr>
      </w:pPr>
    </w:p>
    <w:p w:rsidR="00390DB0" w:rsidRPr="0068094B"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68094B">
        <w:rPr>
          <w:rFonts w:asciiTheme="minorHAnsi" w:hAnsiTheme="minorHAnsi" w:cstheme="minorHAnsi"/>
          <w:b/>
          <w:bCs/>
          <w:sz w:val="22"/>
          <w:szCs w:val="22"/>
        </w:rPr>
        <w:t>Central Government</w:t>
      </w:r>
    </w:p>
    <w:p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p>
    <w:p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Central government has </w:t>
      </w:r>
      <w:r w:rsidR="00A81147" w:rsidRPr="0068094B">
        <w:rPr>
          <w:rFonts w:asciiTheme="minorHAnsi" w:hAnsiTheme="minorHAnsi" w:cstheme="minorHAnsi"/>
          <w:sz w:val="22"/>
          <w:szCs w:val="22"/>
        </w:rPr>
        <w:t>significant influence</w:t>
      </w:r>
      <w:r w:rsidRPr="0068094B">
        <w:rPr>
          <w:rFonts w:asciiTheme="minorHAnsi" w:hAnsiTheme="minorHAnsi" w:cstheme="minorHAnsi"/>
          <w:sz w:val="22"/>
          <w:szCs w:val="22"/>
        </w:rPr>
        <w:t xml:space="preserve"> over the general operations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 it is responsible for providing the statutory framework within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operates, provides the majority of its funding in the form of grants and prescribes the terms of many of the transactions that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with other parties (e.g.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bills, housing benefits).  Grants received from government departments are set out in </w:t>
      </w:r>
      <w:r w:rsidR="00B43F30" w:rsidRPr="0068094B">
        <w:rPr>
          <w:rFonts w:asciiTheme="minorHAnsi" w:hAnsiTheme="minorHAnsi" w:cstheme="minorHAnsi"/>
          <w:sz w:val="22"/>
          <w:szCs w:val="22"/>
        </w:rPr>
        <w:t>note 2</w:t>
      </w:r>
      <w:r w:rsidR="005C33FC">
        <w:rPr>
          <w:rFonts w:asciiTheme="minorHAnsi" w:hAnsiTheme="minorHAnsi" w:cstheme="minorHAnsi"/>
          <w:sz w:val="22"/>
          <w:szCs w:val="22"/>
        </w:rPr>
        <w:t>5</w:t>
      </w:r>
      <w:r w:rsidR="00B43F30"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rsidR="00000A23" w:rsidRPr="0068094B" w:rsidRDefault="00000A23" w:rsidP="00390DB0">
      <w:pPr>
        <w:pStyle w:val="BodyTextIndent"/>
        <w:tabs>
          <w:tab w:val="clear" w:pos="450"/>
          <w:tab w:val="left" w:pos="0"/>
        </w:tabs>
        <w:ind w:left="0"/>
        <w:jc w:val="left"/>
        <w:rPr>
          <w:rFonts w:asciiTheme="minorHAnsi" w:hAnsiTheme="minorHAnsi" w:cstheme="minorHAnsi"/>
          <w:b/>
          <w:bCs/>
          <w:sz w:val="22"/>
          <w:szCs w:val="22"/>
        </w:rPr>
      </w:pPr>
    </w:p>
    <w:p w:rsidR="00390DB0" w:rsidRPr="0068094B"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68094B">
        <w:rPr>
          <w:rFonts w:asciiTheme="minorHAnsi" w:hAnsiTheme="minorHAnsi" w:cstheme="minorHAnsi"/>
          <w:b/>
          <w:bCs/>
          <w:sz w:val="22"/>
          <w:szCs w:val="22"/>
        </w:rPr>
        <w:t>Members and Officers</w:t>
      </w:r>
    </w:p>
    <w:p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highlight w:val="yellow"/>
        </w:rPr>
      </w:pPr>
    </w:p>
    <w:p w:rsidR="00226089"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Members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have direct control over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financial and operating policie</w:t>
      </w:r>
      <w:r w:rsidR="00D53CFD">
        <w:rPr>
          <w:rFonts w:asciiTheme="minorHAnsi" w:hAnsiTheme="minorHAnsi" w:cstheme="minorHAnsi"/>
          <w:sz w:val="22"/>
          <w:szCs w:val="22"/>
        </w:rPr>
        <w:t>s.</w:t>
      </w:r>
      <w:r w:rsidRPr="0068094B">
        <w:rPr>
          <w:rFonts w:asciiTheme="minorHAnsi" w:hAnsiTheme="minorHAnsi" w:cstheme="minorHAnsi"/>
          <w:color w:val="FF0000"/>
          <w:sz w:val="22"/>
          <w:szCs w:val="22"/>
        </w:rPr>
        <w:t xml:space="preserve">  </w:t>
      </w:r>
      <w:r w:rsidRPr="0068094B">
        <w:rPr>
          <w:rFonts w:asciiTheme="minorHAnsi" w:hAnsiTheme="minorHAnsi" w:cstheme="minorHAnsi"/>
          <w:sz w:val="22"/>
          <w:szCs w:val="22"/>
        </w:rPr>
        <w:t xml:space="preserve">A survey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chief and statutory officers and staff was undertaken</w:t>
      </w:r>
      <w:r w:rsidR="00B22BCE" w:rsidRPr="0068094B">
        <w:rPr>
          <w:rFonts w:asciiTheme="minorHAnsi" w:hAnsiTheme="minorHAnsi" w:cstheme="minorHAnsi"/>
          <w:sz w:val="22"/>
          <w:szCs w:val="22"/>
        </w:rPr>
        <w:t xml:space="preserve"> as well as</w:t>
      </w:r>
      <w:r w:rsidR="00B22BCE" w:rsidRPr="0068094B">
        <w:rPr>
          <w:rFonts w:asciiTheme="minorHAnsi" w:hAnsiTheme="minorHAnsi" w:cstheme="minorHAnsi"/>
          <w:bCs/>
          <w:sz w:val="22"/>
          <w:szCs w:val="22"/>
        </w:rPr>
        <w:t xml:space="preserve"> a review of the Register of Members’ Interests and the schedule of payments to suppliers greater than £500</w:t>
      </w:r>
      <w:r w:rsidRPr="0068094B">
        <w:rPr>
          <w:rFonts w:asciiTheme="minorHAnsi" w:hAnsiTheme="minorHAnsi" w:cstheme="minorHAnsi"/>
          <w:sz w:val="22"/>
          <w:szCs w:val="22"/>
        </w:rPr>
        <w:t xml:space="preserve">.  </w:t>
      </w:r>
      <w:r w:rsidR="006B7590" w:rsidRPr="0068094B">
        <w:rPr>
          <w:rFonts w:asciiTheme="minorHAnsi" w:hAnsiTheme="minorHAnsi" w:cstheme="minorHAnsi"/>
          <w:sz w:val="22"/>
          <w:szCs w:val="22"/>
        </w:rPr>
        <w:t xml:space="preserve"> </w:t>
      </w:r>
      <w:r w:rsidR="00537B3E" w:rsidRPr="0068094B">
        <w:rPr>
          <w:rFonts w:asciiTheme="minorHAnsi" w:hAnsiTheme="minorHAnsi" w:cstheme="minorHAnsi"/>
          <w:sz w:val="22"/>
          <w:szCs w:val="22"/>
        </w:rPr>
        <w:t xml:space="preserve">This did not identify the potential for a </w:t>
      </w:r>
      <w:r w:rsidR="002747EE">
        <w:rPr>
          <w:rFonts w:asciiTheme="minorHAnsi" w:hAnsiTheme="minorHAnsi" w:cstheme="minorHAnsi"/>
          <w:sz w:val="22"/>
          <w:szCs w:val="22"/>
        </w:rPr>
        <w:t>m</w:t>
      </w:r>
      <w:r w:rsidR="00537B3E" w:rsidRPr="0068094B">
        <w:rPr>
          <w:rFonts w:asciiTheme="minorHAnsi" w:hAnsiTheme="minorHAnsi" w:cstheme="minorHAnsi"/>
          <w:sz w:val="22"/>
          <w:szCs w:val="22"/>
        </w:rPr>
        <w:t xml:space="preserve">ember of the Council, or a </w:t>
      </w:r>
      <w:r w:rsidR="002747EE">
        <w:rPr>
          <w:rFonts w:asciiTheme="minorHAnsi" w:hAnsiTheme="minorHAnsi" w:cstheme="minorHAnsi"/>
          <w:sz w:val="22"/>
          <w:szCs w:val="22"/>
        </w:rPr>
        <w:t>C</w:t>
      </w:r>
      <w:r w:rsidR="00537B3E" w:rsidRPr="0068094B">
        <w:rPr>
          <w:rFonts w:asciiTheme="minorHAnsi" w:hAnsiTheme="minorHAnsi" w:cstheme="minorHAnsi"/>
          <w:sz w:val="22"/>
          <w:szCs w:val="22"/>
        </w:rPr>
        <w:t>ouncil officer to affect the policies of both the Council, and another entity</w:t>
      </w:r>
      <w:r w:rsidR="00B22BCE" w:rsidRPr="0068094B">
        <w:rPr>
          <w:rFonts w:asciiTheme="minorHAnsi" w:hAnsiTheme="minorHAnsi" w:cstheme="minorHAnsi"/>
          <w:sz w:val="22"/>
          <w:szCs w:val="22"/>
        </w:rPr>
        <w:t>,</w:t>
      </w:r>
      <w:r w:rsidR="00537B3E" w:rsidRPr="0068094B">
        <w:rPr>
          <w:rFonts w:asciiTheme="minorHAnsi" w:hAnsiTheme="minorHAnsi" w:cstheme="minorHAnsi"/>
          <w:sz w:val="22"/>
          <w:szCs w:val="22"/>
        </w:rPr>
        <w:t xml:space="preserve"> in their mutual dealings with each other.</w:t>
      </w:r>
    </w:p>
    <w:p w:rsidR="008C462D" w:rsidRDefault="008C462D" w:rsidP="00390DB0">
      <w:pPr>
        <w:pStyle w:val="BodyTextIndent"/>
        <w:tabs>
          <w:tab w:val="clear" w:pos="450"/>
          <w:tab w:val="left" w:pos="0"/>
        </w:tabs>
        <w:ind w:left="0"/>
        <w:jc w:val="left"/>
        <w:rPr>
          <w:rFonts w:asciiTheme="minorHAnsi" w:hAnsiTheme="minorHAnsi" w:cstheme="minorHAnsi"/>
          <w:sz w:val="22"/>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Capital Expenditure and Capital Financing</w:t>
      </w:r>
    </w:p>
    <w:p w:rsidR="00DC1650" w:rsidRPr="0068094B" w:rsidRDefault="00DC1650" w:rsidP="00DC1650">
      <w:pPr>
        <w:pStyle w:val="ListParagraph"/>
        <w:tabs>
          <w:tab w:val="left" w:pos="0"/>
        </w:tabs>
        <w:jc w:val="both"/>
        <w:rPr>
          <w:rFonts w:asciiTheme="minorHAnsi" w:hAnsiTheme="minorHAnsi" w:cstheme="minorHAnsi"/>
          <w:b/>
          <w:bCs/>
          <w:szCs w:val="22"/>
        </w:rPr>
      </w:pPr>
    </w:p>
    <w:p w:rsidR="00FC50A2" w:rsidRDefault="00C73F28" w:rsidP="00DC1650">
      <w:pPr>
        <w:widowControl/>
        <w:tabs>
          <w:tab w:val="left" w:pos="0"/>
        </w:tabs>
        <w:autoSpaceDE w:val="0"/>
        <w:rPr>
          <w:rFonts w:asciiTheme="minorHAnsi" w:hAnsiTheme="minorHAnsi" w:cstheme="minorHAnsi"/>
          <w:sz w:val="22"/>
          <w:szCs w:val="22"/>
        </w:rPr>
      </w:pPr>
      <w:r>
        <w:rPr>
          <w:rFonts w:asciiTheme="minorHAnsi" w:hAnsiTheme="minorHAnsi" w:cstheme="minorHAnsi"/>
          <w:sz w:val="22"/>
          <w:szCs w:val="22"/>
        </w:rPr>
        <w:t>C</w:t>
      </w:r>
      <w:r w:rsidR="00DC1650" w:rsidRPr="0068094B">
        <w:rPr>
          <w:rFonts w:asciiTheme="minorHAnsi" w:hAnsiTheme="minorHAnsi" w:cstheme="minorHAnsi"/>
          <w:sz w:val="22"/>
          <w:szCs w:val="22"/>
        </w:rPr>
        <w:t>apital expenditure incurred in the year</w:t>
      </w:r>
      <w:r w:rsidR="005F6694" w:rsidRPr="0068094B">
        <w:rPr>
          <w:rFonts w:asciiTheme="minorHAnsi" w:hAnsiTheme="minorHAnsi" w:cstheme="minorHAnsi"/>
          <w:sz w:val="22"/>
          <w:szCs w:val="22"/>
        </w:rPr>
        <w:t xml:space="preserve"> </w:t>
      </w:r>
      <w:r>
        <w:rPr>
          <w:rFonts w:asciiTheme="minorHAnsi" w:hAnsiTheme="minorHAnsi" w:cstheme="minorHAnsi"/>
          <w:sz w:val="22"/>
          <w:szCs w:val="22"/>
        </w:rPr>
        <w:t>amounted to £</w:t>
      </w:r>
      <w:r w:rsidR="004E3DE3">
        <w:rPr>
          <w:rFonts w:asciiTheme="minorHAnsi" w:hAnsiTheme="minorHAnsi" w:cstheme="minorHAnsi"/>
          <w:sz w:val="22"/>
          <w:szCs w:val="22"/>
        </w:rPr>
        <w:t>6</w:t>
      </w:r>
      <w:r w:rsidR="00FB23AD">
        <w:rPr>
          <w:rFonts w:asciiTheme="minorHAnsi" w:hAnsiTheme="minorHAnsi" w:cstheme="minorHAnsi"/>
          <w:sz w:val="22"/>
          <w:szCs w:val="22"/>
        </w:rPr>
        <w:t>.</w:t>
      </w:r>
      <w:r w:rsidR="004E3DE3">
        <w:rPr>
          <w:rFonts w:asciiTheme="minorHAnsi" w:hAnsiTheme="minorHAnsi" w:cstheme="minorHAnsi"/>
          <w:sz w:val="22"/>
          <w:szCs w:val="22"/>
        </w:rPr>
        <w:t>9</w:t>
      </w:r>
      <w:r>
        <w:rPr>
          <w:rFonts w:asciiTheme="minorHAnsi" w:hAnsiTheme="minorHAnsi" w:cstheme="minorHAnsi"/>
          <w:sz w:val="22"/>
          <w:szCs w:val="22"/>
        </w:rPr>
        <w:t>m of which £</w:t>
      </w:r>
      <w:r w:rsidR="004E3DE3">
        <w:rPr>
          <w:rFonts w:asciiTheme="minorHAnsi" w:hAnsiTheme="minorHAnsi" w:cstheme="minorHAnsi"/>
          <w:sz w:val="22"/>
          <w:szCs w:val="22"/>
        </w:rPr>
        <w:t>3</w:t>
      </w:r>
      <w:r>
        <w:rPr>
          <w:rFonts w:asciiTheme="minorHAnsi" w:hAnsiTheme="minorHAnsi" w:cstheme="minorHAnsi"/>
          <w:sz w:val="22"/>
          <w:szCs w:val="22"/>
        </w:rPr>
        <w:t>.</w:t>
      </w:r>
      <w:r w:rsidR="00E51630">
        <w:rPr>
          <w:rFonts w:asciiTheme="minorHAnsi" w:hAnsiTheme="minorHAnsi" w:cstheme="minorHAnsi"/>
          <w:sz w:val="22"/>
          <w:szCs w:val="22"/>
        </w:rPr>
        <w:t>8</w:t>
      </w:r>
      <w:r>
        <w:rPr>
          <w:rFonts w:asciiTheme="minorHAnsi" w:hAnsiTheme="minorHAnsi" w:cstheme="minorHAnsi"/>
          <w:sz w:val="22"/>
          <w:szCs w:val="22"/>
        </w:rPr>
        <w:t>m was</w:t>
      </w:r>
      <w:r w:rsidR="00FB23AD">
        <w:rPr>
          <w:rFonts w:asciiTheme="minorHAnsi" w:hAnsiTheme="minorHAnsi" w:cstheme="minorHAnsi"/>
          <w:sz w:val="22"/>
          <w:szCs w:val="22"/>
        </w:rPr>
        <w:t xml:space="preserve"> spent </w:t>
      </w:r>
      <w:r>
        <w:rPr>
          <w:rFonts w:asciiTheme="minorHAnsi" w:hAnsiTheme="minorHAnsi" w:cstheme="minorHAnsi"/>
          <w:sz w:val="22"/>
          <w:szCs w:val="22"/>
        </w:rPr>
        <w:t xml:space="preserve">on </w:t>
      </w:r>
      <w:r w:rsidR="00966FF6">
        <w:rPr>
          <w:rFonts w:asciiTheme="minorHAnsi" w:hAnsiTheme="minorHAnsi" w:cstheme="minorHAnsi"/>
          <w:sz w:val="22"/>
          <w:szCs w:val="22"/>
        </w:rPr>
        <w:t xml:space="preserve">operational </w:t>
      </w:r>
      <w:r>
        <w:rPr>
          <w:rFonts w:asciiTheme="minorHAnsi" w:hAnsiTheme="minorHAnsi" w:cstheme="minorHAnsi"/>
          <w:sz w:val="22"/>
          <w:szCs w:val="22"/>
        </w:rPr>
        <w:t>non-current assets</w:t>
      </w:r>
      <w:r w:rsidR="00073122" w:rsidRPr="0068094B">
        <w:rPr>
          <w:rFonts w:asciiTheme="minorHAnsi" w:hAnsiTheme="minorHAnsi" w:cstheme="minorHAnsi"/>
          <w:sz w:val="22"/>
          <w:szCs w:val="22"/>
        </w:rPr>
        <w:t xml:space="preserve"> </w:t>
      </w:r>
      <w:r w:rsidR="00966FF6">
        <w:rPr>
          <w:rFonts w:asciiTheme="minorHAnsi" w:hAnsiTheme="minorHAnsi" w:cstheme="minorHAnsi"/>
          <w:sz w:val="22"/>
          <w:szCs w:val="22"/>
        </w:rPr>
        <w:t>(</w:t>
      </w:r>
      <w:r>
        <w:rPr>
          <w:rFonts w:asciiTheme="minorHAnsi" w:hAnsiTheme="minorHAnsi" w:cstheme="minorHAnsi"/>
          <w:sz w:val="22"/>
          <w:szCs w:val="22"/>
        </w:rPr>
        <w:t>N</w:t>
      </w:r>
      <w:r w:rsidR="00073122" w:rsidRPr="0068094B">
        <w:rPr>
          <w:rFonts w:asciiTheme="minorHAnsi" w:hAnsiTheme="minorHAnsi" w:cstheme="minorHAnsi"/>
          <w:sz w:val="22"/>
          <w:szCs w:val="22"/>
        </w:rPr>
        <w:t>ote</w:t>
      </w:r>
      <w:r w:rsidR="00966FF6">
        <w:rPr>
          <w:rFonts w:asciiTheme="minorHAnsi" w:hAnsiTheme="minorHAnsi" w:cstheme="minorHAnsi"/>
          <w:sz w:val="22"/>
          <w:szCs w:val="22"/>
        </w:rPr>
        <w:t xml:space="preserve"> </w:t>
      </w:r>
      <w:r w:rsidR="00C939C6">
        <w:rPr>
          <w:rFonts w:asciiTheme="minorHAnsi" w:hAnsiTheme="minorHAnsi" w:cstheme="minorHAnsi"/>
          <w:sz w:val="22"/>
          <w:szCs w:val="22"/>
        </w:rPr>
        <w:t>1</w:t>
      </w:r>
      <w:r w:rsidR="0018079C">
        <w:rPr>
          <w:rFonts w:asciiTheme="minorHAnsi" w:hAnsiTheme="minorHAnsi" w:cstheme="minorHAnsi"/>
          <w:sz w:val="22"/>
          <w:szCs w:val="22"/>
        </w:rPr>
        <w:t xml:space="preserve">1) and </w:t>
      </w:r>
      <w:r w:rsidR="00073122" w:rsidRPr="0068094B">
        <w:rPr>
          <w:rFonts w:asciiTheme="minorHAnsi" w:hAnsiTheme="minorHAnsi" w:cstheme="minorHAnsi"/>
          <w:sz w:val="22"/>
          <w:szCs w:val="22"/>
        </w:rPr>
        <w:t>£</w:t>
      </w:r>
      <w:r w:rsidR="004E3DE3">
        <w:rPr>
          <w:rFonts w:asciiTheme="minorHAnsi" w:hAnsiTheme="minorHAnsi" w:cstheme="minorHAnsi"/>
          <w:sz w:val="22"/>
          <w:szCs w:val="22"/>
        </w:rPr>
        <w:t>3.</w:t>
      </w:r>
      <w:r w:rsidR="00E51630">
        <w:rPr>
          <w:rFonts w:asciiTheme="minorHAnsi" w:hAnsiTheme="minorHAnsi" w:cstheme="minorHAnsi"/>
          <w:sz w:val="22"/>
          <w:szCs w:val="22"/>
        </w:rPr>
        <w:t>1</w:t>
      </w:r>
      <w:r w:rsidR="00073122" w:rsidRPr="0068094B">
        <w:rPr>
          <w:rFonts w:asciiTheme="minorHAnsi" w:hAnsiTheme="minorHAnsi" w:cstheme="minorHAnsi"/>
          <w:sz w:val="22"/>
          <w:szCs w:val="22"/>
        </w:rPr>
        <w:t xml:space="preserve">m </w:t>
      </w:r>
      <w:r w:rsidR="00FB23AD">
        <w:rPr>
          <w:rFonts w:asciiTheme="minorHAnsi" w:hAnsiTheme="minorHAnsi" w:cstheme="minorHAnsi"/>
          <w:sz w:val="22"/>
          <w:szCs w:val="22"/>
        </w:rPr>
        <w:t xml:space="preserve">was </w:t>
      </w:r>
      <w:r w:rsidR="00073122" w:rsidRPr="0068094B">
        <w:rPr>
          <w:rFonts w:asciiTheme="minorHAnsi" w:hAnsiTheme="minorHAnsi" w:cstheme="minorHAnsi"/>
          <w:sz w:val="22"/>
          <w:szCs w:val="22"/>
        </w:rPr>
        <w:t xml:space="preserve">revenue expenditure funded from capital under statutory provision.  The </w:t>
      </w:r>
      <w:r w:rsidR="00966FF6">
        <w:rPr>
          <w:rFonts w:asciiTheme="minorHAnsi" w:hAnsiTheme="minorHAnsi" w:cstheme="minorHAnsi"/>
          <w:sz w:val="22"/>
          <w:szCs w:val="22"/>
        </w:rPr>
        <w:t xml:space="preserve">expenditure </w:t>
      </w:r>
      <w:r w:rsidR="00073122" w:rsidRPr="0068094B">
        <w:rPr>
          <w:rFonts w:asciiTheme="minorHAnsi" w:hAnsiTheme="minorHAnsi" w:cstheme="minorHAnsi"/>
          <w:sz w:val="22"/>
          <w:szCs w:val="22"/>
        </w:rPr>
        <w:t xml:space="preserve">total </w:t>
      </w:r>
      <w:r w:rsidR="00966FF6">
        <w:rPr>
          <w:rFonts w:asciiTheme="minorHAnsi" w:hAnsiTheme="minorHAnsi" w:cstheme="minorHAnsi"/>
          <w:sz w:val="22"/>
          <w:szCs w:val="22"/>
        </w:rPr>
        <w:t>i</w:t>
      </w:r>
      <w:r w:rsidR="005F6694" w:rsidRPr="0068094B">
        <w:rPr>
          <w:rFonts w:asciiTheme="minorHAnsi" w:hAnsiTheme="minorHAnsi" w:cstheme="minorHAnsi"/>
          <w:sz w:val="22"/>
          <w:szCs w:val="22"/>
        </w:rPr>
        <w:t xml:space="preserve">s </w:t>
      </w:r>
      <w:r w:rsidR="00DC1650" w:rsidRPr="0068094B">
        <w:rPr>
          <w:rFonts w:asciiTheme="minorHAnsi" w:hAnsiTheme="minorHAnsi" w:cstheme="minorHAnsi"/>
          <w:sz w:val="22"/>
          <w:szCs w:val="22"/>
        </w:rPr>
        <w:t xml:space="preserve">shown in the table </w:t>
      </w:r>
      <w:r w:rsidR="00B72084">
        <w:rPr>
          <w:rFonts w:asciiTheme="minorHAnsi" w:hAnsiTheme="minorHAnsi" w:cstheme="minorHAnsi"/>
          <w:sz w:val="22"/>
          <w:szCs w:val="22"/>
        </w:rPr>
        <w:t xml:space="preserve">below </w:t>
      </w:r>
      <w:r w:rsidR="00DC1650" w:rsidRPr="0068094B">
        <w:rPr>
          <w:rFonts w:asciiTheme="minorHAnsi" w:hAnsiTheme="minorHAnsi" w:cstheme="minorHAnsi"/>
          <w:sz w:val="22"/>
          <w:szCs w:val="22"/>
        </w:rPr>
        <w:t xml:space="preserve">together with the resources that have been used to finance it. </w:t>
      </w:r>
    </w:p>
    <w:p w:rsidR="00FC50A2" w:rsidRDefault="00FC50A2" w:rsidP="00DC1650">
      <w:pPr>
        <w:widowControl/>
        <w:tabs>
          <w:tab w:val="left" w:pos="0"/>
        </w:tabs>
        <w:autoSpaceDE w:val="0"/>
        <w:rPr>
          <w:rFonts w:asciiTheme="minorHAnsi" w:hAnsiTheme="minorHAnsi" w:cstheme="minorHAnsi"/>
          <w:sz w:val="22"/>
          <w:szCs w:val="22"/>
        </w:rPr>
      </w:pPr>
    </w:p>
    <w:p w:rsidR="00F06F53" w:rsidRDefault="00DC1650" w:rsidP="00DC1650">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Where capital expenditure is </w:t>
      </w:r>
      <w:r w:rsidR="009E3E01" w:rsidRPr="0068094B">
        <w:rPr>
          <w:rFonts w:asciiTheme="minorHAnsi" w:hAnsiTheme="minorHAnsi" w:cstheme="minorHAnsi"/>
          <w:sz w:val="22"/>
          <w:szCs w:val="22"/>
        </w:rPr>
        <w:t>financed by a credit arrangement (</w:t>
      </w:r>
      <w:r w:rsidR="00F806F3" w:rsidRPr="0068094B">
        <w:rPr>
          <w:rFonts w:asciiTheme="minorHAnsi" w:hAnsiTheme="minorHAnsi" w:cstheme="minorHAnsi"/>
          <w:sz w:val="22"/>
          <w:szCs w:val="22"/>
        </w:rPr>
        <w:t>e.g.</w:t>
      </w:r>
      <w:r w:rsidR="009E3E01" w:rsidRPr="0068094B">
        <w:rPr>
          <w:rFonts w:asciiTheme="minorHAnsi" w:hAnsiTheme="minorHAnsi" w:cstheme="minorHAnsi"/>
          <w:sz w:val="22"/>
          <w:szCs w:val="22"/>
        </w:rPr>
        <w:t xml:space="preserve"> borrowing)</w:t>
      </w:r>
      <w:r w:rsidRPr="0068094B">
        <w:rPr>
          <w:rFonts w:asciiTheme="minorHAnsi" w:hAnsiTheme="minorHAnsi" w:cstheme="minorHAnsi"/>
          <w:sz w:val="22"/>
          <w:szCs w:val="22"/>
        </w:rPr>
        <w:t>, the expenditure results in an increase in the Capital Financing Requi</w:t>
      </w:r>
      <w:r w:rsidR="00FC50A2">
        <w:rPr>
          <w:rFonts w:asciiTheme="minorHAnsi" w:hAnsiTheme="minorHAnsi" w:cstheme="minorHAnsi"/>
          <w:sz w:val="22"/>
          <w:szCs w:val="22"/>
        </w:rPr>
        <w:t>rement (CFR) being the value</w:t>
      </w:r>
      <w:r w:rsidRPr="0068094B">
        <w:rPr>
          <w:rFonts w:asciiTheme="minorHAnsi" w:hAnsiTheme="minorHAnsi" w:cstheme="minorHAnsi"/>
          <w:sz w:val="22"/>
          <w:szCs w:val="22"/>
        </w:rPr>
        <w:t xml:space="preserve"> of </w:t>
      </w:r>
      <w:r w:rsidR="00966FF6">
        <w:rPr>
          <w:rFonts w:asciiTheme="minorHAnsi" w:hAnsiTheme="minorHAnsi" w:cstheme="minorHAnsi"/>
          <w:sz w:val="22"/>
          <w:szCs w:val="22"/>
        </w:rPr>
        <w:t xml:space="preserve">unfinanced </w:t>
      </w:r>
      <w:r w:rsidRPr="0068094B">
        <w:rPr>
          <w:rFonts w:asciiTheme="minorHAnsi" w:hAnsiTheme="minorHAnsi" w:cstheme="minorHAnsi"/>
          <w:sz w:val="22"/>
          <w:szCs w:val="22"/>
        </w:rPr>
        <w:t>capital expenditure incurred historically</w:t>
      </w:r>
      <w:r w:rsidR="00966FF6">
        <w:rPr>
          <w:rFonts w:asciiTheme="minorHAnsi" w:hAnsiTheme="minorHAnsi" w:cstheme="minorHAnsi"/>
          <w:sz w:val="22"/>
          <w:szCs w:val="22"/>
        </w:rPr>
        <w:t xml:space="preserve">. The CFR is ultimately financed from </w:t>
      </w:r>
      <w:r w:rsidR="00FC50A2">
        <w:rPr>
          <w:rFonts w:asciiTheme="minorHAnsi" w:hAnsiTheme="minorHAnsi" w:cstheme="minorHAnsi"/>
          <w:sz w:val="22"/>
          <w:szCs w:val="22"/>
        </w:rPr>
        <w:t>a</w:t>
      </w:r>
      <w:r w:rsidR="00966FF6">
        <w:rPr>
          <w:rFonts w:asciiTheme="minorHAnsi" w:hAnsiTheme="minorHAnsi" w:cstheme="minorHAnsi"/>
          <w:sz w:val="22"/>
          <w:szCs w:val="22"/>
        </w:rPr>
        <w:t xml:space="preserve">nnual </w:t>
      </w:r>
      <w:r w:rsidR="00FC50A2">
        <w:rPr>
          <w:rFonts w:asciiTheme="minorHAnsi" w:hAnsiTheme="minorHAnsi" w:cstheme="minorHAnsi"/>
          <w:sz w:val="22"/>
          <w:szCs w:val="22"/>
        </w:rPr>
        <w:t>amount</w:t>
      </w:r>
      <w:r w:rsidR="00966FF6">
        <w:rPr>
          <w:rFonts w:asciiTheme="minorHAnsi" w:hAnsiTheme="minorHAnsi" w:cstheme="minorHAnsi"/>
          <w:sz w:val="22"/>
          <w:szCs w:val="22"/>
        </w:rPr>
        <w:t>s set aside from revenue</w:t>
      </w:r>
      <w:r w:rsidR="00FC50A2">
        <w:rPr>
          <w:rFonts w:asciiTheme="minorHAnsi" w:hAnsiTheme="minorHAnsi" w:cstheme="minorHAnsi"/>
          <w:sz w:val="22"/>
          <w:szCs w:val="22"/>
        </w:rPr>
        <w:t xml:space="preserve"> in accordance with the Council’s policy for Minimum Revenue Provisions</w:t>
      </w:r>
      <w:r w:rsidR="00966FF6">
        <w:rPr>
          <w:rFonts w:asciiTheme="minorHAnsi" w:hAnsiTheme="minorHAnsi" w:cstheme="minorHAnsi"/>
          <w:sz w:val="22"/>
          <w:szCs w:val="22"/>
        </w:rPr>
        <w:t xml:space="preserve"> </w:t>
      </w:r>
      <w:r w:rsidR="00FC50A2">
        <w:rPr>
          <w:rFonts w:asciiTheme="minorHAnsi" w:hAnsiTheme="minorHAnsi" w:cstheme="minorHAnsi"/>
          <w:sz w:val="22"/>
          <w:szCs w:val="22"/>
        </w:rPr>
        <w:t>(MRP).</w:t>
      </w:r>
      <w:r w:rsidRPr="0068094B">
        <w:rPr>
          <w:rFonts w:asciiTheme="minorHAnsi" w:hAnsiTheme="minorHAnsi" w:cstheme="minorHAnsi"/>
          <w:sz w:val="22"/>
          <w:szCs w:val="22"/>
        </w:rPr>
        <w:t xml:space="preserve"> The CFR is analysed </w:t>
      </w:r>
      <w:r w:rsidR="00FC50A2">
        <w:rPr>
          <w:rFonts w:asciiTheme="minorHAnsi" w:hAnsiTheme="minorHAnsi" w:cstheme="minorHAnsi"/>
          <w:sz w:val="22"/>
          <w:szCs w:val="22"/>
        </w:rPr>
        <w:t>as follows:</w:t>
      </w:r>
    </w:p>
    <w:p w:rsidR="00871025" w:rsidRDefault="00871025">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rsidR="00871025" w:rsidRDefault="00871025" w:rsidP="00DC1650">
      <w:pPr>
        <w:widowControl/>
        <w:tabs>
          <w:tab w:val="left" w:pos="0"/>
        </w:tabs>
        <w:autoSpaceDE w:val="0"/>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5954"/>
        <w:gridCol w:w="1417"/>
        <w:gridCol w:w="1466"/>
      </w:tblGrid>
      <w:tr w:rsidR="00604116" w:rsidRPr="0068094B" w:rsidTr="00363F77">
        <w:trPr>
          <w:tblHeader/>
        </w:trPr>
        <w:tc>
          <w:tcPr>
            <w:tcW w:w="5954" w:type="dxa"/>
          </w:tcPr>
          <w:p w:rsidR="00604116" w:rsidRDefault="00604116" w:rsidP="000307B3">
            <w:pPr>
              <w:tabs>
                <w:tab w:val="left" w:pos="0"/>
              </w:tabs>
              <w:snapToGrid w:val="0"/>
              <w:rPr>
                <w:rFonts w:asciiTheme="minorHAnsi" w:hAnsiTheme="minorHAnsi" w:cstheme="minorHAnsi"/>
                <w:sz w:val="22"/>
                <w:szCs w:val="22"/>
              </w:rPr>
            </w:pPr>
          </w:p>
          <w:p w:rsidR="000B4658" w:rsidRPr="0068094B" w:rsidRDefault="000B4658" w:rsidP="000307B3">
            <w:pPr>
              <w:tabs>
                <w:tab w:val="left" w:pos="0"/>
              </w:tabs>
              <w:snapToGrid w:val="0"/>
              <w:rPr>
                <w:rFonts w:asciiTheme="minorHAnsi" w:hAnsiTheme="minorHAnsi" w:cstheme="minorHAnsi"/>
                <w:sz w:val="22"/>
                <w:szCs w:val="22"/>
              </w:rPr>
            </w:pPr>
          </w:p>
        </w:tc>
        <w:tc>
          <w:tcPr>
            <w:tcW w:w="1417" w:type="dxa"/>
            <w:tcBorders>
              <w:bottom w:val="single" w:sz="4" w:space="0" w:color="000000"/>
            </w:tcBorders>
            <w:vAlign w:val="center"/>
          </w:tcPr>
          <w:p w:rsidR="00604116"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3C4210">
              <w:rPr>
                <w:rFonts w:asciiTheme="minorHAnsi" w:hAnsiTheme="minorHAnsi" w:cstheme="minorHAnsi"/>
                <w:b/>
                <w:sz w:val="22"/>
                <w:szCs w:val="22"/>
              </w:rPr>
              <w:t>8</w:t>
            </w:r>
            <w:r w:rsidRPr="0068094B">
              <w:rPr>
                <w:rFonts w:asciiTheme="minorHAnsi" w:hAnsiTheme="minorHAnsi" w:cstheme="minorHAnsi"/>
                <w:b/>
                <w:sz w:val="22"/>
                <w:szCs w:val="22"/>
              </w:rPr>
              <w:t>-1</w:t>
            </w:r>
            <w:r w:rsidR="003C4210">
              <w:rPr>
                <w:rFonts w:asciiTheme="minorHAnsi" w:hAnsiTheme="minorHAnsi" w:cstheme="minorHAnsi"/>
                <w:b/>
                <w:sz w:val="22"/>
                <w:szCs w:val="22"/>
              </w:rPr>
              <w:t>9</w:t>
            </w:r>
          </w:p>
          <w:p w:rsidR="00604116" w:rsidRPr="0068094B" w:rsidRDefault="00604116"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66" w:type="dxa"/>
            <w:tcBorders>
              <w:bottom w:val="single" w:sz="4" w:space="0" w:color="808080"/>
            </w:tcBorders>
            <w:shd w:val="clear" w:color="auto" w:fill="D9D9D9" w:themeFill="background1" w:themeFillShade="D9"/>
            <w:vAlign w:val="center"/>
          </w:tcPr>
          <w:p w:rsidR="00604116" w:rsidRPr="0068094B" w:rsidRDefault="00233918"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3C4210">
              <w:rPr>
                <w:rFonts w:asciiTheme="minorHAnsi" w:hAnsiTheme="minorHAnsi" w:cstheme="minorHAnsi"/>
                <w:b/>
                <w:sz w:val="22"/>
                <w:szCs w:val="22"/>
              </w:rPr>
              <w:t>9</w:t>
            </w:r>
            <w:r w:rsidRPr="0068094B">
              <w:rPr>
                <w:rFonts w:asciiTheme="minorHAnsi" w:hAnsiTheme="minorHAnsi" w:cstheme="minorHAnsi"/>
                <w:b/>
                <w:sz w:val="22"/>
                <w:szCs w:val="22"/>
              </w:rPr>
              <w:t>-</w:t>
            </w:r>
            <w:r w:rsidR="003C4210">
              <w:rPr>
                <w:rFonts w:asciiTheme="minorHAnsi" w:hAnsiTheme="minorHAnsi" w:cstheme="minorHAnsi"/>
                <w:b/>
                <w:sz w:val="22"/>
                <w:szCs w:val="22"/>
              </w:rPr>
              <w:t>20</w:t>
            </w:r>
          </w:p>
          <w:p w:rsidR="00604116" w:rsidRPr="0068094B" w:rsidRDefault="00604116"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3C4210" w:rsidRPr="0068094B" w:rsidTr="00363F77">
        <w:trPr>
          <w:trHeight w:val="327"/>
        </w:trPr>
        <w:tc>
          <w:tcPr>
            <w:tcW w:w="5954" w:type="dxa"/>
            <w:vAlign w:val="center"/>
          </w:tcPr>
          <w:p w:rsidR="003C4210" w:rsidRPr="0068094B" w:rsidRDefault="003C4210"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Opening Capital Financing Requirement</w:t>
            </w:r>
          </w:p>
        </w:tc>
        <w:tc>
          <w:tcPr>
            <w:tcW w:w="1417" w:type="dxa"/>
            <w:tcBorders>
              <w:top w:val="single" w:sz="4" w:space="0" w:color="000000"/>
            </w:tcBorders>
            <w:vAlign w:val="center"/>
          </w:tcPr>
          <w:p w:rsidR="003C4210" w:rsidRPr="0068094B" w:rsidRDefault="003C4210" w:rsidP="003505D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(1,400)</w:t>
            </w:r>
          </w:p>
        </w:tc>
        <w:tc>
          <w:tcPr>
            <w:tcW w:w="1466" w:type="dxa"/>
            <w:tcBorders>
              <w:top w:val="single" w:sz="4" w:space="0" w:color="808080"/>
            </w:tcBorders>
            <w:shd w:val="clear" w:color="auto" w:fill="D9D9D9" w:themeFill="background1" w:themeFillShade="D9"/>
            <w:vAlign w:val="center"/>
          </w:tcPr>
          <w:p w:rsidR="003C4210" w:rsidRPr="0068094B" w:rsidRDefault="00F57B56" w:rsidP="00363F7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(1,428)</w:t>
            </w:r>
          </w:p>
        </w:tc>
      </w:tr>
      <w:tr w:rsidR="003C4210" w:rsidRPr="0068094B" w:rsidTr="00363F77">
        <w:trPr>
          <w:trHeight w:val="80"/>
        </w:trPr>
        <w:tc>
          <w:tcPr>
            <w:tcW w:w="5954" w:type="dxa"/>
            <w:vAlign w:val="center"/>
          </w:tcPr>
          <w:p w:rsidR="003C4210" w:rsidRPr="0068094B" w:rsidRDefault="003C4210" w:rsidP="000307B3">
            <w:pPr>
              <w:tabs>
                <w:tab w:val="left" w:pos="0"/>
              </w:tabs>
              <w:snapToGrid w:val="0"/>
              <w:rPr>
                <w:rFonts w:asciiTheme="minorHAnsi" w:hAnsiTheme="minorHAnsi" w:cstheme="minorHAnsi"/>
                <w:sz w:val="22"/>
                <w:szCs w:val="22"/>
                <w:u w:val="single"/>
              </w:rPr>
            </w:pPr>
          </w:p>
        </w:tc>
        <w:tc>
          <w:tcPr>
            <w:tcW w:w="1417" w:type="dxa"/>
            <w:vAlign w:val="center"/>
          </w:tcPr>
          <w:p w:rsidR="003C4210" w:rsidRPr="0068094B" w:rsidRDefault="003C4210" w:rsidP="000307B3">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rsidR="003C4210" w:rsidRPr="0068094B" w:rsidRDefault="003C4210" w:rsidP="00B939D2">
            <w:pPr>
              <w:tabs>
                <w:tab w:val="left" w:pos="0"/>
              </w:tabs>
              <w:snapToGrid w:val="0"/>
              <w:jc w:val="right"/>
              <w:rPr>
                <w:rFonts w:asciiTheme="minorHAnsi" w:hAnsiTheme="minorHAnsi" w:cstheme="minorHAnsi"/>
                <w:sz w:val="22"/>
                <w:szCs w:val="22"/>
              </w:rPr>
            </w:pPr>
          </w:p>
        </w:tc>
      </w:tr>
      <w:tr w:rsidR="003C4210" w:rsidRPr="0068094B" w:rsidTr="00363F77">
        <w:trPr>
          <w:trHeight w:val="293"/>
        </w:trPr>
        <w:tc>
          <w:tcPr>
            <w:tcW w:w="5954" w:type="dxa"/>
            <w:vAlign w:val="center"/>
          </w:tcPr>
          <w:p w:rsidR="003C4210" w:rsidRPr="0068094B" w:rsidRDefault="003C4210" w:rsidP="00073122">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investment in year</w:t>
            </w:r>
          </w:p>
        </w:tc>
        <w:tc>
          <w:tcPr>
            <w:tcW w:w="1417" w:type="dxa"/>
            <w:vAlign w:val="center"/>
          </w:tcPr>
          <w:p w:rsidR="003C4210" w:rsidRPr="0068094B" w:rsidRDefault="003C4210" w:rsidP="0048727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7,034</w:t>
            </w:r>
          </w:p>
        </w:tc>
        <w:tc>
          <w:tcPr>
            <w:tcW w:w="1466" w:type="dxa"/>
            <w:shd w:val="clear" w:color="auto" w:fill="D9D9D9" w:themeFill="background1" w:themeFillShade="D9"/>
            <w:vAlign w:val="center"/>
          </w:tcPr>
          <w:p w:rsidR="003C4210" w:rsidRPr="00D16CC2" w:rsidRDefault="00DB31ED" w:rsidP="009A5EA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6,925</w:t>
            </w:r>
          </w:p>
        </w:tc>
      </w:tr>
      <w:tr w:rsidR="003C4210" w:rsidRPr="0068094B" w:rsidTr="00363F77">
        <w:trPr>
          <w:trHeight w:val="365"/>
        </w:trPr>
        <w:tc>
          <w:tcPr>
            <w:tcW w:w="5954" w:type="dxa"/>
            <w:vAlign w:val="center"/>
          </w:tcPr>
          <w:p w:rsidR="003C4210" w:rsidRPr="0068094B" w:rsidRDefault="003C4210"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Financed by:</w:t>
            </w:r>
          </w:p>
        </w:tc>
        <w:tc>
          <w:tcPr>
            <w:tcW w:w="1417" w:type="dxa"/>
            <w:vAlign w:val="center"/>
          </w:tcPr>
          <w:p w:rsidR="003C4210" w:rsidRPr="0068094B" w:rsidRDefault="003C4210" w:rsidP="000307B3">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rsidR="003C4210" w:rsidRPr="00D16CC2" w:rsidRDefault="003C4210" w:rsidP="00B939D2">
            <w:pPr>
              <w:tabs>
                <w:tab w:val="left" w:pos="0"/>
              </w:tabs>
              <w:snapToGrid w:val="0"/>
              <w:jc w:val="right"/>
              <w:rPr>
                <w:rFonts w:asciiTheme="minorHAnsi" w:hAnsiTheme="minorHAnsi" w:cstheme="minorHAnsi"/>
                <w:sz w:val="22"/>
                <w:szCs w:val="22"/>
              </w:rPr>
            </w:pPr>
          </w:p>
        </w:tc>
      </w:tr>
      <w:tr w:rsidR="003C4210" w:rsidRPr="0068094B" w:rsidTr="00363F77">
        <w:trPr>
          <w:trHeight w:val="285"/>
        </w:trPr>
        <w:tc>
          <w:tcPr>
            <w:tcW w:w="5954" w:type="dxa"/>
            <w:vAlign w:val="center"/>
          </w:tcPr>
          <w:p w:rsidR="003C4210" w:rsidRPr="0068094B" w:rsidRDefault="003C4210"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Receipts</w:t>
            </w:r>
          </w:p>
        </w:tc>
        <w:tc>
          <w:tcPr>
            <w:tcW w:w="1417" w:type="dxa"/>
            <w:vAlign w:val="center"/>
          </w:tcPr>
          <w:p w:rsidR="003C4210" w:rsidRPr="0068094B" w:rsidRDefault="003C4210" w:rsidP="00D11D65">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(147)</w:t>
            </w:r>
          </w:p>
        </w:tc>
        <w:tc>
          <w:tcPr>
            <w:tcW w:w="1466" w:type="dxa"/>
            <w:shd w:val="clear" w:color="auto" w:fill="D9D9D9" w:themeFill="background1" w:themeFillShade="D9"/>
            <w:vAlign w:val="center"/>
          </w:tcPr>
          <w:p w:rsidR="003C4210" w:rsidRPr="00D16CC2" w:rsidRDefault="00DB31ED" w:rsidP="0091498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(27)</w:t>
            </w:r>
          </w:p>
        </w:tc>
      </w:tr>
      <w:tr w:rsidR="003C4210" w:rsidRPr="0068094B" w:rsidTr="00363F77">
        <w:trPr>
          <w:trHeight w:val="289"/>
        </w:trPr>
        <w:tc>
          <w:tcPr>
            <w:tcW w:w="5954" w:type="dxa"/>
            <w:vAlign w:val="center"/>
          </w:tcPr>
          <w:p w:rsidR="003C4210" w:rsidRPr="0068094B" w:rsidRDefault="003C4210"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Government grants and other contributions</w:t>
            </w:r>
          </w:p>
        </w:tc>
        <w:tc>
          <w:tcPr>
            <w:tcW w:w="1417" w:type="dxa"/>
            <w:vAlign w:val="center"/>
          </w:tcPr>
          <w:p w:rsidR="003C4210" w:rsidRPr="0068094B" w:rsidRDefault="003C4210" w:rsidP="001C63FE">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(5,490)</w:t>
            </w:r>
          </w:p>
        </w:tc>
        <w:tc>
          <w:tcPr>
            <w:tcW w:w="1466" w:type="dxa"/>
            <w:shd w:val="clear" w:color="auto" w:fill="D9D9D9" w:themeFill="background1" w:themeFillShade="D9"/>
            <w:vAlign w:val="center"/>
          </w:tcPr>
          <w:p w:rsidR="003C4210" w:rsidRPr="00D16CC2" w:rsidRDefault="00DB31ED" w:rsidP="009A5EA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(4,566)</w:t>
            </w:r>
          </w:p>
        </w:tc>
      </w:tr>
      <w:tr w:rsidR="003C4210" w:rsidRPr="0068094B" w:rsidTr="00363F77">
        <w:trPr>
          <w:trHeight w:val="279"/>
        </w:trPr>
        <w:tc>
          <w:tcPr>
            <w:tcW w:w="5954" w:type="dxa"/>
            <w:vAlign w:val="center"/>
          </w:tcPr>
          <w:p w:rsidR="003C4210" w:rsidRPr="0068094B" w:rsidRDefault="003C4210" w:rsidP="003E6DE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Sums set aside from revenue </w:t>
            </w:r>
          </w:p>
        </w:tc>
        <w:tc>
          <w:tcPr>
            <w:tcW w:w="1417" w:type="dxa"/>
            <w:vAlign w:val="center"/>
          </w:tcPr>
          <w:p w:rsidR="003C4210" w:rsidRPr="0068094B" w:rsidRDefault="003C4210" w:rsidP="003E6DE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(1,396)</w:t>
            </w:r>
          </w:p>
        </w:tc>
        <w:tc>
          <w:tcPr>
            <w:tcW w:w="1466" w:type="dxa"/>
            <w:shd w:val="clear" w:color="auto" w:fill="D9D9D9" w:themeFill="background1" w:themeFillShade="D9"/>
            <w:vAlign w:val="center"/>
          </w:tcPr>
          <w:p w:rsidR="003C4210" w:rsidRPr="00D16CC2" w:rsidRDefault="00DB31ED" w:rsidP="009A5EA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(2,332)</w:t>
            </w:r>
          </w:p>
        </w:tc>
      </w:tr>
      <w:tr w:rsidR="003C4210" w:rsidRPr="0068094B" w:rsidTr="00363F77">
        <w:trPr>
          <w:trHeight w:val="451"/>
        </w:trPr>
        <w:tc>
          <w:tcPr>
            <w:tcW w:w="5954" w:type="dxa"/>
            <w:vAlign w:val="center"/>
          </w:tcPr>
          <w:p w:rsidR="003C4210" w:rsidRPr="0068094B" w:rsidRDefault="003C4210" w:rsidP="000307B3">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Minimum Revenue Provision</w:t>
            </w:r>
          </w:p>
        </w:tc>
        <w:tc>
          <w:tcPr>
            <w:tcW w:w="1417" w:type="dxa"/>
            <w:vAlign w:val="center"/>
          </w:tcPr>
          <w:p w:rsidR="003C4210" w:rsidRPr="0068094B" w:rsidRDefault="003C4210" w:rsidP="000307B3">
            <w:pPr>
              <w:tabs>
                <w:tab w:val="left" w:pos="0"/>
              </w:tabs>
              <w:snapToGrid w:val="0"/>
              <w:jc w:val="right"/>
              <w:rPr>
                <w:rFonts w:asciiTheme="minorHAnsi" w:hAnsiTheme="minorHAnsi" w:cstheme="minorHAnsi"/>
                <w:sz w:val="22"/>
                <w:szCs w:val="22"/>
              </w:rPr>
            </w:pPr>
            <w:r w:rsidRPr="009A5EA4">
              <w:rPr>
                <w:rFonts w:asciiTheme="minorHAnsi" w:hAnsiTheme="minorHAnsi" w:cstheme="minorHAnsi"/>
                <w:sz w:val="22"/>
                <w:szCs w:val="22"/>
              </w:rPr>
              <w:t>(29)</w:t>
            </w:r>
          </w:p>
        </w:tc>
        <w:tc>
          <w:tcPr>
            <w:tcW w:w="1466" w:type="dxa"/>
            <w:shd w:val="clear" w:color="auto" w:fill="D9D9D9" w:themeFill="background1" w:themeFillShade="D9"/>
            <w:vAlign w:val="center"/>
          </w:tcPr>
          <w:p w:rsidR="003C4210" w:rsidRPr="009A5EA4" w:rsidRDefault="00DB31ED" w:rsidP="0022579A">
            <w:pPr>
              <w:tabs>
                <w:tab w:val="left" w:pos="0"/>
              </w:tabs>
              <w:snapToGrid w:val="0"/>
              <w:jc w:val="right"/>
              <w:rPr>
                <w:rFonts w:asciiTheme="minorHAnsi" w:hAnsiTheme="minorHAnsi" w:cstheme="minorHAnsi"/>
                <w:sz w:val="22"/>
                <w:szCs w:val="22"/>
                <w:highlight w:val="green"/>
              </w:rPr>
            </w:pPr>
            <w:r w:rsidRPr="00DB31ED">
              <w:rPr>
                <w:rFonts w:asciiTheme="minorHAnsi" w:hAnsiTheme="minorHAnsi" w:cstheme="minorHAnsi"/>
                <w:sz w:val="22"/>
                <w:szCs w:val="22"/>
              </w:rPr>
              <w:t>(6)</w:t>
            </w:r>
          </w:p>
        </w:tc>
      </w:tr>
      <w:tr w:rsidR="003C4210" w:rsidRPr="0068094B" w:rsidTr="00363F77">
        <w:trPr>
          <w:trHeight w:val="80"/>
        </w:trPr>
        <w:tc>
          <w:tcPr>
            <w:tcW w:w="5954" w:type="dxa"/>
            <w:vAlign w:val="center"/>
          </w:tcPr>
          <w:p w:rsidR="003C4210" w:rsidRPr="0068094B" w:rsidRDefault="003C4210" w:rsidP="000307B3">
            <w:pPr>
              <w:tabs>
                <w:tab w:val="left" w:pos="0"/>
              </w:tabs>
              <w:snapToGrid w:val="0"/>
              <w:rPr>
                <w:rFonts w:asciiTheme="minorHAnsi" w:hAnsiTheme="minorHAnsi" w:cstheme="minorHAnsi"/>
                <w:sz w:val="22"/>
                <w:szCs w:val="22"/>
              </w:rPr>
            </w:pPr>
          </w:p>
        </w:tc>
        <w:tc>
          <w:tcPr>
            <w:tcW w:w="1417" w:type="dxa"/>
            <w:vAlign w:val="center"/>
          </w:tcPr>
          <w:p w:rsidR="003C4210" w:rsidRPr="0068094B" w:rsidRDefault="003C4210" w:rsidP="000307B3">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rsidR="003C4210" w:rsidRPr="0068094B" w:rsidRDefault="003C4210" w:rsidP="00B939D2">
            <w:pPr>
              <w:tabs>
                <w:tab w:val="left" w:pos="0"/>
              </w:tabs>
              <w:snapToGrid w:val="0"/>
              <w:jc w:val="right"/>
              <w:rPr>
                <w:rFonts w:asciiTheme="minorHAnsi" w:hAnsiTheme="minorHAnsi" w:cstheme="minorHAnsi"/>
                <w:sz w:val="22"/>
                <w:szCs w:val="22"/>
              </w:rPr>
            </w:pPr>
          </w:p>
        </w:tc>
      </w:tr>
      <w:tr w:rsidR="003C4210" w:rsidRPr="0068094B" w:rsidTr="00363F77">
        <w:trPr>
          <w:trHeight w:val="361"/>
        </w:trPr>
        <w:tc>
          <w:tcPr>
            <w:tcW w:w="5954" w:type="dxa"/>
            <w:vAlign w:val="center"/>
          </w:tcPr>
          <w:p w:rsidR="003C4210" w:rsidRPr="0068094B" w:rsidRDefault="003C4210"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Closing Capital Financing Requirement</w:t>
            </w:r>
          </w:p>
        </w:tc>
        <w:tc>
          <w:tcPr>
            <w:tcW w:w="1417" w:type="dxa"/>
            <w:tcBorders>
              <w:top w:val="single" w:sz="4" w:space="0" w:color="000000"/>
              <w:bottom w:val="single" w:sz="4" w:space="0" w:color="000000"/>
            </w:tcBorders>
            <w:vAlign w:val="center"/>
          </w:tcPr>
          <w:p w:rsidR="003C4210" w:rsidRPr="0068094B" w:rsidRDefault="003C4210" w:rsidP="00293AF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(1,428)</w:t>
            </w:r>
          </w:p>
        </w:tc>
        <w:tc>
          <w:tcPr>
            <w:tcW w:w="1466" w:type="dxa"/>
            <w:tcBorders>
              <w:top w:val="single" w:sz="4" w:space="0" w:color="808080"/>
              <w:bottom w:val="single" w:sz="4" w:space="0" w:color="808080"/>
            </w:tcBorders>
            <w:shd w:val="clear" w:color="auto" w:fill="D9D9D9" w:themeFill="background1" w:themeFillShade="D9"/>
            <w:vAlign w:val="center"/>
          </w:tcPr>
          <w:p w:rsidR="003C4210" w:rsidRPr="0068094B" w:rsidRDefault="00DB31ED" w:rsidP="0022579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(1,434)</w:t>
            </w:r>
          </w:p>
        </w:tc>
      </w:tr>
      <w:tr w:rsidR="003C4210" w:rsidRPr="0068094B" w:rsidTr="000307B3">
        <w:tc>
          <w:tcPr>
            <w:tcW w:w="5954" w:type="dxa"/>
            <w:vAlign w:val="center"/>
          </w:tcPr>
          <w:p w:rsidR="003C4210" w:rsidRDefault="003C4210" w:rsidP="000307B3">
            <w:pPr>
              <w:tabs>
                <w:tab w:val="left" w:pos="0"/>
              </w:tabs>
              <w:snapToGrid w:val="0"/>
              <w:rPr>
                <w:rFonts w:asciiTheme="minorHAnsi" w:hAnsiTheme="minorHAnsi" w:cstheme="minorHAnsi"/>
                <w:sz w:val="22"/>
                <w:szCs w:val="22"/>
              </w:rPr>
            </w:pPr>
          </w:p>
          <w:p w:rsidR="00422723" w:rsidRPr="0068094B" w:rsidRDefault="00422723" w:rsidP="000307B3">
            <w:pPr>
              <w:tabs>
                <w:tab w:val="left" w:pos="0"/>
              </w:tabs>
              <w:snapToGrid w:val="0"/>
              <w:rPr>
                <w:rFonts w:asciiTheme="minorHAnsi" w:hAnsiTheme="minorHAnsi" w:cstheme="minorHAnsi"/>
                <w:sz w:val="22"/>
                <w:szCs w:val="22"/>
              </w:rPr>
            </w:pPr>
          </w:p>
        </w:tc>
        <w:tc>
          <w:tcPr>
            <w:tcW w:w="1417" w:type="dxa"/>
            <w:tcBorders>
              <w:top w:val="single" w:sz="4" w:space="0" w:color="000000"/>
            </w:tcBorders>
            <w:vAlign w:val="center"/>
          </w:tcPr>
          <w:p w:rsidR="003C4210" w:rsidRPr="00537A21" w:rsidRDefault="003C4210" w:rsidP="00537A21">
            <w:pPr>
              <w:tabs>
                <w:tab w:val="left" w:pos="0"/>
              </w:tabs>
              <w:snapToGrid w:val="0"/>
              <w:jc w:val="center"/>
              <w:rPr>
                <w:rFonts w:asciiTheme="minorHAnsi" w:hAnsiTheme="minorHAnsi" w:cstheme="minorHAnsi"/>
                <w:sz w:val="22"/>
                <w:szCs w:val="22"/>
                <w:highlight w:val="yellow"/>
              </w:rPr>
            </w:pPr>
          </w:p>
        </w:tc>
        <w:tc>
          <w:tcPr>
            <w:tcW w:w="1466" w:type="dxa"/>
            <w:tcBorders>
              <w:top w:val="single" w:sz="4" w:space="0" w:color="808080"/>
            </w:tcBorders>
            <w:vAlign w:val="center"/>
          </w:tcPr>
          <w:p w:rsidR="003C4210" w:rsidRPr="00537A21" w:rsidRDefault="003C4210" w:rsidP="00537A21">
            <w:pPr>
              <w:tabs>
                <w:tab w:val="left" w:pos="0"/>
              </w:tabs>
              <w:snapToGrid w:val="0"/>
              <w:jc w:val="center"/>
              <w:rPr>
                <w:rFonts w:asciiTheme="minorHAnsi" w:hAnsiTheme="minorHAnsi" w:cstheme="minorHAnsi"/>
                <w:color w:val="808080" w:themeColor="background1" w:themeShade="80"/>
                <w:sz w:val="22"/>
                <w:szCs w:val="22"/>
                <w:highlight w:val="yellow"/>
              </w:rPr>
            </w:pPr>
          </w:p>
        </w:tc>
      </w:tr>
    </w:tbl>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Leases</w:t>
      </w:r>
    </w:p>
    <w:p w:rsidR="00DC1650" w:rsidRPr="0068094B" w:rsidRDefault="00DC1650" w:rsidP="00DC1650">
      <w:pPr>
        <w:pStyle w:val="ListParagraph"/>
        <w:tabs>
          <w:tab w:val="left" w:pos="0"/>
        </w:tabs>
        <w:jc w:val="both"/>
        <w:rPr>
          <w:rFonts w:asciiTheme="minorHAnsi" w:hAnsiTheme="minorHAnsi" w:cstheme="minorHAnsi"/>
          <w:b/>
          <w:bCs/>
          <w:szCs w:val="22"/>
        </w:rPr>
      </w:pPr>
    </w:p>
    <w:p w:rsidR="00DC1650" w:rsidRPr="0068094B" w:rsidRDefault="00E16274" w:rsidP="00DC1650">
      <w:pPr>
        <w:widowControl/>
        <w:tabs>
          <w:tab w:val="left" w:pos="0"/>
        </w:tabs>
        <w:autoSpaceDE w:val="0"/>
        <w:rPr>
          <w:rFonts w:asciiTheme="minorHAnsi" w:hAnsiTheme="minorHAnsi" w:cstheme="minorHAnsi"/>
          <w:b/>
          <w:bCs/>
          <w:color w:val="E36C0A" w:themeColor="accent6" w:themeShade="BF"/>
          <w:sz w:val="22"/>
          <w:szCs w:val="22"/>
        </w:rPr>
      </w:pPr>
      <w:r w:rsidRPr="0068094B">
        <w:rPr>
          <w:rFonts w:asciiTheme="minorHAnsi" w:hAnsiTheme="minorHAnsi" w:cstheme="minorHAnsi"/>
          <w:b/>
          <w:bCs/>
          <w:sz w:val="22"/>
          <w:szCs w:val="22"/>
        </w:rPr>
        <w:t>Council</w:t>
      </w:r>
      <w:r w:rsidR="00DC1650" w:rsidRPr="0068094B">
        <w:rPr>
          <w:rFonts w:asciiTheme="minorHAnsi" w:hAnsiTheme="minorHAnsi" w:cstheme="minorHAnsi"/>
          <w:b/>
          <w:bCs/>
          <w:sz w:val="22"/>
          <w:szCs w:val="22"/>
        </w:rPr>
        <w:t xml:space="preserve"> as Lessor</w:t>
      </w:r>
      <w:r w:rsidR="000A33CE" w:rsidRPr="0068094B">
        <w:rPr>
          <w:rFonts w:asciiTheme="minorHAnsi" w:hAnsiTheme="minorHAnsi" w:cstheme="minorHAnsi"/>
          <w:b/>
          <w:bCs/>
          <w:sz w:val="22"/>
          <w:szCs w:val="22"/>
        </w:rPr>
        <w:t xml:space="preserve"> </w:t>
      </w:r>
    </w:p>
    <w:p w:rsidR="00DC1650" w:rsidRDefault="00DC1650" w:rsidP="00DC1650">
      <w:pPr>
        <w:widowControl/>
        <w:tabs>
          <w:tab w:val="left" w:pos="0"/>
        </w:tabs>
        <w:autoSpaceDE w:val="0"/>
        <w:rPr>
          <w:rFonts w:asciiTheme="minorHAnsi" w:hAnsiTheme="minorHAnsi" w:cstheme="minorHAnsi"/>
          <w:sz w:val="22"/>
          <w:szCs w:val="22"/>
        </w:rPr>
      </w:pPr>
    </w:p>
    <w:p w:rsidR="003F4F6A" w:rsidRDefault="003F4F6A" w:rsidP="00A85682">
      <w:pPr>
        <w:widowControl/>
        <w:tabs>
          <w:tab w:val="left" w:pos="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Finance Leases </w:t>
      </w:r>
    </w:p>
    <w:p w:rsidR="00A85682" w:rsidRDefault="00A85682" w:rsidP="00A85682">
      <w:pPr>
        <w:widowControl/>
        <w:tabs>
          <w:tab w:val="left" w:pos="0"/>
        </w:tabs>
        <w:autoSpaceDE w:val="0"/>
        <w:rPr>
          <w:rFonts w:asciiTheme="minorHAnsi" w:hAnsiTheme="minorHAnsi" w:cstheme="minorHAnsi"/>
          <w:sz w:val="22"/>
          <w:szCs w:val="22"/>
        </w:rPr>
      </w:pPr>
      <w:r w:rsidRPr="00A85682">
        <w:rPr>
          <w:rFonts w:asciiTheme="minorHAnsi" w:hAnsiTheme="minorHAnsi" w:cstheme="minorHAnsi"/>
          <w:sz w:val="22"/>
          <w:szCs w:val="22"/>
        </w:rPr>
        <w:t>The Council has gross investments in leases for sporting facilities and a crematorium. The sums comprise the minimum lease payments expected to be received over the remaining terms and the residual values anticipated for the properties when the leases come to an end. The minimum lease payments comprise settlement of the long-term debtors for the interest in the properties acquired by the lessee and finance income that will be earned by the Council in future years whilst the debtor remains outstanding. The gross investment is made up of the following amounts:</w:t>
      </w:r>
    </w:p>
    <w:p w:rsidR="00F446F4" w:rsidRPr="00A85682" w:rsidRDefault="00F446F4" w:rsidP="00A85682">
      <w:pPr>
        <w:widowControl/>
        <w:tabs>
          <w:tab w:val="left" w:pos="0"/>
        </w:tabs>
        <w:autoSpaceDE w:val="0"/>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637"/>
        <w:gridCol w:w="1559"/>
        <w:gridCol w:w="1559"/>
      </w:tblGrid>
      <w:tr w:rsidR="00DC1650" w:rsidRPr="0068094B" w:rsidTr="00363F77">
        <w:tc>
          <w:tcPr>
            <w:tcW w:w="5637" w:type="dxa"/>
          </w:tcPr>
          <w:p w:rsidR="00DC1650" w:rsidRDefault="00DC1650" w:rsidP="000307B3">
            <w:pPr>
              <w:tabs>
                <w:tab w:val="left" w:pos="0"/>
              </w:tabs>
              <w:snapToGrid w:val="0"/>
              <w:jc w:val="both"/>
              <w:rPr>
                <w:rFonts w:asciiTheme="minorHAnsi" w:hAnsiTheme="minorHAnsi" w:cstheme="minorHAnsi"/>
                <w:b/>
                <w:bCs/>
                <w:sz w:val="22"/>
                <w:szCs w:val="22"/>
              </w:rPr>
            </w:pPr>
          </w:p>
          <w:p w:rsidR="00F446F4" w:rsidRPr="0068094B" w:rsidRDefault="00F446F4" w:rsidP="000307B3">
            <w:pPr>
              <w:tabs>
                <w:tab w:val="left" w:pos="0"/>
              </w:tabs>
              <w:snapToGrid w:val="0"/>
              <w:jc w:val="both"/>
              <w:rPr>
                <w:rFonts w:asciiTheme="minorHAnsi" w:hAnsiTheme="minorHAnsi" w:cstheme="minorHAnsi"/>
                <w:b/>
                <w:bCs/>
                <w:sz w:val="22"/>
                <w:szCs w:val="22"/>
              </w:rPr>
            </w:pPr>
          </w:p>
        </w:tc>
        <w:tc>
          <w:tcPr>
            <w:tcW w:w="1559" w:type="dxa"/>
            <w:tcBorders>
              <w:bottom w:val="single" w:sz="4" w:space="0" w:color="000000"/>
            </w:tcBorders>
            <w:vAlign w:val="center"/>
          </w:tcPr>
          <w:p w:rsidR="00DC1650" w:rsidRPr="0068094B" w:rsidRDefault="00DA7293"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201</w:t>
            </w:r>
            <w:r w:rsidR="0041326A">
              <w:rPr>
                <w:rFonts w:asciiTheme="minorHAnsi" w:hAnsiTheme="minorHAnsi" w:cstheme="minorHAnsi"/>
                <w:b/>
                <w:sz w:val="22"/>
                <w:szCs w:val="22"/>
              </w:rPr>
              <w:t>9</w:t>
            </w:r>
          </w:p>
          <w:p w:rsidR="00DC1650" w:rsidRPr="0068094B" w:rsidRDefault="00DC1650"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559" w:type="dxa"/>
            <w:tcBorders>
              <w:bottom w:val="single" w:sz="4" w:space="0" w:color="808080"/>
            </w:tcBorders>
            <w:shd w:val="clear" w:color="auto" w:fill="D9D9D9" w:themeFill="background1" w:themeFillShade="D9"/>
            <w:vAlign w:val="center"/>
          </w:tcPr>
          <w:p w:rsidR="00DC1650" w:rsidRPr="0068094B" w:rsidRDefault="005B4E4C"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41326A">
              <w:rPr>
                <w:rFonts w:asciiTheme="minorHAnsi" w:hAnsiTheme="minorHAnsi" w:cstheme="minorHAnsi"/>
                <w:b/>
                <w:sz w:val="22"/>
                <w:szCs w:val="22"/>
              </w:rPr>
              <w:t>20</w:t>
            </w:r>
          </w:p>
          <w:p w:rsidR="00DC1650" w:rsidRPr="0068094B" w:rsidRDefault="00DC1650"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DC1650" w:rsidRPr="0068094B" w:rsidTr="00363F77">
        <w:trPr>
          <w:trHeight w:val="479"/>
        </w:trPr>
        <w:tc>
          <w:tcPr>
            <w:tcW w:w="5637" w:type="dxa"/>
          </w:tcPr>
          <w:p w:rsidR="00DC1650" w:rsidRPr="0068094B" w:rsidRDefault="00DC1650" w:rsidP="0073423D">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 xml:space="preserve">Finance lease debtor </w:t>
            </w:r>
          </w:p>
        </w:tc>
        <w:tc>
          <w:tcPr>
            <w:tcW w:w="1559" w:type="dxa"/>
            <w:tcBorders>
              <w:top w:val="single" w:sz="4" w:space="0" w:color="000000"/>
            </w:tcBorders>
            <w:vAlign w:val="center"/>
          </w:tcPr>
          <w:p w:rsidR="00DC1650" w:rsidRPr="0068094B" w:rsidRDefault="00DC1650" w:rsidP="000307B3">
            <w:pPr>
              <w:tabs>
                <w:tab w:val="left" w:pos="0"/>
              </w:tabs>
              <w:snapToGrid w:val="0"/>
              <w:jc w:val="right"/>
              <w:rPr>
                <w:rFonts w:asciiTheme="minorHAnsi" w:hAnsiTheme="minorHAnsi" w:cstheme="minorHAnsi"/>
                <w:b/>
                <w:bCs/>
                <w:sz w:val="22"/>
                <w:szCs w:val="22"/>
              </w:rPr>
            </w:pPr>
          </w:p>
        </w:tc>
        <w:tc>
          <w:tcPr>
            <w:tcW w:w="1559" w:type="dxa"/>
            <w:tcBorders>
              <w:top w:val="single" w:sz="4" w:space="0" w:color="808080"/>
            </w:tcBorders>
            <w:shd w:val="clear" w:color="auto" w:fill="D9D9D9" w:themeFill="background1" w:themeFillShade="D9"/>
            <w:vAlign w:val="center"/>
          </w:tcPr>
          <w:p w:rsidR="00DC1650" w:rsidRPr="0068094B" w:rsidRDefault="00DC1650" w:rsidP="000307B3">
            <w:pPr>
              <w:tabs>
                <w:tab w:val="left" w:pos="0"/>
              </w:tabs>
              <w:snapToGrid w:val="0"/>
              <w:jc w:val="right"/>
              <w:rPr>
                <w:rFonts w:asciiTheme="minorHAnsi" w:hAnsiTheme="minorHAnsi" w:cstheme="minorHAnsi"/>
                <w:b/>
                <w:bCs/>
                <w:sz w:val="22"/>
                <w:szCs w:val="22"/>
              </w:rPr>
            </w:pPr>
          </w:p>
        </w:tc>
      </w:tr>
      <w:tr w:rsidR="0041326A" w:rsidRPr="0068094B" w:rsidTr="00363F77">
        <w:tc>
          <w:tcPr>
            <w:tcW w:w="5637" w:type="dxa"/>
          </w:tcPr>
          <w:p w:rsidR="0041326A" w:rsidRPr="0068094B" w:rsidRDefault="0041326A" w:rsidP="007D7B32">
            <w:pPr>
              <w:numPr>
                <w:ilvl w:val="0"/>
                <w:numId w:val="16"/>
              </w:numPr>
              <w:tabs>
                <w:tab w:val="clear" w:pos="720"/>
                <w:tab w:val="left" w:pos="0"/>
                <w:tab w:val="num" w:pos="426"/>
              </w:tabs>
              <w:snapToGrid w:val="0"/>
              <w:ind w:left="0" w:firstLine="0"/>
              <w:jc w:val="both"/>
              <w:rPr>
                <w:rFonts w:asciiTheme="minorHAnsi" w:hAnsiTheme="minorHAnsi" w:cstheme="minorHAnsi"/>
                <w:sz w:val="22"/>
                <w:szCs w:val="22"/>
              </w:rPr>
            </w:pPr>
            <w:r w:rsidRPr="0068094B">
              <w:rPr>
                <w:rFonts w:asciiTheme="minorHAnsi" w:hAnsiTheme="minorHAnsi" w:cstheme="minorHAnsi"/>
                <w:sz w:val="22"/>
                <w:szCs w:val="22"/>
              </w:rPr>
              <w:t>Current</w:t>
            </w:r>
          </w:p>
        </w:tc>
        <w:tc>
          <w:tcPr>
            <w:tcW w:w="1559" w:type="dxa"/>
            <w:vAlign w:val="center"/>
          </w:tcPr>
          <w:p w:rsidR="0041326A" w:rsidRPr="0068094B" w:rsidRDefault="0041326A"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38</w:t>
            </w:r>
          </w:p>
        </w:tc>
        <w:tc>
          <w:tcPr>
            <w:tcW w:w="1559" w:type="dxa"/>
            <w:shd w:val="clear" w:color="auto" w:fill="D9D9D9" w:themeFill="background1" w:themeFillShade="D9"/>
            <w:vAlign w:val="center"/>
          </w:tcPr>
          <w:p w:rsidR="0041326A"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41</w:t>
            </w:r>
          </w:p>
        </w:tc>
      </w:tr>
      <w:tr w:rsidR="0041326A" w:rsidRPr="0068094B" w:rsidTr="00363F77">
        <w:tc>
          <w:tcPr>
            <w:tcW w:w="5637" w:type="dxa"/>
          </w:tcPr>
          <w:p w:rsidR="0041326A" w:rsidRPr="0068094B" w:rsidRDefault="0041326A" w:rsidP="007D7B32">
            <w:pPr>
              <w:numPr>
                <w:ilvl w:val="0"/>
                <w:numId w:val="16"/>
              </w:numPr>
              <w:tabs>
                <w:tab w:val="clear" w:pos="720"/>
                <w:tab w:val="left" w:pos="0"/>
                <w:tab w:val="num" w:pos="426"/>
              </w:tabs>
              <w:snapToGrid w:val="0"/>
              <w:ind w:left="0" w:firstLine="0"/>
              <w:jc w:val="both"/>
              <w:rPr>
                <w:rFonts w:asciiTheme="minorHAnsi" w:hAnsiTheme="minorHAnsi" w:cstheme="minorHAnsi"/>
                <w:sz w:val="22"/>
                <w:szCs w:val="22"/>
              </w:rPr>
            </w:pPr>
            <w:r w:rsidRPr="0068094B">
              <w:rPr>
                <w:rFonts w:asciiTheme="minorHAnsi" w:hAnsiTheme="minorHAnsi" w:cstheme="minorHAnsi"/>
                <w:sz w:val="22"/>
                <w:szCs w:val="22"/>
              </w:rPr>
              <w:t>Non-current</w:t>
            </w:r>
          </w:p>
        </w:tc>
        <w:tc>
          <w:tcPr>
            <w:tcW w:w="1559" w:type="dxa"/>
            <w:vAlign w:val="center"/>
          </w:tcPr>
          <w:p w:rsidR="0041326A" w:rsidRPr="0068094B" w:rsidRDefault="0041326A" w:rsidP="006451E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683</w:t>
            </w:r>
          </w:p>
        </w:tc>
        <w:tc>
          <w:tcPr>
            <w:tcW w:w="1559" w:type="dxa"/>
            <w:shd w:val="clear" w:color="auto" w:fill="D9D9D9" w:themeFill="background1" w:themeFillShade="D9"/>
            <w:vAlign w:val="center"/>
          </w:tcPr>
          <w:p w:rsidR="0041326A"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644</w:t>
            </w:r>
          </w:p>
        </w:tc>
      </w:tr>
      <w:tr w:rsidR="0041326A" w:rsidRPr="0068094B" w:rsidTr="00363F77">
        <w:tc>
          <w:tcPr>
            <w:tcW w:w="5637" w:type="dxa"/>
          </w:tcPr>
          <w:p w:rsidR="0041326A" w:rsidRPr="0068094B" w:rsidRDefault="0041326A"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Unearned finance income</w:t>
            </w:r>
          </w:p>
        </w:tc>
        <w:tc>
          <w:tcPr>
            <w:tcW w:w="1559" w:type="dxa"/>
            <w:vAlign w:val="center"/>
          </w:tcPr>
          <w:p w:rsidR="0041326A" w:rsidRPr="0068094B" w:rsidRDefault="0041326A" w:rsidP="002642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22,361</w:t>
            </w:r>
          </w:p>
        </w:tc>
        <w:tc>
          <w:tcPr>
            <w:tcW w:w="1559" w:type="dxa"/>
            <w:shd w:val="clear" w:color="auto" w:fill="D9D9D9" w:themeFill="background1" w:themeFillShade="D9"/>
            <w:vAlign w:val="center"/>
          </w:tcPr>
          <w:p w:rsidR="0041326A" w:rsidRPr="0068094B" w:rsidRDefault="00F57B56" w:rsidP="0015011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22,271</w:t>
            </w:r>
          </w:p>
        </w:tc>
      </w:tr>
      <w:tr w:rsidR="0041326A" w:rsidRPr="0068094B" w:rsidTr="00363F77">
        <w:tc>
          <w:tcPr>
            <w:tcW w:w="5637" w:type="dxa"/>
          </w:tcPr>
          <w:p w:rsidR="0041326A" w:rsidRPr="0068094B" w:rsidRDefault="0041326A"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Unguaranteed residual value of property</w:t>
            </w:r>
          </w:p>
        </w:tc>
        <w:tc>
          <w:tcPr>
            <w:tcW w:w="1559" w:type="dxa"/>
            <w:tcBorders>
              <w:bottom w:val="single" w:sz="4" w:space="0" w:color="000000"/>
            </w:tcBorders>
            <w:vAlign w:val="center"/>
          </w:tcPr>
          <w:p w:rsidR="0041326A" w:rsidRPr="0068094B" w:rsidRDefault="0041326A"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c>
          <w:tcPr>
            <w:tcW w:w="1559" w:type="dxa"/>
            <w:tcBorders>
              <w:bottom w:val="single" w:sz="4" w:space="0" w:color="808080"/>
            </w:tcBorders>
            <w:shd w:val="clear" w:color="auto" w:fill="D9D9D9" w:themeFill="background1" w:themeFillShade="D9"/>
            <w:vAlign w:val="center"/>
          </w:tcPr>
          <w:p w:rsidR="0041326A"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r>
      <w:tr w:rsidR="0041326A" w:rsidRPr="0068094B" w:rsidTr="00363F77">
        <w:trPr>
          <w:trHeight w:val="337"/>
        </w:trPr>
        <w:tc>
          <w:tcPr>
            <w:tcW w:w="5637" w:type="dxa"/>
          </w:tcPr>
          <w:p w:rsidR="0041326A" w:rsidRPr="0068094B" w:rsidRDefault="0041326A"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Gross investment in the lease</w:t>
            </w:r>
          </w:p>
        </w:tc>
        <w:tc>
          <w:tcPr>
            <w:tcW w:w="1559" w:type="dxa"/>
            <w:tcBorders>
              <w:top w:val="single" w:sz="4" w:space="0" w:color="000000"/>
              <w:bottom w:val="double" w:sz="4" w:space="0" w:color="000000"/>
            </w:tcBorders>
            <w:vAlign w:val="center"/>
          </w:tcPr>
          <w:p w:rsidR="0041326A" w:rsidRPr="0068094B" w:rsidRDefault="0041326A" w:rsidP="002642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23,099</w:t>
            </w:r>
          </w:p>
        </w:tc>
        <w:tc>
          <w:tcPr>
            <w:tcW w:w="1559" w:type="dxa"/>
            <w:tcBorders>
              <w:top w:val="single" w:sz="4" w:space="0" w:color="808080"/>
              <w:bottom w:val="double" w:sz="4" w:space="0" w:color="808080"/>
            </w:tcBorders>
            <w:shd w:val="clear" w:color="auto" w:fill="D9D9D9" w:themeFill="background1" w:themeFillShade="D9"/>
            <w:vAlign w:val="center"/>
          </w:tcPr>
          <w:p w:rsidR="0041326A" w:rsidRPr="0068094B" w:rsidRDefault="00F57B56" w:rsidP="0015011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22,973</w:t>
            </w:r>
          </w:p>
        </w:tc>
      </w:tr>
    </w:tbl>
    <w:p w:rsidR="00657399" w:rsidRPr="0068094B" w:rsidRDefault="00657399" w:rsidP="00DC1650">
      <w:pPr>
        <w:pStyle w:val="FootnoteText"/>
        <w:widowControl/>
        <w:tabs>
          <w:tab w:val="left" w:pos="0"/>
        </w:tabs>
        <w:autoSpaceDE w:val="0"/>
        <w:rPr>
          <w:rFonts w:asciiTheme="minorHAnsi" w:hAnsiTheme="minorHAnsi" w:cstheme="minorHAnsi"/>
          <w:sz w:val="22"/>
          <w:szCs w:val="22"/>
        </w:rPr>
      </w:pPr>
    </w:p>
    <w:p w:rsidR="004F7B4A" w:rsidRDefault="004F7B4A" w:rsidP="00DC1650">
      <w:pPr>
        <w:pStyle w:val="FootnoteText"/>
        <w:widowControl/>
        <w:tabs>
          <w:tab w:val="left" w:pos="0"/>
        </w:tabs>
        <w:autoSpaceDE w:val="0"/>
        <w:rPr>
          <w:rFonts w:asciiTheme="minorHAnsi" w:hAnsiTheme="minorHAnsi" w:cstheme="minorHAnsi"/>
          <w:sz w:val="22"/>
          <w:szCs w:val="22"/>
        </w:rPr>
      </w:pPr>
    </w:p>
    <w:p w:rsidR="00DC1650" w:rsidRPr="0068094B" w:rsidRDefault="00DC1650" w:rsidP="00DC1650">
      <w:pPr>
        <w:pStyle w:val="FootnoteText"/>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gross investment in the lease and the minimum lease payments will be received over the</w:t>
      </w:r>
    </w:p>
    <w:p w:rsidR="00DC1650" w:rsidRDefault="00DC1650" w:rsidP="00DC1650">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following periods:</w:t>
      </w:r>
    </w:p>
    <w:p w:rsidR="00053117" w:rsidRPr="0068094B" w:rsidRDefault="00053117" w:rsidP="00DC1650">
      <w:pPr>
        <w:tabs>
          <w:tab w:val="left" w:pos="0"/>
        </w:tabs>
        <w:jc w:val="both"/>
        <w:rPr>
          <w:rFonts w:asciiTheme="minorHAnsi" w:hAnsiTheme="minorHAnsi" w:cstheme="minorHAnsi"/>
          <w:b/>
          <w:bCs/>
          <w:sz w:val="22"/>
          <w:szCs w:val="22"/>
        </w:rPr>
      </w:pPr>
    </w:p>
    <w:tbl>
      <w:tblPr>
        <w:tblW w:w="0" w:type="auto"/>
        <w:tblLayout w:type="fixed"/>
        <w:tblLook w:val="0000" w:firstRow="0" w:lastRow="0" w:firstColumn="0" w:lastColumn="0" w:noHBand="0" w:noVBand="0"/>
      </w:tblPr>
      <w:tblGrid>
        <w:gridCol w:w="2802"/>
        <w:gridCol w:w="141"/>
        <w:gridCol w:w="1418"/>
        <w:gridCol w:w="1559"/>
        <w:gridCol w:w="1418"/>
        <w:gridCol w:w="1417"/>
      </w:tblGrid>
      <w:tr w:rsidR="00DC1650" w:rsidRPr="0068094B" w:rsidTr="00363F77">
        <w:tc>
          <w:tcPr>
            <w:tcW w:w="2802" w:type="dxa"/>
          </w:tcPr>
          <w:p w:rsidR="00DC1650" w:rsidRPr="0068094B" w:rsidRDefault="00DC1650" w:rsidP="000307B3">
            <w:pPr>
              <w:tabs>
                <w:tab w:val="left" w:pos="0"/>
              </w:tabs>
              <w:snapToGrid w:val="0"/>
              <w:jc w:val="both"/>
              <w:rPr>
                <w:rFonts w:asciiTheme="minorHAnsi" w:hAnsiTheme="minorHAnsi" w:cstheme="minorHAnsi"/>
                <w:b/>
                <w:bCs/>
                <w:sz w:val="22"/>
                <w:szCs w:val="22"/>
              </w:rPr>
            </w:pPr>
          </w:p>
        </w:tc>
        <w:tc>
          <w:tcPr>
            <w:tcW w:w="3118" w:type="dxa"/>
            <w:gridSpan w:val="3"/>
            <w:tcBorders>
              <w:bottom w:val="single" w:sz="4" w:space="0" w:color="000000"/>
            </w:tcBorders>
            <w:vAlign w:val="center"/>
          </w:tcPr>
          <w:p w:rsidR="00DC1650" w:rsidRPr="0068094B" w:rsidRDefault="00B01908" w:rsidP="00B01908">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G</w:t>
            </w:r>
            <w:r w:rsidR="00DC1650" w:rsidRPr="0068094B">
              <w:rPr>
                <w:rFonts w:asciiTheme="minorHAnsi" w:hAnsiTheme="minorHAnsi" w:cstheme="minorHAnsi"/>
                <w:b/>
                <w:sz w:val="22"/>
                <w:szCs w:val="22"/>
              </w:rPr>
              <w:t xml:space="preserve">ross Investment in the </w:t>
            </w:r>
            <w:r w:rsidRPr="0068094B">
              <w:rPr>
                <w:rFonts w:asciiTheme="minorHAnsi" w:hAnsiTheme="minorHAnsi" w:cstheme="minorHAnsi"/>
                <w:b/>
                <w:sz w:val="22"/>
                <w:szCs w:val="22"/>
              </w:rPr>
              <w:t>L</w:t>
            </w:r>
            <w:r w:rsidR="00DC1650" w:rsidRPr="0068094B">
              <w:rPr>
                <w:rFonts w:asciiTheme="minorHAnsi" w:hAnsiTheme="minorHAnsi" w:cstheme="minorHAnsi"/>
                <w:b/>
                <w:sz w:val="22"/>
                <w:szCs w:val="22"/>
              </w:rPr>
              <w:t>ease</w:t>
            </w:r>
          </w:p>
        </w:tc>
        <w:tc>
          <w:tcPr>
            <w:tcW w:w="2835" w:type="dxa"/>
            <w:gridSpan w:val="2"/>
            <w:tcBorders>
              <w:bottom w:val="single" w:sz="4" w:space="0" w:color="000000"/>
            </w:tcBorders>
            <w:vAlign w:val="center"/>
          </w:tcPr>
          <w:p w:rsidR="00DC1650" w:rsidRPr="0068094B" w:rsidRDefault="00DC1650"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Minimum Lease Payments</w:t>
            </w:r>
          </w:p>
        </w:tc>
      </w:tr>
      <w:tr w:rsidR="002148EF" w:rsidRPr="0068094B" w:rsidTr="00363F77">
        <w:trPr>
          <w:trHeight w:val="627"/>
        </w:trPr>
        <w:tc>
          <w:tcPr>
            <w:tcW w:w="2802" w:type="dxa"/>
          </w:tcPr>
          <w:p w:rsidR="002148EF" w:rsidRPr="0068094B" w:rsidRDefault="002148EF" w:rsidP="000307B3">
            <w:pPr>
              <w:tabs>
                <w:tab w:val="left" w:pos="0"/>
              </w:tabs>
              <w:snapToGrid w:val="0"/>
              <w:jc w:val="both"/>
              <w:rPr>
                <w:rFonts w:asciiTheme="minorHAnsi" w:hAnsiTheme="minorHAnsi" w:cstheme="minorHAnsi"/>
                <w:b/>
                <w:bCs/>
                <w:sz w:val="22"/>
                <w:szCs w:val="22"/>
              </w:rPr>
            </w:pPr>
          </w:p>
        </w:tc>
        <w:tc>
          <w:tcPr>
            <w:tcW w:w="1559" w:type="dxa"/>
            <w:gridSpan w:val="2"/>
            <w:tcBorders>
              <w:bottom w:val="single" w:sz="4" w:space="0" w:color="000000"/>
            </w:tcBorders>
            <w:vAlign w:val="center"/>
          </w:tcPr>
          <w:p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201</w:t>
            </w:r>
            <w:r w:rsidR="0067173C">
              <w:rPr>
                <w:rFonts w:asciiTheme="minorHAnsi" w:hAnsiTheme="minorHAnsi" w:cstheme="minorHAnsi"/>
                <w:b/>
                <w:sz w:val="22"/>
                <w:szCs w:val="22"/>
              </w:rPr>
              <w:t>9</w:t>
            </w:r>
          </w:p>
          <w:p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559" w:type="dxa"/>
            <w:tcBorders>
              <w:bottom w:val="single" w:sz="4" w:space="0" w:color="000000"/>
            </w:tcBorders>
            <w:shd w:val="clear" w:color="auto" w:fill="D9D9D9" w:themeFill="background1" w:themeFillShade="D9"/>
            <w:vAlign w:val="center"/>
          </w:tcPr>
          <w:p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67173C">
              <w:rPr>
                <w:rFonts w:asciiTheme="minorHAnsi" w:hAnsiTheme="minorHAnsi" w:cstheme="minorHAnsi"/>
                <w:b/>
                <w:sz w:val="22"/>
                <w:szCs w:val="22"/>
              </w:rPr>
              <w:t>20</w:t>
            </w:r>
          </w:p>
          <w:p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18" w:type="dxa"/>
            <w:tcBorders>
              <w:bottom w:val="single" w:sz="4" w:space="0" w:color="000000"/>
            </w:tcBorders>
            <w:vAlign w:val="center"/>
          </w:tcPr>
          <w:p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201</w:t>
            </w:r>
            <w:r w:rsidR="0067173C">
              <w:rPr>
                <w:rFonts w:asciiTheme="minorHAnsi" w:hAnsiTheme="minorHAnsi" w:cstheme="minorHAnsi"/>
                <w:b/>
                <w:sz w:val="22"/>
                <w:szCs w:val="22"/>
              </w:rPr>
              <w:t>9</w:t>
            </w:r>
          </w:p>
          <w:p w:rsidR="002148EF" w:rsidRPr="0068094B" w:rsidRDefault="002148EF" w:rsidP="00582A09">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17" w:type="dxa"/>
            <w:tcBorders>
              <w:bottom w:val="single" w:sz="4" w:space="0" w:color="000000"/>
            </w:tcBorders>
            <w:shd w:val="clear" w:color="auto" w:fill="D9D9D9" w:themeFill="background1" w:themeFillShade="D9"/>
            <w:vAlign w:val="center"/>
          </w:tcPr>
          <w:p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67173C">
              <w:rPr>
                <w:rFonts w:asciiTheme="minorHAnsi" w:hAnsiTheme="minorHAnsi" w:cstheme="minorHAnsi"/>
                <w:b/>
                <w:sz w:val="22"/>
                <w:szCs w:val="22"/>
              </w:rPr>
              <w:t>20</w:t>
            </w:r>
          </w:p>
          <w:p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67173C" w:rsidRPr="0068094B" w:rsidTr="00363F77">
        <w:trPr>
          <w:trHeight w:val="306"/>
        </w:trPr>
        <w:tc>
          <w:tcPr>
            <w:tcW w:w="2943" w:type="dxa"/>
            <w:gridSpan w:val="2"/>
            <w:vAlign w:val="center"/>
          </w:tcPr>
          <w:p w:rsidR="0067173C" w:rsidRPr="0068094B" w:rsidRDefault="0067173C"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Not later than one year</w:t>
            </w:r>
          </w:p>
        </w:tc>
        <w:tc>
          <w:tcPr>
            <w:tcW w:w="1418" w:type="dxa"/>
            <w:tcBorders>
              <w:top w:val="single" w:sz="4" w:space="0" w:color="000000"/>
            </w:tcBorders>
            <w:vAlign w:val="center"/>
          </w:tcPr>
          <w:p w:rsidR="0067173C" w:rsidRPr="0068094B" w:rsidRDefault="0067173C" w:rsidP="002642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143</w:t>
            </w:r>
          </w:p>
        </w:tc>
        <w:tc>
          <w:tcPr>
            <w:tcW w:w="1559" w:type="dxa"/>
            <w:tcBorders>
              <w:top w:val="single" w:sz="4" w:space="0" w:color="000000"/>
            </w:tcBorders>
            <w:shd w:val="clear" w:color="auto" w:fill="D9D9D9" w:themeFill="background1" w:themeFillShade="D9"/>
            <w:vAlign w:val="center"/>
          </w:tcPr>
          <w:p w:rsidR="0067173C"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143</w:t>
            </w:r>
          </w:p>
        </w:tc>
        <w:tc>
          <w:tcPr>
            <w:tcW w:w="1418" w:type="dxa"/>
            <w:tcBorders>
              <w:top w:val="single" w:sz="4" w:space="0" w:color="000000"/>
            </w:tcBorders>
            <w:vAlign w:val="center"/>
          </w:tcPr>
          <w:p w:rsidR="0067173C" w:rsidRPr="0068094B" w:rsidRDefault="0067173C"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126</w:t>
            </w:r>
          </w:p>
        </w:tc>
        <w:tc>
          <w:tcPr>
            <w:tcW w:w="1417" w:type="dxa"/>
            <w:tcBorders>
              <w:top w:val="single" w:sz="4" w:space="0" w:color="000000"/>
            </w:tcBorders>
            <w:shd w:val="clear" w:color="auto" w:fill="D9D9D9" w:themeFill="background1" w:themeFillShade="D9"/>
            <w:vAlign w:val="center"/>
          </w:tcPr>
          <w:p w:rsidR="0067173C"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126</w:t>
            </w:r>
          </w:p>
        </w:tc>
      </w:tr>
      <w:tr w:rsidR="0067173C" w:rsidRPr="0068094B" w:rsidTr="00363F77">
        <w:trPr>
          <w:trHeight w:val="549"/>
        </w:trPr>
        <w:tc>
          <w:tcPr>
            <w:tcW w:w="2943" w:type="dxa"/>
            <w:gridSpan w:val="2"/>
            <w:vAlign w:val="center"/>
          </w:tcPr>
          <w:p w:rsidR="0067173C" w:rsidRPr="0068094B" w:rsidRDefault="0067173C"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Later than one year and not later than five years</w:t>
            </w:r>
          </w:p>
        </w:tc>
        <w:tc>
          <w:tcPr>
            <w:tcW w:w="1418" w:type="dxa"/>
            <w:vAlign w:val="center"/>
          </w:tcPr>
          <w:p w:rsidR="0067173C" w:rsidRPr="0068094B" w:rsidRDefault="0067173C"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503</w:t>
            </w:r>
          </w:p>
        </w:tc>
        <w:tc>
          <w:tcPr>
            <w:tcW w:w="1559" w:type="dxa"/>
            <w:shd w:val="clear" w:color="auto" w:fill="D9D9D9" w:themeFill="background1" w:themeFillShade="D9"/>
            <w:vAlign w:val="center"/>
          </w:tcPr>
          <w:p w:rsidR="0067173C"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503</w:t>
            </w:r>
          </w:p>
        </w:tc>
        <w:tc>
          <w:tcPr>
            <w:tcW w:w="1418" w:type="dxa"/>
            <w:vAlign w:val="center"/>
          </w:tcPr>
          <w:p w:rsidR="0067173C" w:rsidRPr="0068094B" w:rsidRDefault="0067173C"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503</w:t>
            </w:r>
          </w:p>
        </w:tc>
        <w:tc>
          <w:tcPr>
            <w:tcW w:w="1417" w:type="dxa"/>
            <w:shd w:val="clear" w:color="auto" w:fill="D9D9D9" w:themeFill="background1" w:themeFillShade="D9"/>
            <w:vAlign w:val="center"/>
          </w:tcPr>
          <w:p w:rsidR="0067173C"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503</w:t>
            </w:r>
          </w:p>
        </w:tc>
      </w:tr>
      <w:tr w:rsidR="0067173C" w:rsidRPr="0068094B" w:rsidTr="00363F77">
        <w:trPr>
          <w:trHeight w:val="285"/>
        </w:trPr>
        <w:tc>
          <w:tcPr>
            <w:tcW w:w="2943" w:type="dxa"/>
            <w:gridSpan w:val="2"/>
            <w:vAlign w:val="center"/>
          </w:tcPr>
          <w:p w:rsidR="0067173C" w:rsidRPr="0068094B" w:rsidRDefault="0067173C"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Later than five years</w:t>
            </w:r>
          </w:p>
        </w:tc>
        <w:tc>
          <w:tcPr>
            <w:tcW w:w="1418" w:type="dxa"/>
            <w:tcBorders>
              <w:bottom w:val="single" w:sz="4" w:space="0" w:color="000000"/>
            </w:tcBorders>
            <w:vAlign w:val="center"/>
          </w:tcPr>
          <w:p w:rsidR="0067173C" w:rsidRPr="0068094B" w:rsidRDefault="0067173C" w:rsidP="00B71E6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22,453</w:t>
            </w:r>
          </w:p>
        </w:tc>
        <w:tc>
          <w:tcPr>
            <w:tcW w:w="1559" w:type="dxa"/>
            <w:tcBorders>
              <w:bottom w:val="single" w:sz="4" w:space="0" w:color="808080"/>
            </w:tcBorders>
            <w:shd w:val="clear" w:color="auto" w:fill="D9D9D9" w:themeFill="background1" w:themeFillShade="D9"/>
            <w:vAlign w:val="center"/>
          </w:tcPr>
          <w:p w:rsidR="0067173C" w:rsidRPr="0068094B" w:rsidRDefault="00F57B56" w:rsidP="000E19A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22,327</w:t>
            </w:r>
          </w:p>
        </w:tc>
        <w:tc>
          <w:tcPr>
            <w:tcW w:w="1418" w:type="dxa"/>
            <w:tcBorders>
              <w:bottom w:val="single" w:sz="4" w:space="0" w:color="000000"/>
            </w:tcBorders>
            <w:vAlign w:val="center"/>
          </w:tcPr>
          <w:p w:rsidR="0067173C" w:rsidRPr="0068094B" w:rsidRDefault="0067173C" w:rsidP="00C07D3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22,453</w:t>
            </w:r>
          </w:p>
        </w:tc>
        <w:tc>
          <w:tcPr>
            <w:tcW w:w="1417" w:type="dxa"/>
            <w:tcBorders>
              <w:bottom w:val="single" w:sz="4" w:space="0" w:color="808080"/>
            </w:tcBorders>
            <w:shd w:val="clear" w:color="auto" w:fill="D9D9D9" w:themeFill="background1" w:themeFillShade="D9"/>
            <w:vAlign w:val="center"/>
          </w:tcPr>
          <w:p w:rsidR="0067173C" w:rsidRPr="0068094B" w:rsidRDefault="00F57B56" w:rsidP="000E179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22,327</w:t>
            </w:r>
          </w:p>
        </w:tc>
      </w:tr>
      <w:tr w:rsidR="0067173C" w:rsidRPr="0068094B" w:rsidTr="00363F77">
        <w:trPr>
          <w:trHeight w:val="379"/>
        </w:trPr>
        <w:tc>
          <w:tcPr>
            <w:tcW w:w="2943" w:type="dxa"/>
            <w:gridSpan w:val="2"/>
          </w:tcPr>
          <w:p w:rsidR="0067173C" w:rsidRPr="0068094B" w:rsidRDefault="0067173C" w:rsidP="000307B3">
            <w:pPr>
              <w:tabs>
                <w:tab w:val="left" w:pos="0"/>
              </w:tabs>
              <w:snapToGrid w:val="0"/>
              <w:jc w:val="both"/>
              <w:rPr>
                <w:rFonts w:asciiTheme="minorHAnsi" w:hAnsiTheme="minorHAnsi" w:cstheme="minorHAnsi"/>
                <w:b/>
                <w:bCs/>
                <w:sz w:val="22"/>
                <w:szCs w:val="22"/>
              </w:rPr>
            </w:pPr>
          </w:p>
        </w:tc>
        <w:tc>
          <w:tcPr>
            <w:tcW w:w="1418" w:type="dxa"/>
            <w:tcBorders>
              <w:top w:val="single" w:sz="4" w:space="0" w:color="000000"/>
              <w:bottom w:val="double" w:sz="4" w:space="0" w:color="000000"/>
            </w:tcBorders>
            <w:vAlign w:val="center"/>
          </w:tcPr>
          <w:p w:rsidR="0067173C" w:rsidRPr="0068094B" w:rsidRDefault="0067173C" w:rsidP="000E19A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23,099</w:t>
            </w:r>
          </w:p>
        </w:tc>
        <w:tc>
          <w:tcPr>
            <w:tcW w:w="1559" w:type="dxa"/>
            <w:tcBorders>
              <w:top w:val="single" w:sz="4" w:space="0" w:color="808080"/>
              <w:bottom w:val="double" w:sz="4" w:space="0" w:color="808080"/>
            </w:tcBorders>
            <w:shd w:val="clear" w:color="auto" w:fill="D9D9D9" w:themeFill="background1" w:themeFillShade="D9"/>
            <w:vAlign w:val="center"/>
          </w:tcPr>
          <w:p w:rsidR="0067173C"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22,973</w:t>
            </w:r>
          </w:p>
        </w:tc>
        <w:tc>
          <w:tcPr>
            <w:tcW w:w="1418" w:type="dxa"/>
            <w:tcBorders>
              <w:top w:val="single" w:sz="4" w:space="0" w:color="000000"/>
              <w:bottom w:val="double" w:sz="4" w:space="0" w:color="000000"/>
            </w:tcBorders>
            <w:vAlign w:val="center"/>
          </w:tcPr>
          <w:p w:rsidR="0067173C" w:rsidRPr="0068094B" w:rsidRDefault="0067173C" w:rsidP="00C07D3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23,082</w:t>
            </w:r>
          </w:p>
        </w:tc>
        <w:tc>
          <w:tcPr>
            <w:tcW w:w="1417" w:type="dxa"/>
            <w:tcBorders>
              <w:top w:val="single" w:sz="4" w:space="0" w:color="808080"/>
              <w:bottom w:val="double" w:sz="4" w:space="0" w:color="808080"/>
            </w:tcBorders>
            <w:shd w:val="clear" w:color="auto" w:fill="D9D9D9" w:themeFill="background1" w:themeFillShade="D9"/>
            <w:vAlign w:val="center"/>
          </w:tcPr>
          <w:p w:rsidR="0067173C" w:rsidRPr="0068094B" w:rsidRDefault="00F57B56"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22,956</w:t>
            </w:r>
          </w:p>
        </w:tc>
      </w:tr>
    </w:tbl>
    <w:p w:rsidR="003274DE" w:rsidRPr="0068094B" w:rsidRDefault="003274DE" w:rsidP="00DC1650">
      <w:pPr>
        <w:widowControl/>
        <w:tabs>
          <w:tab w:val="left" w:pos="0"/>
        </w:tabs>
        <w:autoSpaceDE w:val="0"/>
        <w:rPr>
          <w:rFonts w:asciiTheme="minorHAnsi" w:hAnsiTheme="minorHAnsi" w:cstheme="minorHAnsi"/>
          <w:sz w:val="22"/>
          <w:szCs w:val="22"/>
        </w:rPr>
      </w:pPr>
    </w:p>
    <w:p w:rsidR="00DC1650" w:rsidRPr="0068094B" w:rsidRDefault="00DC1650" w:rsidP="00DC1650">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minimum lease payments do not include rents that are contingent on events taking place after the lease was entered into, such as adjustments following rent reviews.</w:t>
      </w:r>
    </w:p>
    <w:p w:rsidR="00F446F4" w:rsidRPr="0068094B" w:rsidRDefault="00F446F4" w:rsidP="00DC1650">
      <w:pPr>
        <w:tabs>
          <w:tab w:val="left" w:pos="0"/>
        </w:tabs>
        <w:jc w:val="both"/>
        <w:rPr>
          <w:rFonts w:asciiTheme="minorHAnsi" w:hAnsiTheme="minorHAnsi" w:cstheme="minorHAnsi"/>
          <w:b/>
          <w:bCs/>
          <w:sz w:val="22"/>
          <w:szCs w:val="22"/>
        </w:rPr>
      </w:pPr>
    </w:p>
    <w:p w:rsidR="003F4F6A" w:rsidRDefault="00DC1650" w:rsidP="00DC1650">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Operating Leases</w:t>
      </w:r>
      <w:r w:rsidR="000A33CE" w:rsidRPr="0068094B">
        <w:rPr>
          <w:rFonts w:asciiTheme="minorHAnsi" w:hAnsiTheme="minorHAnsi" w:cstheme="minorHAnsi"/>
          <w:b/>
          <w:bCs/>
          <w:color w:val="000000"/>
          <w:sz w:val="22"/>
          <w:szCs w:val="22"/>
        </w:rPr>
        <w:t xml:space="preserve"> </w:t>
      </w:r>
    </w:p>
    <w:p w:rsidR="00DC1650" w:rsidRPr="0068094B" w:rsidRDefault="00DC1650" w:rsidP="00DC1650">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leases out property and equipment under operating leases for the following purposes:</w:t>
      </w:r>
    </w:p>
    <w:p w:rsidR="00DC1650" w:rsidRPr="0068094B" w:rsidRDefault="00DC1650" w:rsidP="00DC1650">
      <w:pPr>
        <w:widowControl/>
        <w:tabs>
          <w:tab w:val="left" w:pos="0"/>
        </w:tabs>
        <w:autoSpaceDE w:val="0"/>
        <w:rPr>
          <w:rFonts w:asciiTheme="minorHAnsi" w:hAnsiTheme="minorHAnsi" w:cstheme="minorHAnsi"/>
          <w:color w:val="000000"/>
          <w:sz w:val="22"/>
          <w:szCs w:val="22"/>
        </w:rPr>
      </w:pPr>
    </w:p>
    <w:p w:rsidR="00DC1650" w:rsidRPr="0068094B" w:rsidRDefault="00DC1650" w:rsidP="007D7B32">
      <w:pPr>
        <w:widowControl/>
        <w:numPr>
          <w:ilvl w:val="0"/>
          <w:numId w:val="31"/>
        </w:numPr>
        <w:tabs>
          <w:tab w:val="clear" w:pos="720"/>
          <w:tab w:val="left" w:pos="709"/>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for the provision of community services, such as sports facilities, tourism services and community centres</w:t>
      </w:r>
    </w:p>
    <w:p w:rsidR="00DC1650" w:rsidRDefault="00DC1650" w:rsidP="007D7B32">
      <w:pPr>
        <w:widowControl/>
        <w:numPr>
          <w:ilvl w:val="0"/>
          <w:numId w:val="31"/>
        </w:numPr>
        <w:tabs>
          <w:tab w:val="clear" w:pos="720"/>
          <w:tab w:val="left" w:pos="709"/>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for economic development purposes to provide suitable affordable accommodation for local businesses.</w:t>
      </w:r>
    </w:p>
    <w:p w:rsidR="00C54536" w:rsidRPr="0068094B" w:rsidRDefault="00E81D2B" w:rsidP="007D7B32">
      <w:pPr>
        <w:widowControl/>
        <w:numPr>
          <w:ilvl w:val="0"/>
          <w:numId w:val="31"/>
        </w:numPr>
        <w:tabs>
          <w:tab w:val="clear" w:pos="720"/>
          <w:tab w:val="left" w:pos="709"/>
        </w:tabs>
        <w:autoSpaceDE w:val="0"/>
        <w:ind w:left="709" w:hanging="425"/>
        <w:rPr>
          <w:rFonts w:asciiTheme="minorHAnsi" w:hAnsiTheme="minorHAnsi" w:cstheme="minorHAnsi"/>
          <w:color w:val="000000"/>
          <w:sz w:val="22"/>
          <w:szCs w:val="22"/>
        </w:rPr>
      </w:pPr>
      <w:r>
        <w:rPr>
          <w:rFonts w:asciiTheme="minorHAnsi" w:hAnsiTheme="minorHAnsi" w:cstheme="minorHAnsi"/>
          <w:color w:val="000000"/>
          <w:sz w:val="22"/>
          <w:szCs w:val="22"/>
        </w:rPr>
        <w:t xml:space="preserve">from 1 March 2018, </w:t>
      </w:r>
      <w:r w:rsidR="00C54536">
        <w:rPr>
          <w:rFonts w:asciiTheme="minorHAnsi" w:hAnsiTheme="minorHAnsi" w:cstheme="minorHAnsi"/>
          <w:color w:val="000000"/>
          <w:sz w:val="22"/>
          <w:szCs w:val="22"/>
        </w:rPr>
        <w:t xml:space="preserve">the management of </w:t>
      </w:r>
      <w:r w:rsidR="00145203">
        <w:rPr>
          <w:rFonts w:asciiTheme="minorHAnsi" w:hAnsiTheme="minorHAnsi" w:cstheme="minorHAnsi"/>
          <w:color w:val="000000"/>
          <w:sz w:val="22"/>
          <w:szCs w:val="22"/>
        </w:rPr>
        <w:t xml:space="preserve">the </w:t>
      </w:r>
      <w:r w:rsidR="00C54536" w:rsidRPr="00C54536">
        <w:rPr>
          <w:rFonts w:asciiTheme="minorHAnsi" w:hAnsiTheme="minorHAnsi" w:cstheme="minorHAnsi"/>
          <w:color w:val="000000"/>
          <w:sz w:val="22"/>
          <w:szCs w:val="22"/>
        </w:rPr>
        <w:t xml:space="preserve">Enterprise </w:t>
      </w:r>
      <w:r w:rsidR="00145203">
        <w:rPr>
          <w:rFonts w:asciiTheme="minorHAnsi" w:hAnsiTheme="minorHAnsi" w:cstheme="minorHAnsi"/>
          <w:color w:val="000000"/>
          <w:sz w:val="22"/>
          <w:szCs w:val="22"/>
        </w:rPr>
        <w:t>C</w:t>
      </w:r>
      <w:r w:rsidR="00C54536" w:rsidRPr="00C54536">
        <w:rPr>
          <w:rFonts w:asciiTheme="minorHAnsi" w:hAnsiTheme="minorHAnsi" w:cstheme="minorHAnsi"/>
          <w:color w:val="000000"/>
          <w:sz w:val="22"/>
          <w:szCs w:val="22"/>
        </w:rPr>
        <w:t xml:space="preserve">entre in accordance with </w:t>
      </w:r>
      <w:r w:rsidR="00145203">
        <w:rPr>
          <w:rFonts w:asciiTheme="minorHAnsi" w:hAnsiTheme="minorHAnsi" w:cstheme="minorHAnsi"/>
          <w:color w:val="000000"/>
          <w:sz w:val="22"/>
          <w:szCs w:val="22"/>
        </w:rPr>
        <w:t>s</w:t>
      </w:r>
      <w:r w:rsidR="00C54536" w:rsidRPr="00C54536">
        <w:rPr>
          <w:rFonts w:asciiTheme="minorHAnsi" w:hAnsiTheme="minorHAnsi" w:cstheme="minorHAnsi"/>
          <w:color w:val="000000"/>
          <w:sz w:val="22"/>
          <w:szCs w:val="22"/>
        </w:rPr>
        <w:t xml:space="preserve">ervice </w:t>
      </w:r>
      <w:r w:rsidR="00145203">
        <w:rPr>
          <w:rFonts w:asciiTheme="minorHAnsi" w:hAnsiTheme="minorHAnsi" w:cstheme="minorHAnsi"/>
          <w:color w:val="000000"/>
          <w:sz w:val="22"/>
          <w:szCs w:val="22"/>
        </w:rPr>
        <w:t>l</w:t>
      </w:r>
      <w:r w:rsidR="00C54536" w:rsidRPr="00C54536">
        <w:rPr>
          <w:rFonts w:asciiTheme="minorHAnsi" w:hAnsiTheme="minorHAnsi" w:cstheme="minorHAnsi"/>
          <w:color w:val="000000"/>
          <w:sz w:val="22"/>
          <w:szCs w:val="22"/>
        </w:rPr>
        <w:t xml:space="preserve">evels set out in </w:t>
      </w:r>
      <w:r w:rsidR="00A23794">
        <w:rPr>
          <w:rFonts w:asciiTheme="minorHAnsi" w:hAnsiTheme="minorHAnsi" w:cstheme="minorHAnsi"/>
          <w:color w:val="000000"/>
          <w:sz w:val="22"/>
          <w:szCs w:val="22"/>
        </w:rPr>
        <w:t xml:space="preserve">a </w:t>
      </w:r>
      <w:r w:rsidR="00C54536" w:rsidRPr="00C54536">
        <w:rPr>
          <w:rFonts w:asciiTheme="minorHAnsi" w:hAnsiTheme="minorHAnsi" w:cstheme="minorHAnsi"/>
          <w:color w:val="000000"/>
          <w:sz w:val="22"/>
          <w:szCs w:val="22"/>
        </w:rPr>
        <w:t>contract</w:t>
      </w:r>
      <w:r>
        <w:rPr>
          <w:rFonts w:asciiTheme="minorHAnsi" w:hAnsiTheme="minorHAnsi" w:cstheme="minorHAnsi"/>
          <w:color w:val="000000"/>
          <w:sz w:val="22"/>
          <w:szCs w:val="22"/>
        </w:rPr>
        <w:t xml:space="preserve"> with an appointed company.</w:t>
      </w:r>
    </w:p>
    <w:p w:rsidR="003274DE" w:rsidRDefault="003274DE" w:rsidP="00DC1650">
      <w:pPr>
        <w:widowControl/>
        <w:tabs>
          <w:tab w:val="left" w:pos="0"/>
        </w:tabs>
        <w:autoSpaceDE w:val="0"/>
        <w:rPr>
          <w:rFonts w:asciiTheme="minorHAnsi" w:hAnsiTheme="minorHAnsi" w:cstheme="minorHAnsi"/>
          <w:color w:val="000000"/>
          <w:sz w:val="22"/>
          <w:szCs w:val="22"/>
        </w:rPr>
      </w:pPr>
    </w:p>
    <w:p w:rsidR="004F7B4A" w:rsidRPr="0068094B" w:rsidRDefault="004F7B4A" w:rsidP="00DC1650">
      <w:pPr>
        <w:widowControl/>
        <w:tabs>
          <w:tab w:val="left" w:pos="0"/>
        </w:tabs>
        <w:autoSpaceDE w:val="0"/>
        <w:rPr>
          <w:rFonts w:asciiTheme="minorHAnsi" w:hAnsiTheme="minorHAnsi" w:cstheme="minorHAnsi"/>
          <w:color w:val="000000"/>
          <w:sz w:val="22"/>
          <w:szCs w:val="22"/>
        </w:rPr>
      </w:pPr>
    </w:p>
    <w:p w:rsidR="00DC1650" w:rsidRPr="0068094B" w:rsidRDefault="00DC1650" w:rsidP="00DC1650">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future minimum lease payments receivable under non-cancellable leases in future years</w:t>
      </w:r>
    </w:p>
    <w:p w:rsidR="00DC1650" w:rsidRPr="0068094B" w:rsidRDefault="00DC1650" w:rsidP="00DC1650">
      <w:pPr>
        <w:tabs>
          <w:tab w:val="left" w:pos="0"/>
        </w:tabs>
        <w:jc w:val="both"/>
        <w:rPr>
          <w:rFonts w:asciiTheme="minorHAnsi" w:hAnsiTheme="minorHAnsi" w:cstheme="minorHAnsi"/>
          <w:color w:val="000000"/>
          <w:sz w:val="22"/>
          <w:szCs w:val="22"/>
        </w:rPr>
      </w:pPr>
      <w:r w:rsidRPr="0068094B">
        <w:rPr>
          <w:rFonts w:asciiTheme="minorHAnsi" w:hAnsiTheme="minorHAnsi" w:cstheme="minorHAnsi"/>
          <w:color w:val="000000"/>
          <w:sz w:val="22"/>
          <w:szCs w:val="22"/>
        </w:rPr>
        <w:t>are:</w:t>
      </w:r>
    </w:p>
    <w:tbl>
      <w:tblPr>
        <w:tblW w:w="0" w:type="auto"/>
        <w:tblLayout w:type="fixed"/>
        <w:tblLook w:val="0000" w:firstRow="0" w:lastRow="0" w:firstColumn="0" w:lastColumn="0" w:noHBand="0" w:noVBand="0"/>
      </w:tblPr>
      <w:tblGrid>
        <w:gridCol w:w="5495"/>
        <w:gridCol w:w="1725"/>
        <w:gridCol w:w="1725"/>
      </w:tblGrid>
      <w:tr w:rsidR="002148EF" w:rsidRPr="0068094B" w:rsidTr="00363F77">
        <w:tc>
          <w:tcPr>
            <w:tcW w:w="5495" w:type="dxa"/>
          </w:tcPr>
          <w:p w:rsidR="002148EF" w:rsidRPr="0068094B" w:rsidRDefault="002148EF" w:rsidP="000307B3">
            <w:pPr>
              <w:tabs>
                <w:tab w:val="left" w:pos="0"/>
              </w:tabs>
              <w:snapToGrid w:val="0"/>
              <w:jc w:val="both"/>
              <w:rPr>
                <w:rFonts w:asciiTheme="minorHAnsi" w:hAnsiTheme="minorHAnsi" w:cstheme="minorHAnsi"/>
                <w:b/>
                <w:bCs/>
                <w:sz w:val="22"/>
                <w:szCs w:val="22"/>
              </w:rPr>
            </w:pPr>
          </w:p>
        </w:tc>
        <w:tc>
          <w:tcPr>
            <w:tcW w:w="1725" w:type="dxa"/>
            <w:tcBorders>
              <w:bottom w:val="single" w:sz="4" w:space="0" w:color="000000"/>
            </w:tcBorders>
            <w:vAlign w:val="center"/>
          </w:tcPr>
          <w:p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344910">
              <w:rPr>
                <w:rFonts w:asciiTheme="minorHAnsi" w:hAnsiTheme="minorHAnsi" w:cstheme="minorHAnsi"/>
                <w:b/>
                <w:sz w:val="22"/>
                <w:szCs w:val="22"/>
              </w:rPr>
              <w:t>19</w:t>
            </w:r>
          </w:p>
          <w:p w:rsidR="002148EF" w:rsidRPr="0068094B" w:rsidRDefault="002148E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725" w:type="dxa"/>
            <w:tcBorders>
              <w:bottom w:val="single" w:sz="4" w:space="0" w:color="808080"/>
            </w:tcBorders>
            <w:shd w:val="clear" w:color="auto" w:fill="D9D9D9" w:themeFill="background1" w:themeFillShade="D9"/>
            <w:vAlign w:val="center"/>
          </w:tcPr>
          <w:p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344910">
              <w:rPr>
                <w:rFonts w:asciiTheme="minorHAnsi" w:hAnsiTheme="minorHAnsi" w:cstheme="minorHAnsi"/>
                <w:b/>
                <w:sz w:val="22"/>
                <w:szCs w:val="22"/>
              </w:rPr>
              <w:t>20</w:t>
            </w:r>
          </w:p>
          <w:p w:rsidR="002148EF" w:rsidRPr="0068094B" w:rsidRDefault="002148E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344910" w:rsidRPr="0068094B" w:rsidTr="00363F77">
        <w:tc>
          <w:tcPr>
            <w:tcW w:w="5495" w:type="dxa"/>
          </w:tcPr>
          <w:p w:rsidR="00344910" w:rsidRPr="0068094B" w:rsidRDefault="00344910"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Not later than one year</w:t>
            </w:r>
          </w:p>
        </w:tc>
        <w:tc>
          <w:tcPr>
            <w:tcW w:w="1725" w:type="dxa"/>
            <w:tcBorders>
              <w:top w:val="single" w:sz="4" w:space="0" w:color="000000"/>
            </w:tcBorders>
            <w:vAlign w:val="center"/>
          </w:tcPr>
          <w:p w:rsidR="00344910" w:rsidRPr="0068094B" w:rsidRDefault="00344910" w:rsidP="00363BE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2,935</w:t>
            </w:r>
          </w:p>
        </w:tc>
        <w:tc>
          <w:tcPr>
            <w:tcW w:w="1725" w:type="dxa"/>
            <w:tcBorders>
              <w:top w:val="single" w:sz="4" w:space="0" w:color="808080"/>
            </w:tcBorders>
            <w:shd w:val="clear" w:color="auto" w:fill="D9D9D9" w:themeFill="background1" w:themeFillShade="D9"/>
            <w:vAlign w:val="center"/>
          </w:tcPr>
          <w:p w:rsidR="00344910" w:rsidRPr="00F06F53" w:rsidRDefault="00F57B56" w:rsidP="00431BE6">
            <w:pPr>
              <w:tabs>
                <w:tab w:val="left" w:pos="0"/>
              </w:tabs>
              <w:snapToGrid w:val="0"/>
              <w:jc w:val="right"/>
              <w:rPr>
                <w:rFonts w:asciiTheme="minorHAnsi" w:hAnsiTheme="minorHAnsi" w:cstheme="minorHAnsi"/>
                <w:sz w:val="22"/>
                <w:szCs w:val="22"/>
              </w:rPr>
            </w:pPr>
            <w:r w:rsidRPr="00F06F53">
              <w:rPr>
                <w:rFonts w:asciiTheme="minorHAnsi" w:hAnsiTheme="minorHAnsi" w:cstheme="minorHAnsi"/>
                <w:sz w:val="22"/>
                <w:szCs w:val="22"/>
              </w:rPr>
              <w:t>3,</w:t>
            </w:r>
            <w:r w:rsidR="00431BE6" w:rsidRPr="00F06F53">
              <w:rPr>
                <w:rFonts w:asciiTheme="minorHAnsi" w:hAnsiTheme="minorHAnsi" w:cstheme="minorHAnsi"/>
                <w:sz w:val="22"/>
                <w:szCs w:val="22"/>
              </w:rPr>
              <w:t>442</w:t>
            </w:r>
          </w:p>
        </w:tc>
      </w:tr>
      <w:tr w:rsidR="00344910" w:rsidRPr="0068094B" w:rsidTr="00363F77">
        <w:tc>
          <w:tcPr>
            <w:tcW w:w="5495" w:type="dxa"/>
          </w:tcPr>
          <w:p w:rsidR="00344910" w:rsidRPr="0068094B" w:rsidRDefault="00344910"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Later than one year and not later than five years</w:t>
            </w:r>
          </w:p>
        </w:tc>
        <w:tc>
          <w:tcPr>
            <w:tcW w:w="1725" w:type="dxa"/>
            <w:vAlign w:val="center"/>
          </w:tcPr>
          <w:p w:rsidR="00344910" w:rsidRPr="0068094B" w:rsidRDefault="00344910" w:rsidP="00363BE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9,601</w:t>
            </w:r>
          </w:p>
        </w:tc>
        <w:tc>
          <w:tcPr>
            <w:tcW w:w="1725" w:type="dxa"/>
            <w:shd w:val="clear" w:color="auto" w:fill="D9D9D9" w:themeFill="background1" w:themeFillShade="D9"/>
            <w:vAlign w:val="center"/>
          </w:tcPr>
          <w:p w:rsidR="00344910" w:rsidRPr="00F06F53" w:rsidRDefault="00431BE6" w:rsidP="00431BE6">
            <w:pPr>
              <w:tabs>
                <w:tab w:val="left" w:pos="0"/>
              </w:tabs>
              <w:snapToGrid w:val="0"/>
              <w:jc w:val="right"/>
              <w:rPr>
                <w:rFonts w:asciiTheme="minorHAnsi" w:hAnsiTheme="minorHAnsi" w:cstheme="minorHAnsi"/>
                <w:sz w:val="22"/>
                <w:szCs w:val="22"/>
              </w:rPr>
            </w:pPr>
            <w:r w:rsidRPr="00F06F53">
              <w:rPr>
                <w:rFonts w:asciiTheme="minorHAnsi" w:hAnsiTheme="minorHAnsi" w:cstheme="minorHAnsi"/>
                <w:sz w:val="22"/>
                <w:szCs w:val="22"/>
              </w:rPr>
              <w:t>11</w:t>
            </w:r>
            <w:r w:rsidR="00F57B56" w:rsidRPr="00F06F53">
              <w:rPr>
                <w:rFonts w:asciiTheme="minorHAnsi" w:hAnsiTheme="minorHAnsi" w:cstheme="minorHAnsi"/>
                <w:sz w:val="22"/>
                <w:szCs w:val="22"/>
              </w:rPr>
              <w:t>,</w:t>
            </w:r>
            <w:r w:rsidRPr="00F06F53">
              <w:rPr>
                <w:rFonts w:asciiTheme="minorHAnsi" w:hAnsiTheme="minorHAnsi" w:cstheme="minorHAnsi"/>
                <w:sz w:val="22"/>
                <w:szCs w:val="22"/>
              </w:rPr>
              <w:t>236</w:t>
            </w:r>
          </w:p>
        </w:tc>
      </w:tr>
      <w:tr w:rsidR="00344910" w:rsidRPr="0068094B" w:rsidTr="00363F77">
        <w:tc>
          <w:tcPr>
            <w:tcW w:w="5495" w:type="dxa"/>
          </w:tcPr>
          <w:p w:rsidR="00344910" w:rsidRPr="0068094B" w:rsidRDefault="00344910"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Later than five years</w:t>
            </w:r>
          </w:p>
        </w:tc>
        <w:tc>
          <w:tcPr>
            <w:tcW w:w="1725" w:type="dxa"/>
            <w:tcBorders>
              <w:bottom w:val="single" w:sz="4" w:space="0" w:color="000000"/>
            </w:tcBorders>
            <w:vAlign w:val="center"/>
          </w:tcPr>
          <w:p w:rsidR="00344910" w:rsidRPr="0068094B" w:rsidRDefault="00344910"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98,897</w:t>
            </w:r>
          </w:p>
        </w:tc>
        <w:tc>
          <w:tcPr>
            <w:tcW w:w="1725" w:type="dxa"/>
            <w:tcBorders>
              <w:bottom w:val="single" w:sz="4" w:space="0" w:color="808080"/>
            </w:tcBorders>
            <w:shd w:val="clear" w:color="auto" w:fill="D9D9D9" w:themeFill="background1" w:themeFillShade="D9"/>
            <w:vAlign w:val="center"/>
          </w:tcPr>
          <w:p w:rsidR="00344910" w:rsidRPr="00F06F53" w:rsidRDefault="00431BE6" w:rsidP="00431BE6">
            <w:pPr>
              <w:tabs>
                <w:tab w:val="left" w:pos="0"/>
              </w:tabs>
              <w:snapToGrid w:val="0"/>
              <w:jc w:val="right"/>
              <w:rPr>
                <w:rFonts w:asciiTheme="minorHAnsi" w:hAnsiTheme="minorHAnsi" w:cstheme="minorHAnsi"/>
                <w:sz w:val="22"/>
                <w:szCs w:val="22"/>
              </w:rPr>
            </w:pPr>
            <w:r w:rsidRPr="00F06F53">
              <w:rPr>
                <w:rFonts w:asciiTheme="minorHAnsi" w:hAnsiTheme="minorHAnsi" w:cstheme="minorHAnsi"/>
                <w:sz w:val="22"/>
                <w:szCs w:val="22"/>
              </w:rPr>
              <w:t>99,826</w:t>
            </w:r>
          </w:p>
        </w:tc>
      </w:tr>
      <w:tr w:rsidR="00344910" w:rsidRPr="0068094B" w:rsidTr="00363F77">
        <w:trPr>
          <w:trHeight w:val="341"/>
        </w:trPr>
        <w:tc>
          <w:tcPr>
            <w:tcW w:w="5495" w:type="dxa"/>
          </w:tcPr>
          <w:p w:rsidR="00344910" w:rsidRPr="0068094B" w:rsidRDefault="00344910" w:rsidP="000307B3">
            <w:pPr>
              <w:tabs>
                <w:tab w:val="left" w:pos="0"/>
              </w:tabs>
              <w:snapToGrid w:val="0"/>
              <w:jc w:val="both"/>
              <w:rPr>
                <w:rFonts w:asciiTheme="minorHAnsi" w:hAnsiTheme="minorHAnsi" w:cstheme="minorHAnsi"/>
                <w:b/>
                <w:bCs/>
                <w:sz w:val="22"/>
                <w:szCs w:val="22"/>
              </w:rPr>
            </w:pPr>
          </w:p>
        </w:tc>
        <w:tc>
          <w:tcPr>
            <w:tcW w:w="1725" w:type="dxa"/>
            <w:tcBorders>
              <w:top w:val="single" w:sz="4" w:space="0" w:color="000000"/>
              <w:bottom w:val="double" w:sz="4" w:space="0" w:color="000000"/>
            </w:tcBorders>
            <w:vAlign w:val="center"/>
          </w:tcPr>
          <w:p w:rsidR="00344910" w:rsidRPr="0068094B" w:rsidRDefault="00344910" w:rsidP="0097479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111,433</w:t>
            </w:r>
          </w:p>
        </w:tc>
        <w:tc>
          <w:tcPr>
            <w:tcW w:w="1725" w:type="dxa"/>
            <w:tcBorders>
              <w:top w:val="single" w:sz="4" w:space="0" w:color="808080"/>
              <w:bottom w:val="double" w:sz="4" w:space="0" w:color="808080"/>
            </w:tcBorders>
            <w:shd w:val="clear" w:color="auto" w:fill="D9D9D9" w:themeFill="background1" w:themeFillShade="D9"/>
            <w:vAlign w:val="center"/>
          </w:tcPr>
          <w:p w:rsidR="00344910" w:rsidRPr="00F06F53" w:rsidRDefault="00431BE6" w:rsidP="00431BE6">
            <w:pPr>
              <w:tabs>
                <w:tab w:val="left" w:pos="0"/>
              </w:tabs>
              <w:snapToGrid w:val="0"/>
              <w:jc w:val="right"/>
              <w:rPr>
                <w:rFonts w:asciiTheme="minorHAnsi" w:hAnsiTheme="minorHAnsi" w:cstheme="minorHAnsi"/>
                <w:sz w:val="22"/>
                <w:szCs w:val="22"/>
              </w:rPr>
            </w:pPr>
            <w:r w:rsidRPr="00F06F53">
              <w:rPr>
                <w:rFonts w:asciiTheme="minorHAnsi" w:hAnsiTheme="minorHAnsi" w:cstheme="minorHAnsi"/>
                <w:sz w:val="22"/>
                <w:szCs w:val="22"/>
              </w:rPr>
              <w:t>114,504</w:t>
            </w:r>
          </w:p>
        </w:tc>
      </w:tr>
    </w:tbl>
    <w:p w:rsidR="00ED3B24" w:rsidRPr="0068094B" w:rsidRDefault="00ED3B24" w:rsidP="00DC1650">
      <w:pPr>
        <w:pStyle w:val="PlainText"/>
        <w:tabs>
          <w:tab w:val="left" w:pos="0"/>
        </w:tabs>
        <w:autoSpaceDE w:val="0"/>
        <w:rPr>
          <w:rFonts w:asciiTheme="minorHAnsi" w:hAnsiTheme="minorHAnsi" w:cstheme="minorHAnsi"/>
          <w:sz w:val="22"/>
          <w:szCs w:val="22"/>
        </w:rPr>
      </w:pPr>
    </w:p>
    <w:p w:rsidR="00DC1650" w:rsidRDefault="00DC1650" w:rsidP="00DC1650">
      <w:pPr>
        <w:pStyle w:val="PlainText"/>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minimum lease payments receivable do not include rents that are contingent on events taking place after the lease was entered into, such as adjustments following rent reviews.</w:t>
      </w:r>
    </w:p>
    <w:p w:rsidR="00A70E4F" w:rsidRDefault="00A70E4F" w:rsidP="00DC1650">
      <w:pPr>
        <w:pStyle w:val="PlainText"/>
        <w:tabs>
          <w:tab w:val="left" w:pos="0"/>
        </w:tabs>
        <w:autoSpaceDE w:val="0"/>
        <w:rPr>
          <w:rFonts w:asciiTheme="minorHAnsi" w:hAnsiTheme="minorHAnsi" w:cstheme="minorHAnsi"/>
          <w:sz w:val="22"/>
          <w:szCs w:val="22"/>
        </w:rPr>
      </w:pPr>
    </w:p>
    <w:p w:rsidR="00DC1650" w:rsidRPr="0068094B" w:rsidRDefault="00E16274" w:rsidP="00DC1650">
      <w:pPr>
        <w:widowControl/>
        <w:tabs>
          <w:tab w:val="left" w:pos="0"/>
        </w:tabs>
        <w:autoSpaceDE w:val="0"/>
        <w:rPr>
          <w:rFonts w:asciiTheme="minorHAnsi" w:hAnsiTheme="minorHAnsi" w:cstheme="minorHAnsi"/>
          <w:b/>
          <w:bCs/>
          <w:color w:val="FF0000"/>
          <w:sz w:val="22"/>
          <w:szCs w:val="22"/>
        </w:rPr>
      </w:pPr>
      <w:r w:rsidRPr="0068094B">
        <w:rPr>
          <w:rFonts w:asciiTheme="minorHAnsi" w:hAnsiTheme="minorHAnsi" w:cstheme="minorHAnsi"/>
          <w:b/>
          <w:bCs/>
          <w:sz w:val="22"/>
          <w:szCs w:val="22"/>
        </w:rPr>
        <w:t>Council</w:t>
      </w:r>
      <w:r w:rsidR="00DC1650" w:rsidRPr="0068094B">
        <w:rPr>
          <w:rFonts w:asciiTheme="minorHAnsi" w:hAnsiTheme="minorHAnsi" w:cstheme="minorHAnsi"/>
          <w:b/>
          <w:bCs/>
          <w:sz w:val="22"/>
          <w:szCs w:val="22"/>
        </w:rPr>
        <w:t xml:space="preserve"> as Lessee</w:t>
      </w:r>
    </w:p>
    <w:p w:rsidR="00DC1650" w:rsidRPr="0068094B" w:rsidRDefault="00DC1650" w:rsidP="00DC1650">
      <w:pPr>
        <w:widowControl/>
        <w:tabs>
          <w:tab w:val="left" w:pos="0"/>
        </w:tabs>
        <w:autoSpaceDE w:val="0"/>
        <w:rPr>
          <w:rFonts w:asciiTheme="minorHAnsi" w:hAnsiTheme="minorHAnsi" w:cstheme="minorHAnsi"/>
          <w:b/>
          <w:bCs/>
          <w:sz w:val="22"/>
          <w:szCs w:val="22"/>
        </w:rPr>
      </w:pPr>
    </w:p>
    <w:p w:rsidR="009E7AB6" w:rsidRPr="0068094B" w:rsidRDefault="009B6980" w:rsidP="009E7AB6">
      <w:pPr>
        <w:widowControl/>
        <w:tabs>
          <w:tab w:val="left" w:pos="0"/>
        </w:tabs>
        <w:autoSpaceDE w:val="0"/>
        <w:rPr>
          <w:rFonts w:asciiTheme="minorHAnsi" w:hAnsiTheme="minorHAnsi" w:cstheme="minorHAnsi"/>
          <w:bCs/>
          <w:color w:val="FF0000"/>
          <w:sz w:val="22"/>
          <w:szCs w:val="22"/>
        </w:rPr>
      </w:pPr>
      <w:r w:rsidRPr="0068094B">
        <w:rPr>
          <w:rFonts w:asciiTheme="minorHAnsi" w:hAnsiTheme="minorHAnsi" w:cstheme="minorHAnsi"/>
          <w:b/>
          <w:bCs/>
          <w:sz w:val="22"/>
          <w:szCs w:val="22"/>
        </w:rPr>
        <w:t>Finance Leases</w:t>
      </w:r>
    </w:p>
    <w:p w:rsidR="009E7AB6" w:rsidRPr="0068094B" w:rsidRDefault="009B6980" w:rsidP="009B6980">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Cs/>
          <w:color w:val="000000"/>
          <w:sz w:val="22"/>
          <w:szCs w:val="22"/>
        </w:rPr>
        <w:t xml:space="preserve">The </w:t>
      </w:r>
      <w:r w:rsidR="00E16274" w:rsidRPr="0068094B">
        <w:rPr>
          <w:rFonts w:asciiTheme="minorHAnsi" w:hAnsiTheme="minorHAnsi" w:cstheme="minorHAnsi"/>
          <w:bCs/>
          <w:color w:val="000000"/>
          <w:sz w:val="22"/>
          <w:szCs w:val="22"/>
        </w:rPr>
        <w:t>Council</w:t>
      </w:r>
      <w:r w:rsidRPr="0068094B">
        <w:rPr>
          <w:rFonts w:asciiTheme="minorHAnsi" w:hAnsiTheme="minorHAnsi" w:cstheme="minorHAnsi"/>
          <w:bCs/>
          <w:color w:val="000000"/>
          <w:sz w:val="22"/>
          <w:szCs w:val="22"/>
        </w:rPr>
        <w:t xml:space="preserve"> has acquired </w:t>
      </w:r>
      <w:r w:rsidR="00C46466" w:rsidRPr="0068094B">
        <w:rPr>
          <w:rFonts w:asciiTheme="minorHAnsi" w:hAnsiTheme="minorHAnsi" w:cstheme="minorHAnsi"/>
          <w:bCs/>
          <w:color w:val="000000"/>
          <w:sz w:val="22"/>
          <w:szCs w:val="22"/>
        </w:rPr>
        <w:t>32</w:t>
      </w:r>
      <w:r w:rsidRPr="0068094B">
        <w:rPr>
          <w:rFonts w:asciiTheme="minorHAnsi" w:hAnsiTheme="minorHAnsi" w:cstheme="minorHAnsi"/>
          <w:bCs/>
          <w:color w:val="000000"/>
          <w:sz w:val="22"/>
          <w:szCs w:val="22"/>
        </w:rPr>
        <w:t xml:space="preserve"> Multi-functional devices under a finance lease. These are carried as Property, Plant and Equipment in the balance sheet. The</w:t>
      </w:r>
      <w:r w:rsidR="003D20DE">
        <w:rPr>
          <w:rFonts w:asciiTheme="minorHAnsi" w:hAnsiTheme="minorHAnsi" w:cstheme="minorHAnsi"/>
          <w:bCs/>
          <w:color w:val="000000"/>
          <w:sz w:val="22"/>
          <w:szCs w:val="22"/>
        </w:rPr>
        <w:t xml:space="preserve"> value of </w:t>
      </w:r>
      <w:r w:rsidR="000769C8">
        <w:rPr>
          <w:rFonts w:asciiTheme="minorHAnsi" w:hAnsiTheme="minorHAnsi" w:cstheme="minorHAnsi"/>
          <w:bCs/>
          <w:color w:val="000000"/>
          <w:sz w:val="22"/>
          <w:szCs w:val="22"/>
        </w:rPr>
        <w:t xml:space="preserve">the </w:t>
      </w:r>
      <w:r w:rsidR="003D20DE">
        <w:rPr>
          <w:rFonts w:asciiTheme="minorHAnsi" w:hAnsiTheme="minorHAnsi" w:cstheme="minorHAnsi"/>
          <w:bCs/>
          <w:color w:val="000000"/>
          <w:sz w:val="22"/>
          <w:szCs w:val="22"/>
        </w:rPr>
        <w:t>obligation to make payments under this lease is disclosed in note 1</w:t>
      </w:r>
      <w:r w:rsidR="004100E6">
        <w:rPr>
          <w:rFonts w:asciiTheme="minorHAnsi" w:hAnsiTheme="minorHAnsi" w:cstheme="minorHAnsi"/>
          <w:bCs/>
          <w:color w:val="000000"/>
          <w:sz w:val="22"/>
          <w:szCs w:val="22"/>
        </w:rPr>
        <w:t>5</w:t>
      </w:r>
      <w:r w:rsidR="003D20DE">
        <w:rPr>
          <w:rFonts w:asciiTheme="minorHAnsi" w:hAnsiTheme="minorHAnsi" w:cstheme="minorHAnsi"/>
          <w:bCs/>
          <w:color w:val="000000"/>
          <w:sz w:val="22"/>
          <w:szCs w:val="22"/>
        </w:rPr>
        <w:t>.</w:t>
      </w:r>
      <w:r w:rsidR="00BA6C27" w:rsidRPr="0068094B" w:rsidDel="00BA6C27">
        <w:rPr>
          <w:rFonts w:asciiTheme="minorHAnsi" w:hAnsiTheme="minorHAnsi" w:cstheme="minorHAnsi"/>
          <w:bCs/>
          <w:color w:val="000000"/>
          <w:sz w:val="22"/>
          <w:szCs w:val="22"/>
        </w:rPr>
        <w:t xml:space="preserve"> </w:t>
      </w:r>
    </w:p>
    <w:p w:rsidR="00ED3B24" w:rsidRDefault="00ED3B24" w:rsidP="00BA6C27">
      <w:pPr>
        <w:widowControl/>
        <w:tabs>
          <w:tab w:val="left" w:pos="0"/>
        </w:tabs>
        <w:autoSpaceDE w:val="0"/>
        <w:rPr>
          <w:rFonts w:asciiTheme="minorHAnsi" w:hAnsiTheme="minorHAnsi" w:cstheme="minorHAnsi"/>
          <w:b/>
          <w:bCs/>
          <w:color w:val="000000"/>
          <w:sz w:val="22"/>
          <w:szCs w:val="22"/>
        </w:rPr>
      </w:pPr>
    </w:p>
    <w:p w:rsidR="009B6980" w:rsidRPr="0068094B" w:rsidRDefault="009B6980" w:rsidP="00BA6C27">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Operating Leases</w:t>
      </w:r>
    </w:p>
    <w:p w:rsidR="00091315" w:rsidRPr="0068094B" w:rsidRDefault="001A3A3E" w:rsidP="002C62F0">
      <w:pPr>
        <w:rPr>
          <w:rFonts w:asciiTheme="minorHAnsi" w:hAnsiTheme="minorHAnsi" w:cstheme="minorHAnsi"/>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00645342" w:rsidRPr="0068094B">
        <w:rPr>
          <w:rFonts w:asciiTheme="minorHAnsi" w:hAnsiTheme="minorHAnsi" w:cstheme="minorHAnsi"/>
          <w:bCs/>
          <w:sz w:val="22"/>
          <w:szCs w:val="22"/>
        </w:rPr>
        <w:t xml:space="preserve"> access </w:t>
      </w:r>
      <w:r w:rsidR="002667B0" w:rsidRPr="0068094B">
        <w:rPr>
          <w:rFonts w:asciiTheme="minorHAnsi" w:hAnsiTheme="minorHAnsi" w:cstheme="minorHAnsi"/>
          <w:bCs/>
          <w:sz w:val="22"/>
          <w:szCs w:val="22"/>
        </w:rPr>
        <w:t xml:space="preserve">a number of </w:t>
      </w:r>
      <w:r w:rsidR="00645342" w:rsidRPr="0068094B">
        <w:rPr>
          <w:rFonts w:asciiTheme="minorHAnsi" w:hAnsiTheme="minorHAnsi" w:cstheme="minorHAnsi"/>
          <w:bCs/>
          <w:sz w:val="22"/>
          <w:szCs w:val="22"/>
        </w:rPr>
        <w:t>pieces</w:t>
      </w:r>
      <w:r w:rsidR="002667B0" w:rsidRPr="0068094B">
        <w:rPr>
          <w:rFonts w:asciiTheme="minorHAnsi" w:hAnsiTheme="minorHAnsi" w:cstheme="minorHAnsi"/>
          <w:bCs/>
          <w:sz w:val="22"/>
          <w:szCs w:val="22"/>
        </w:rPr>
        <w:t xml:space="preserve"> of land </w:t>
      </w:r>
      <w:r w:rsidR="00645342" w:rsidRPr="0068094B">
        <w:rPr>
          <w:rFonts w:asciiTheme="minorHAnsi" w:hAnsiTheme="minorHAnsi" w:cstheme="minorHAnsi"/>
          <w:bCs/>
          <w:sz w:val="22"/>
          <w:szCs w:val="22"/>
        </w:rPr>
        <w:t xml:space="preserve">that are classified as operating leases. </w:t>
      </w:r>
      <w:r w:rsidR="00BA6C27" w:rsidRPr="0068094B">
        <w:rPr>
          <w:rFonts w:asciiTheme="minorHAnsi" w:hAnsiTheme="minorHAnsi" w:cstheme="minorHAnsi"/>
          <w:bCs/>
          <w:sz w:val="22"/>
          <w:szCs w:val="22"/>
        </w:rPr>
        <w:t xml:space="preserve"> The minimum lease payments </w:t>
      </w:r>
      <w:r w:rsidR="0074377C">
        <w:rPr>
          <w:rFonts w:asciiTheme="minorHAnsi" w:hAnsiTheme="minorHAnsi" w:cstheme="minorHAnsi"/>
          <w:bCs/>
          <w:sz w:val="22"/>
          <w:szCs w:val="22"/>
        </w:rPr>
        <w:t>payable</w:t>
      </w:r>
      <w:r w:rsidR="00BA6C27" w:rsidRPr="0068094B">
        <w:rPr>
          <w:rFonts w:asciiTheme="minorHAnsi" w:hAnsiTheme="minorHAnsi" w:cstheme="minorHAnsi"/>
          <w:bCs/>
          <w:sz w:val="22"/>
          <w:szCs w:val="22"/>
        </w:rPr>
        <w:t xml:space="preserve"> at the balance sheet date are £4</w:t>
      </w:r>
      <w:r w:rsidR="00A15A9D">
        <w:rPr>
          <w:rFonts w:asciiTheme="minorHAnsi" w:hAnsiTheme="minorHAnsi" w:cstheme="minorHAnsi"/>
          <w:bCs/>
          <w:sz w:val="22"/>
          <w:szCs w:val="22"/>
        </w:rPr>
        <w:t>0</w:t>
      </w:r>
      <w:r w:rsidR="00BA6C27" w:rsidRPr="0068094B">
        <w:rPr>
          <w:rFonts w:asciiTheme="minorHAnsi" w:hAnsiTheme="minorHAnsi" w:cstheme="minorHAnsi"/>
          <w:bCs/>
          <w:sz w:val="22"/>
          <w:szCs w:val="22"/>
        </w:rPr>
        <w:t>6k (</w:t>
      </w:r>
      <w:r w:rsidR="00A85682">
        <w:rPr>
          <w:rFonts w:asciiTheme="minorHAnsi" w:hAnsiTheme="minorHAnsi" w:cstheme="minorHAnsi"/>
          <w:bCs/>
          <w:sz w:val="22"/>
          <w:szCs w:val="22"/>
        </w:rPr>
        <w:t>20</w:t>
      </w:r>
      <w:r w:rsidR="00BA6C27" w:rsidRPr="0068094B">
        <w:rPr>
          <w:rFonts w:asciiTheme="minorHAnsi" w:hAnsiTheme="minorHAnsi" w:cstheme="minorHAnsi"/>
          <w:bCs/>
          <w:sz w:val="22"/>
          <w:szCs w:val="22"/>
        </w:rPr>
        <w:t>1</w:t>
      </w:r>
      <w:r w:rsidR="00A15A9D">
        <w:rPr>
          <w:rFonts w:asciiTheme="minorHAnsi" w:hAnsiTheme="minorHAnsi" w:cstheme="minorHAnsi"/>
          <w:bCs/>
          <w:sz w:val="22"/>
          <w:szCs w:val="22"/>
        </w:rPr>
        <w:t>8</w:t>
      </w:r>
      <w:r w:rsidR="00BA6C27" w:rsidRPr="0068094B">
        <w:rPr>
          <w:rFonts w:asciiTheme="minorHAnsi" w:hAnsiTheme="minorHAnsi" w:cstheme="minorHAnsi"/>
          <w:bCs/>
          <w:sz w:val="22"/>
          <w:szCs w:val="22"/>
        </w:rPr>
        <w:t>-1</w:t>
      </w:r>
      <w:r w:rsidR="00A15A9D">
        <w:rPr>
          <w:rFonts w:asciiTheme="minorHAnsi" w:hAnsiTheme="minorHAnsi" w:cstheme="minorHAnsi"/>
          <w:bCs/>
          <w:sz w:val="22"/>
          <w:szCs w:val="22"/>
        </w:rPr>
        <w:t>9</w:t>
      </w:r>
      <w:r w:rsidR="00931FF4">
        <w:rPr>
          <w:rFonts w:asciiTheme="minorHAnsi" w:hAnsiTheme="minorHAnsi" w:cstheme="minorHAnsi"/>
          <w:bCs/>
          <w:sz w:val="22"/>
          <w:szCs w:val="22"/>
        </w:rPr>
        <w:t xml:space="preserve"> </w:t>
      </w:r>
      <w:r w:rsidR="00BA6C27" w:rsidRPr="0068094B">
        <w:rPr>
          <w:rFonts w:asciiTheme="minorHAnsi" w:hAnsiTheme="minorHAnsi" w:cstheme="minorHAnsi"/>
          <w:bCs/>
          <w:sz w:val="22"/>
          <w:szCs w:val="22"/>
        </w:rPr>
        <w:t>£</w:t>
      </w:r>
      <w:r w:rsidR="009C5D2D">
        <w:rPr>
          <w:rFonts w:asciiTheme="minorHAnsi" w:hAnsiTheme="minorHAnsi" w:cstheme="minorHAnsi"/>
          <w:bCs/>
          <w:sz w:val="22"/>
          <w:szCs w:val="22"/>
        </w:rPr>
        <w:t>4</w:t>
      </w:r>
      <w:r w:rsidR="00A15A9D">
        <w:rPr>
          <w:rFonts w:asciiTheme="minorHAnsi" w:hAnsiTheme="minorHAnsi" w:cstheme="minorHAnsi"/>
          <w:bCs/>
          <w:sz w:val="22"/>
          <w:szCs w:val="22"/>
        </w:rPr>
        <w:t>3</w:t>
      </w:r>
      <w:r w:rsidR="009C5D2D">
        <w:rPr>
          <w:rFonts w:asciiTheme="minorHAnsi" w:hAnsiTheme="minorHAnsi" w:cstheme="minorHAnsi"/>
          <w:bCs/>
          <w:sz w:val="22"/>
          <w:szCs w:val="22"/>
        </w:rPr>
        <w:t>6k) with 6</w:t>
      </w:r>
      <w:r w:rsidR="00A15A9D">
        <w:rPr>
          <w:rFonts w:asciiTheme="minorHAnsi" w:hAnsiTheme="minorHAnsi" w:cstheme="minorHAnsi"/>
          <w:bCs/>
          <w:sz w:val="22"/>
          <w:szCs w:val="22"/>
        </w:rPr>
        <w:t>3</w:t>
      </w:r>
      <w:r w:rsidR="00BA6C27" w:rsidRPr="0068094B">
        <w:rPr>
          <w:rFonts w:asciiTheme="minorHAnsi" w:hAnsiTheme="minorHAnsi" w:cstheme="minorHAnsi"/>
          <w:bCs/>
          <w:sz w:val="22"/>
          <w:szCs w:val="22"/>
        </w:rPr>
        <w:t>% of this sum due later th</w:t>
      </w:r>
      <w:r w:rsidR="00A15A9D">
        <w:rPr>
          <w:rFonts w:asciiTheme="minorHAnsi" w:hAnsiTheme="minorHAnsi" w:cstheme="minorHAnsi"/>
          <w:bCs/>
          <w:sz w:val="22"/>
          <w:szCs w:val="22"/>
        </w:rPr>
        <w:t>an</w:t>
      </w:r>
      <w:r w:rsidR="00BA6C27" w:rsidRPr="0068094B">
        <w:rPr>
          <w:rFonts w:asciiTheme="minorHAnsi" w:hAnsiTheme="minorHAnsi" w:cstheme="minorHAnsi"/>
          <w:bCs/>
          <w:sz w:val="22"/>
          <w:szCs w:val="22"/>
        </w:rPr>
        <w:t xml:space="preserve"> five years from the balance sheet date.</w:t>
      </w:r>
      <w:r w:rsidR="00BA6C27" w:rsidRPr="0068094B" w:rsidDel="00BA6C27">
        <w:rPr>
          <w:rFonts w:asciiTheme="minorHAnsi" w:hAnsiTheme="minorHAnsi" w:cstheme="minorHAnsi"/>
          <w:bCs/>
          <w:sz w:val="22"/>
          <w:szCs w:val="22"/>
        </w:rPr>
        <w:t xml:space="preserve"> </w:t>
      </w:r>
    </w:p>
    <w:p w:rsidR="006F426F" w:rsidRDefault="006F426F" w:rsidP="002C62F0">
      <w:pPr>
        <w:rPr>
          <w:rFonts w:asciiTheme="minorHAnsi" w:hAnsiTheme="minorHAnsi" w:cstheme="minorHAnsi"/>
          <w:sz w:val="22"/>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Defined Benefit Pension Schemes</w:t>
      </w:r>
    </w:p>
    <w:p w:rsidR="002860DF" w:rsidRPr="0068094B" w:rsidRDefault="002860DF" w:rsidP="002860DF">
      <w:pPr>
        <w:pStyle w:val="ListParagraph"/>
        <w:tabs>
          <w:tab w:val="left" w:pos="0"/>
        </w:tabs>
        <w:jc w:val="both"/>
        <w:rPr>
          <w:rFonts w:asciiTheme="minorHAnsi" w:hAnsiTheme="minorHAnsi" w:cstheme="minorHAnsi"/>
          <w:b/>
          <w:bCs/>
          <w:szCs w:val="22"/>
        </w:rPr>
      </w:pPr>
    </w:p>
    <w:p w:rsidR="002860DF" w:rsidRPr="0068094B" w:rsidRDefault="002860DF"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Participation in Pension Schemes</w:t>
      </w:r>
    </w:p>
    <w:p w:rsidR="002860DF" w:rsidRPr="0068094B" w:rsidRDefault="002860DF" w:rsidP="002860DF">
      <w:pPr>
        <w:tabs>
          <w:tab w:val="left" w:pos="0"/>
        </w:tabs>
        <w:snapToGrid w:val="0"/>
        <w:rPr>
          <w:rFonts w:asciiTheme="minorHAnsi" w:hAnsiTheme="minorHAnsi" w:cstheme="minorHAnsi"/>
          <w:bCs/>
          <w:sz w:val="22"/>
          <w:szCs w:val="22"/>
        </w:rPr>
      </w:pPr>
    </w:p>
    <w:p w:rsidR="002860DF" w:rsidRPr="0068094B" w:rsidRDefault="002860DF"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As part of the terms and conditions of employment of its officers,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makes contributions towards the cost of post-employment benefits.  Although these benefits will not actually be payable until the employees retire,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has a commitment to make the payments </w:t>
      </w:r>
      <w:r w:rsidR="00D475E3" w:rsidRPr="0068094B">
        <w:rPr>
          <w:rFonts w:asciiTheme="minorHAnsi" w:hAnsiTheme="minorHAnsi" w:cstheme="minorHAnsi"/>
          <w:bCs/>
          <w:sz w:val="22"/>
          <w:szCs w:val="22"/>
        </w:rPr>
        <w:t>(for those benefits) and</w:t>
      </w:r>
      <w:r w:rsidRPr="0068094B">
        <w:rPr>
          <w:rFonts w:asciiTheme="minorHAnsi" w:hAnsiTheme="minorHAnsi" w:cstheme="minorHAnsi"/>
          <w:bCs/>
          <w:sz w:val="22"/>
          <w:szCs w:val="22"/>
        </w:rPr>
        <w:t xml:space="preserve"> to disclose</w:t>
      </w:r>
      <w:r w:rsidR="00D475E3" w:rsidRPr="0068094B">
        <w:rPr>
          <w:rFonts w:asciiTheme="minorHAnsi" w:hAnsiTheme="minorHAnsi" w:cstheme="minorHAnsi"/>
          <w:bCs/>
          <w:sz w:val="22"/>
          <w:szCs w:val="22"/>
        </w:rPr>
        <w:t xml:space="preserve"> them</w:t>
      </w:r>
      <w:r w:rsidRPr="0068094B">
        <w:rPr>
          <w:rFonts w:asciiTheme="minorHAnsi" w:hAnsiTheme="minorHAnsi" w:cstheme="minorHAnsi"/>
          <w:bCs/>
          <w:sz w:val="22"/>
          <w:szCs w:val="22"/>
        </w:rPr>
        <w:t xml:space="preserve"> at the time that the employees earn their future entitlement.</w:t>
      </w:r>
      <w:r w:rsidRPr="0068094B">
        <w:rPr>
          <w:rFonts w:asciiTheme="minorHAnsi" w:hAnsiTheme="minorHAnsi" w:cstheme="minorHAnsi"/>
          <w:bCs/>
          <w:sz w:val="22"/>
          <w:szCs w:val="22"/>
        </w:rPr>
        <w:tab/>
      </w:r>
      <w:r w:rsidRPr="0068094B">
        <w:rPr>
          <w:rFonts w:asciiTheme="minorHAnsi" w:hAnsiTheme="minorHAnsi" w:cstheme="minorHAnsi"/>
          <w:bCs/>
          <w:sz w:val="22"/>
          <w:szCs w:val="22"/>
        </w:rPr>
        <w:br/>
      </w:r>
      <w:r w:rsidRPr="0068094B">
        <w:rPr>
          <w:rFonts w:asciiTheme="minorHAnsi" w:hAnsiTheme="minorHAnsi" w:cstheme="minorHAnsi"/>
          <w:bCs/>
          <w:sz w:val="22"/>
          <w:szCs w:val="22"/>
        </w:rPr>
        <w:br/>
      </w: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operates a defined benefit pension scheme that is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Pr="0068094B">
        <w:rPr>
          <w:rFonts w:asciiTheme="minorHAnsi" w:hAnsiTheme="minorHAnsi" w:cstheme="minorHAnsi"/>
          <w:bCs/>
          <w:sz w:val="22"/>
          <w:szCs w:val="22"/>
        </w:rPr>
        <w:t xml:space="preserve"> This is a funded scheme, meaning that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and employees pay contributions into a fund, calculated at a level intended to balance the pension liabilities with investment assets.</w:t>
      </w:r>
    </w:p>
    <w:p w:rsidR="009E5F27" w:rsidRPr="0068094B" w:rsidRDefault="009E5F27" w:rsidP="002860DF">
      <w:pPr>
        <w:tabs>
          <w:tab w:val="left" w:pos="0"/>
        </w:tabs>
        <w:snapToGrid w:val="0"/>
        <w:rPr>
          <w:rFonts w:asciiTheme="minorHAnsi" w:hAnsiTheme="minorHAnsi" w:cstheme="minorHAnsi"/>
          <w:bCs/>
          <w:sz w:val="22"/>
          <w:szCs w:val="22"/>
        </w:rPr>
      </w:pPr>
    </w:p>
    <w:p w:rsidR="009E5F27" w:rsidRPr="0068094B" w:rsidRDefault="009E5F27"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lastRenderedPageBreak/>
        <w:t xml:space="preserve">The 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pension scheme is operated under the regulatory framework for the Local Government Pension Scheme and the governance of the scheme is the responsibility of the Pensions Panel of 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Policy is determined in accordance with the Pension Fund Regulations.</w:t>
      </w:r>
    </w:p>
    <w:p w:rsidR="009E5F27" w:rsidRPr="0068094B" w:rsidRDefault="009E5F27" w:rsidP="002860DF">
      <w:pPr>
        <w:tabs>
          <w:tab w:val="left" w:pos="0"/>
        </w:tabs>
        <w:snapToGrid w:val="0"/>
        <w:rPr>
          <w:rFonts w:asciiTheme="minorHAnsi" w:hAnsiTheme="minorHAnsi" w:cstheme="minorHAnsi"/>
          <w:bCs/>
          <w:sz w:val="22"/>
          <w:szCs w:val="22"/>
        </w:rPr>
      </w:pPr>
    </w:p>
    <w:p w:rsidR="009E5F27" w:rsidRPr="0068094B" w:rsidRDefault="009E5F27"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principal risks to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of the scheme are the longevity assumptions, statutory changes to the scheme, structural changes to the scheme (i.e. large-scale withdrawals from the scheme), changes to inflation, bond yields and the performance of the equity investments held by the scheme.  These are mitigated to a certain extent by the statutory requirements to charge to the General Fund the amounts required by statute</w:t>
      </w:r>
      <w:r w:rsidR="00F11364">
        <w:rPr>
          <w:rFonts w:asciiTheme="minorHAnsi" w:hAnsiTheme="minorHAnsi" w:cstheme="minorHAnsi"/>
          <w:bCs/>
          <w:sz w:val="22"/>
          <w:szCs w:val="22"/>
        </w:rPr>
        <w:t>.</w:t>
      </w:r>
    </w:p>
    <w:p w:rsidR="004317FA" w:rsidRPr="0068094B" w:rsidRDefault="004317FA" w:rsidP="002860DF">
      <w:pPr>
        <w:tabs>
          <w:tab w:val="left" w:pos="0"/>
        </w:tabs>
        <w:snapToGrid w:val="0"/>
        <w:rPr>
          <w:rFonts w:asciiTheme="minorHAnsi" w:hAnsiTheme="minorHAnsi" w:cstheme="minorHAnsi"/>
          <w:bCs/>
          <w:sz w:val="22"/>
          <w:szCs w:val="22"/>
        </w:rPr>
      </w:pPr>
    </w:p>
    <w:p w:rsidR="00FF045D" w:rsidRPr="0068094B" w:rsidRDefault="00FF045D"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figures disclosed have been </w:t>
      </w:r>
      <w:r w:rsidR="00372A33" w:rsidRPr="0068094B">
        <w:rPr>
          <w:rFonts w:asciiTheme="minorHAnsi" w:hAnsiTheme="minorHAnsi" w:cstheme="minorHAnsi"/>
          <w:sz w:val="22"/>
          <w:szCs w:val="22"/>
        </w:rPr>
        <w:t>provided</w:t>
      </w:r>
      <w:r w:rsidRPr="0068094B">
        <w:rPr>
          <w:rFonts w:asciiTheme="minorHAnsi" w:hAnsiTheme="minorHAnsi" w:cstheme="minorHAnsi"/>
          <w:sz w:val="22"/>
          <w:szCs w:val="22"/>
        </w:rPr>
        <w:t xml:space="preserve"> by Hymans Robertson, the Actuary to the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Pension Fund</w:t>
      </w:r>
      <w:r w:rsidR="00F11364">
        <w:rPr>
          <w:rFonts w:asciiTheme="minorHAnsi" w:hAnsiTheme="minorHAnsi" w:cstheme="minorHAnsi"/>
          <w:sz w:val="22"/>
          <w:szCs w:val="22"/>
        </w:rPr>
        <w:t>.</w:t>
      </w:r>
    </w:p>
    <w:p w:rsidR="00FF045D" w:rsidRPr="0068094B" w:rsidRDefault="00FF045D" w:rsidP="008172F8">
      <w:pPr>
        <w:tabs>
          <w:tab w:val="left" w:pos="0"/>
        </w:tabs>
        <w:rPr>
          <w:rFonts w:asciiTheme="minorHAnsi" w:hAnsiTheme="minorHAnsi" w:cstheme="minorHAnsi"/>
          <w:sz w:val="22"/>
          <w:szCs w:val="22"/>
        </w:rPr>
      </w:pPr>
    </w:p>
    <w:p w:rsidR="008172F8" w:rsidRPr="0068094B" w:rsidRDefault="002860DF"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Further information </w:t>
      </w:r>
      <w:r w:rsidR="00240A2B" w:rsidRPr="0068094B">
        <w:rPr>
          <w:rFonts w:asciiTheme="minorHAnsi" w:hAnsiTheme="minorHAnsi" w:cstheme="minorHAnsi"/>
          <w:sz w:val="22"/>
          <w:szCs w:val="22"/>
        </w:rPr>
        <w:t xml:space="preserve">about the scheme and its financial position </w:t>
      </w:r>
      <w:r w:rsidRPr="0068094B">
        <w:rPr>
          <w:rFonts w:asciiTheme="minorHAnsi" w:hAnsiTheme="minorHAnsi" w:cstheme="minorHAnsi"/>
          <w:sz w:val="22"/>
          <w:szCs w:val="22"/>
        </w:rPr>
        <w:t xml:space="preserve">can be found in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Pension Fund’s Annual Report which is available upon request from the Corporate </w:t>
      </w:r>
      <w:r w:rsidR="008172F8" w:rsidRPr="0068094B">
        <w:rPr>
          <w:rFonts w:asciiTheme="minorHAnsi" w:hAnsiTheme="minorHAnsi" w:cstheme="minorHAnsi"/>
          <w:sz w:val="22"/>
          <w:szCs w:val="22"/>
        </w:rPr>
        <w:t>Finance</w:t>
      </w:r>
      <w:r w:rsidRPr="0068094B">
        <w:rPr>
          <w:rFonts w:asciiTheme="minorHAnsi" w:hAnsiTheme="minorHAnsi" w:cstheme="minorHAnsi"/>
          <w:sz w:val="22"/>
          <w:szCs w:val="22"/>
        </w:rPr>
        <w:t xml:space="preserve"> Section, County Treasurer’s Department,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County Hall, Chichester, West Sussex PO19 1RG</w:t>
      </w:r>
      <w:r w:rsidR="008172F8" w:rsidRPr="0068094B">
        <w:rPr>
          <w:rFonts w:asciiTheme="minorHAnsi" w:hAnsiTheme="minorHAnsi" w:cstheme="minorHAnsi"/>
          <w:sz w:val="22"/>
          <w:szCs w:val="22"/>
        </w:rPr>
        <w:t xml:space="preserve">, or by visiting </w:t>
      </w:r>
      <w:hyperlink r:id="rId41" w:history="1">
        <w:r w:rsidR="008172F8" w:rsidRPr="0068094B">
          <w:rPr>
            <w:rStyle w:val="Hyperlink"/>
            <w:rFonts w:asciiTheme="minorHAnsi" w:hAnsiTheme="minorHAnsi" w:cstheme="minorHAnsi"/>
            <w:sz w:val="22"/>
            <w:szCs w:val="22"/>
          </w:rPr>
          <w:t>www.westsussex.gov.uk</w:t>
        </w:r>
      </w:hyperlink>
      <w:r w:rsidR="008172F8" w:rsidRPr="0068094B">
        <w:rPr>
          <w:rFonts w:asciiTheme="minorHAnsi" w:hAnsiTheme="minorHAnsi" w:cstheme="minorHAnsi"/>
          <w:sz w:val="22"/>
          <w:szCs w:val="22"/>
        </w:rPr>
        <w:t>.</w:t>
      </w:r>
    </w:p>
    <w:p w:rsidR="002860DF" w:rsidRPr="0068094B" w:rsidRDefault="008172F8"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 </w:t>
      </w:r>
    </w:p>
    <w:p w:rsidR="0077105C" w:rsidRPr="0068094B" w:rsidRDefault="0077105C"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Discretionary Post-retirement Benefits</w:t>
      </w:r>
    </w:p>
    <w:p w:rsidR="0077105C" w:rsidRPr="0068094B" w:rsidRDefault="0077105C" w:rsidP="002860DF">
      <w:pPr>
        <w:tabs>
          <w:tab w:val="left" w:pos="0"/>
        </w:tabs>
        <w:snapToGrid w:val="0"/>
        <w:rPr>
          <w:rFonts w:asciiTheme="minorHAnsi" w:hAnsiTheme="minorHAnsi" w:cstheme="minorHAnsi"/>
          <w:b/>
          <w:sz w:val="22"/>
          <w:szCs w:val="22"/>
        </w:rPr>
      </w:pPr>
    </w:p>
    <w:p w:rsidR="0077105C" w:rsidRPr="0068094B" w:rsidRDefault="0077105C" w:rsidP="002860DF">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Discretionary post-retirement benefits on early retirement are an unfunded benefit arrangement, under which liabilities are recognised when awards are made.  There are no plan assets built up to meet these pension liabilities. </w:t>
      </w:r>
    </w:p>
    <w:p w:rsidR="0077105C" w:rsidRPr="0068094B" w:rsidRDefault="0077105C" w:rsidP="002860DF">
      <w:pPr>
        <w:tabs>
          <w:tab w:val="left" w:pos="0"/>
        </w:tabs>
        <w:snapToGrid w:val="0"/>
        <w:rPr>
          <w:rFonts w:asciiTheme="minorHAnsi" w:hAnsiTheme="minorHAnsi" w:cstheme="minorHAnsi"/>
          <w:b/>
          <w:sz w:val="22"/>
          <w:szCs w:val="22"/>
        </w:rPr>
      </w:pPr>
    </w:p>
    <w:p w:rsidR="002860DF" w:rsidRPr="0068094B" w:rsidRDefault="002860DF"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Transactions Relating to Post-employment Benefits</w:t>
      </w:r>
    </w:p>
    <w:p w:rsidR="002860DF" w:rsidRPr="0068094B" w:rsidRDefault="002860DF" w:rsidP="002860DF">
      <w:pPr>
        <w:tabs>
          <w:tab w:val="left" w:pos="0"/>
        </w:tabs>
        <w:snapToGrid w:val="0"/>
        <w:rPr>
          <w:rFonts w:asciiTheme="minorHAnsi" w:hAnsiTheme="minorHAnsi" w:cstheme="minorHAnsi"/>
          <w:bCs/>
          <w:sz w:val="22"/>
          <w:szCs w:val="22"/>
        </w:rPr>
      </w:pPr>
    </w:p>
    <w:p w:rsidR="002860DF" w:rsidRPr="0068094B" w:rsidRDefault="002860DF"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recognises the cost of retirement benefits in the reported cost of services when they are earned by employees, rather than when the benefits are eventually paid as pensions. However, the charge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is required to make against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tax is based on the cash payable in the year, so the real cost of post-employment</w:t>
      </w:r>
      <w:r w:rsidR="004960A4" w:rsidRPr="0068094B">
        <w:rPr>
          <w:rFonts w:asciiTheme="minorHAnsi" w:hAnsiTheme="minorHAnsi" w:cstheme="minorHAnsi"/>
          <w:bCs/>
          <w:sz w:val="22"/>
          <w:szCs w:val="22"/>
        </w:rPr>
        <w:t xml:space="preserve">/retirement </w:t>
      </w:r>
      <w:r w:rsidRPr="0068094B">
        <w:rPr>
          <w:rFonts w:asciiTheme="minorHAnsi" w:hAnsiTheme="minorHAnsi" w:cstheme="minorHAnsi"/>
          <w:bCs/>
          <w:sz w:val="22"/>
          <w:szCs w:val="22"/>
        </w:rPr>
        <w:t xml:space="preserve">benefits is reversed out of the General Fund via the Movement in Reserves Statement. </w:t>
      </w:r>
    </w:p>
    <w:p w:rsidR="002860DF" w:rsidRPr="0068094B" w:rsidRDefault="002860DF" w:rsidP="002860DF">
      <w:pPr>
        <w:tabs>
          <w:tab w:val="left" w:pos="0"/>
        </w:tabs>
        <w:snapToGrid w:val="0"/>
        <w:rPr>
          <w:rFonts w:asciiTheme="minorHAnsi" w:hAnsiTheme="minorHAnsi" w:cstheme="minorHAnsi"/>
          <w:bCs/>
          <w:sz w:val="22"/>
          <w:szCs w:val="22"/>
        </w:rPr>
      </w:pPr>
    </w:p>
    <w:p w:rsidR="002860DF" w:rsidRPr="0068094B" w:rsidRDefault="009B0AE3" w:rsidP="002860DF">
      <w:pPr>
        <w:tabs>
          <w:tab w:val="left" w:pos="0"/>
        </w:tabs>
        <w:snapToGrid w:val="0"/>
        <w:rPr>
          <w:rFonts w:asciiTheme="minorHAnsi" w:hAnsiTheme="minorHAnsi" w:cstheme="minorHAnsi"/>
          <w:bCs/>
          <w:sz w:val="22"/>
          <w:szCs w:val="22"/>
        </w:rPr>
      </w:pPr>
      <w:r>
        <w:rPr>
          <w:rFonts w:asciiTheme="minorHAnsi" w:hAnsiTheme="minorHAnsi" w:cstheme="minorHAnsi"/>
          <w:bCs/>
          <w:sz w:val="22"/>
          <w:szCs w:val="22"/>
        </w:rPr>
        <w:t>Th</w:t>
      </w:r>
      <w:r w:rsidR="002860DF" w:rsidRPr="0068094B">
        <w:rPr>
          <w:rFonts w:asciiTheme="minorHAnsi" w:hAnsiTheme="minorHAnsi" w:cstheme="minorHAnsi"/>
          <w:bCs/>
          <w:sz w:val="22"/>
          <w:szCs w:val="22"/>
        </w:rPr>
        <w:t>e following transactions have been made in the Comprehensive Income and Expenditure Account and the General Fund Balance via the Movement in Reserves Statement during the year:</w:t>
      </w:r>
    </w:p>
    <w:p w:rsidR="008B7790" w:rsidRPr="0068094B" w:rsidRDefault="008B7790" w:rsidP="002860DF">
      <w:pPr>
        <w:tabs>
          <w:tab w:val="left" w:pos="0"/>
        </w:tabs>
        <w:snapToGrid w:val="0"/>
        <w:rPr>
          <w:rFonts w:asciiTheme="minorHAnsi" w:hAnsiTheme="minorHAnsi" w:cstheme="minorHAnsi"/>
          <w:bCs/>
          <w:sz w:val="22"/>
          <w:szCs w:val="22"/>
        </w:rPr>
      </w:pPr>
    </w:p>
    <w:tbl>
      <w:tblPr>
        <w:tblW w:w="0" w:type="auto"/>
        <w:tblLayout w:type="fixed"/>
        <w:tblLook w:val="04A0" w:firstRow="1" w:lastRow="0" w:firstColumn="1" w:lastColumn="0" w:noHBand="0" w:noVBand="1"/>
      </w:tblPr>
      <w:tblGrid>
        <w:gridCol w:w="5211"/>
        <w:gridCol w:w="1843"/>
        <w:gridCol w:w="1741"/>
      </w:tblGrid>
      <w:tr w:rsidR="001C2FFC" w:rsidRPr="0068094B" w:rsidTr="00D608AB">
        <w:trPr>
          <w:trHeight w:val="70"/>
        </w:trPr>
        <w:tc>
          <w:tcPr>
            <w:tcW w:w="5211" w:type="dxa"/>
          </w:tcPr>
          <w:p w:rsidR="001C2FFC" w:rsidRPr="0068094B" w:rsidRDefault="001C2FFC" w:rsidP="00D60315">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shd w:val="clear" w:color="auto" w:fill="FFFF00"/>
              </w:rPr>
            </w:pPr>
          </w:p>
        </w:tc>
        <w:tc>
          <w:tcPr>
            <w:tcW w:w="3584" w:type="dxa"/>
            <w:gridSpan w:val="2"/>
            <w:vAlign w:val="center"/>
          </w:tcPr>
          <w:p w:rsidR="001C2FFC" w:rsidRPr="0068094B" w:rsidRDefault="001C2FFC" w:rsidP="00D60315">
            <w:pPr>
              <w:tabs>
                <w:tab w:val="left" w:pos="0"/>
              </w:tabs>
              <w:snapToGrid w:val="0"/>
              <w:rPr>
                <w:rFonts w:asciiTheme="minorHAnsi" w:hAnsiTheme="minorHAnsi" w:cstheme="minorHAnsi"/>
                <w:color w:val="808080" w:themeColor="background1" w:themeShade="80"/>
                <w:sz w:val="22"/>
                <w:szCs w:val="22"/>
              </w:rPr>
            </w:pPr>
          </w:p>
        </w:tc>
      </w:tr>
      <w:tr w:rsidR="00F971A6" w:rsidRPr="0068094B" w:rsidTr="00363F77">
        <w:trPr>
          <w:trHeight w:val="70"/>
        </w:trPr>
        <w:tc>
          <w:tcPr>
            <w:tcW w:w="5211" w:type="dxa"/>
          </w:tcPr>
          <w:p w:rsidR="00F971A6" w:rsidRPr="0068094B" w:rsidRDefault="00F971A6" w:rsidP="000307B3">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shd w:val="clear" w:color="auto" w:fill="FFFF00"/>
              </w:rPr>
            </w:pPr>
          </w:p>
        </w:tc>
        <w:tc>
          <w:tcPr>
            <w:tcW w:w="1843" w:type="dxa"/>
            <w:tcBorders>
              <w:bottom w:val="single" w:sz="4" w:space="0" w:color="auto"/>
            </w:tcBorders>
            <w:vAlign w:val="center"/>
          </w:tcPr>
          <w:p w:rsidR="00F971A6" w:rsidRPr="0068094B" w:rsidRDefault="00F971A6" w:rsidP="00EA6827">
            <w:pPr>
              <w:tabs>
                <w:tab w:val="left" w:pos="0"/>
              </w:tabs>
              <w:jc w:val="right"/>
              <w:rPr>
                <w:rFonts w:asciiTheme="minorHAnsi" w:hAnsiTheme="minorHAnsi" w:cstheme="minorHAnsi"/>
                <w:b/>
                <w:sz w:val="22"/>
                <w:szCs w:val="22"/>
              </w:rPr>
            </w:pPr>
          </w:p>
          <w:p w:rsidR="00F971A6" w:rsidRPr="0068094B" w:rsidRDefault="00363F77" w:rsidP="00EA6827">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20</w:t>
            </w:r>
            <w:r w:rsidR="0098080A">
              <w:rPr>
                <w:rFonts w:asciiTheme="minorHAnsi" w:hAnsiTheme="minorHAnsi" w:cstheme="minorHAnsi"/>
                <w:b/>
                <w:sz w:val="22"/>
                <w:szCs w:val="22"/>
              </w:rPr>
              <w:t>18</w:t>
            </w:r>
            <w:r w:rsidRPr="0068094B">
              <w:rPr>
                <w:rFonts w:asciiTheme="minorHAnsi" w:hAnsiTheme="minorHAnsi" w:cstheme="minorHAnsi"/>
                <w:b/>
                <w:sz w:val="22"/>
                <w:szCs w:val="22"/>
              </w:rPr>
              <w:t>-1</w:t>
            </w:r>
            <w:r w:rsidR="0098080A">
              <w:rPr>
                <w:rFonts w:asciiTheme="minorHAnsi" w:hAnsiTheme="minorHAnsi" w:cstheme="minorHAnsi"/>
                <w:b/>
                <w:sz w:val="22"/>
                <w:szCs w:val="22"/>
              </w:rPr>
              <w:t>9</w:t>
            </w:r>
          </w:p>
          <w:p w:rsidR="00DC6FFF" w:rsidRPr="0068094B" w:rsidRDefault="00DC6FFF" w:rsidP="00EA6827">
            <w:pPr>
              <w:tabs>
                <w:tab w:val="left" w:pos="0"/>
              </w:tabs>
              <w:jc w:val="right"/>
              <w:rPr>
                <w:rFonts w:asciiTheme="minorHAnsi" w:hAnsiTheme="minorHAnsi" w:cstheme="minorHAnsi"/>
                <w:b/>
                <w:color w:val="808080" w:themeColor="background1" w:themeShade="80"/>
                <w:sz w:val="22"/>
                <w:szCs w:val="22"/>
              </w:rPr>
            </w:pPr>
            <w:r w:rsidRPr="0068094B">
              <w:rPr>
                <w:rFonts w:asciiTheme="minorHAnsi" w:hAnsiTheme="minorHAnsi" w:cstheme="minorHAnsi"/>
                <w:b/>
                <w:sz w:val="22"/>
                <w:szCs w:val="22"/>
              </w:rPr>
              <w:t>£000</w:t>
            </w:r>
          </w:p>
        </w:tc>
        <w:tc>
          <w:tcPr>
            <w:tcW w:w="1741" w:type="dxa"/>
            <w:tcBorders>
              <w:bottom w:val="single" w:sz="4" w:space="0" w:color="808080" w:themeColor="background1" w:themeShade="80"/>
            </w:tcBorders>
            <w:shd w:val="clear" w:color="auto" w:fill="D9D9D9" w:themeFill="background1" w:themeFillShade="D9"/>
            <w:vAlign w:val="center"/>
          </w:tcPr>
          <w:p w:rsidR="00F971A6" w:rsidRPr="0068094B" w:rsidRDefault="00363F77" w:rsidP="00D60315">
            <w:pPr>
              <w:tabs>
                <w:tab w:val="left" w:pos="0"/>
              </w:tabs>
              <w:snapToGrid w:val="0"/>
              <w:spacing w:before="280"/>
              <w:jc w:val="right"/>
              <w:rPr>
                <w:rFonts w:asciiTheme="minorHAnsi" w:hAnsiTheme="minorHAnsi" w:cstheme="minorHAnsi"/>
                <w:b/>
                <w:sz w:val="22"/>
                <w:szCs w:val="22"/>
              </w:rPr>
            </w:pPr>
            <w:r w:rsidRPr="0068094B">
              <w:rPr>
                <w:rFonts w:asciiTheme="minorHAnsi" w:hAnsiTheme="minorHAnsi" w:cstheme="minorHAnsi"/>
                <w:b/>
                <w:sz w:val="22"/>
                <w:szCs w:val="22"/>
              </w:rPr>
              <w:t>201</w:t>
            </w:r>
            <w:r w:rsidR="0098080A">
              <w:rPr>
                <w:rFonts w:asciiTheme="minorHAnsi" w:hAnsiTheme="minorHAnsi" w:cstheme="minorHAnsi"/>
                <w:b/>
                <w:sz w:val="22"/>
                <w:szCs w:val="22"/>
              </w:rPr>
              <w:t>9</w:t>
            </w:r>
            <w:r w:rsidRPr="0068094B">
              <w:rPr>
                <w:rFonts w:asciiTheme="minorHAnsi" w:hAnsiTheme="minorHAnsi" w:cstheme="minorHAnsi"/>
                <w:b/>
                <w:sz w:val="22"/>
                <w:szCs w:val="22"/>
              </w:rPr>
              <w:t>-</w:t>
            </w:r>
            <w:r w:rsidR="0098080A">
              <w:rPr>
                <w:rFonts w:asciiTheme="minorHAnsi" w:hAnsiTheme="minorHAnsi" w:cstheme="minorHAnsi"/>
                <w:b/>
                <w:sz w:val="22"/>
                <w:szCs w:val="22"/>
              </w:rPr>
              <w:t>20</w:t>
            </w:r>
          </w:p>
          <w:p w:rsidR="00DC6FFF" w:rsidRPr="0068094B" w:rsidRDefault="00DC6FFF" w:rsidP="00EA6827">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F971A6" w:rsidRPr="0068094B" w:rsidTr="00363F77">
        <w:trPr>
          <w:trHeight w:val="241"/>
        </w:trPr>
        <w:tc>
          <w:tcPr>
            <w:tcW w:w="5211" w:type="dxa"/>
          </w:tcPr>
          <w:p w:rsidR="00F971A6" w:rsidRPr="0068094B" w:rsidRDefault="00F971A6" w:rsidP="000307B3">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u w:val="single"/>
              </w:rPr>
            </w:pPr>
            <w:r w:rsidRPr="0068094B">
              <w:rPr>
                <w:rFonts w:asciiTheme="minorHAnsi" w:hAnsiTheme="minorHAnsi" w:cstheme="minorHAnsi"/>
                <w:bCs/>
                <w:sz w:val="22"/>
                <w:szCs w:val="22"/>
                <w:u w:val="single"/>
              </w:rPr>
              <w:t>Comprehensive Income and Expenditure Statement</w:t>
            </w:r>
          </w:p>
        </w:tc>
        <w:tc>
          <w:tcPr>
            <w:tcW w:w="1843" w:type="dxa"/>
            <w:tcBorders>
              <w:top w:val="single" w:sz="4" w:space="0" w:color="auto"/>
            </w:tcBorders>
          </w:tcPr>
          <w:p w:rsidR="00F971A6" w:rsidRPr="0068094B" w:rsidRDefault="00F971A6" w:rsidP="000307B3">
            <w:pPr>
              <w:tabs>
                <w:tab w:val="left" w:pos="0"/>
              </w:tabs>
              <w:snapToGrid w:val="0"/>
              <w:jc w:val="right"/>
              <w:rPr>
                <w:rFonts w:asciiTheme="minorHAnsi" w:hAnsiTheme="minorHAnsi" w:cstheme="minorHAnsi"/>
                <w:sz w:val="22"/>
                <w:szCs w:val="22"/>
              </w:rPr>
            </w:pPr>
          </w:p>
        </w:tc>
        <w:tc>
          <w:tcPr>
            <w:tcW w:w="1741" w:type="dxa"/>
            <w:tcBorders>
              <w:top w:val="single" w:sz="4" w:space="0" w:color="808080" w:themeColor="background1" w:themeShade="80"/>
            </w:tcBorders>
            <w:shd w:val="clear" w:color="auto" w:fill="D9D9D9" w:themeFill="background1" w:themeFillShade="D9"/>
          </w:tcPr>
          <w:p w:rsidR="00F971A6" w:rsidRPr="0068094B" w:rsidRDefault="00F971A6" w:rsidP="000307B3">
            <w:pPr>
              <w:tabs>
                <w:tab w:val="left" w:pos="0"/>
              </w:tabs>
              <w:snapToGrid w:val="0"/>
              <w:jc w:val="right"/>
              <w:rPr>
                <w:rFonts w:asciiTheme="minorHAnsi" w:hAnsiTheme="minorHAnsi" w:cstheme="minorHAnsi"/>
                <w:sz w:val="22"/>
                <w:szCs w:val="22"/>
              </w:rPr>
            </w:pPr>
          </w:p>
        </w:tc>
      </w:tr>
      <w:tr w:rsidR="002E1383" w:rsidRPr="0068094B" w:rsidTr="00363F77">
        <w:trPr>
          <w:trHeight w:val="471"/>
        </w:trPr>
        <w:tc>
          <w:tcPr>
            <w:tcW w:w="5211" w:type="dxa"/>
            <w:vAlign w:val="center"/>
          </w:tcPr>
          <w:p w:rsidR="002E1383" w:rsidRPr="0068094B" w:rsidRDefault="002E1383" w:rsidP="00424761">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Cost of Services:</w:t>
            </w:r>
          </w:p>
        </w:tc>
        <w:tc>
          <w:tcPr>
            <w:tcW w:w="1843" w:type="dxa"/>
          </w:tcPr>
          <w:p w:rsidR="002E1383" w:rsidRPr="0068094B"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rsidR="002E1383" w:rsidRPr="0068094B" w:rsidRDefault="002E1383" w:rsidP="000307B3">
            <w:pPr>
              <w:tabs>
                <w:tab w:val="left" w:pos="0"/>
              </w:tabs>
              <w:snapToGrid w:val="0"/>
              <w:jc w:val="right"/>
              <w:rPr>
                <w:rFonts w:asciiTheme="minorHAnsi" w:hAnsiTheme="minorHAnsi" w:cstheme="minorHAnsi"/>
                <w:sz w:val="22"/>
                <w:szCs w:val="22"/>
              </w:rPr>
            </w:pPr>
          </w:p>
        </w:tc>
      </w:tr>
      <w:tr w:rsidR="002E1383" w:rsidRPr="0068094B" w:rsidTr="00363F77">
        <w:trPr>
          <w:trHeight w:val="295"/>
        </w:trPr>
        <w:tc>
          <w:tcPr>
            <w:tcW w:w="5211" w:type="dxa"/>
            <w:vAlign w:val="center"/>
          </w:tcPr>
          <w:p w:rsidR="002E1383" w:rsidRPr="0068094B" w:rsidRDefault="002E1383" w:rsidP="00424761">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rPr>
            </w:pPr>
            <w:r w:rsidRPr="0068094B">
              <w:rPr>
                <w:rFonts w:asciiTheme="minorHAnsi" w:hAnsiTheme="minorHAnsi" w:cstheme="minorHAnsi"/>
                <w:b w:val="0"/>
                <w:bCs/>
                <w:sz w:val="22"/>
                <w:szCs w:val="22"/>
              </w:rPr>
              <w:t>Service cost comprising</w:t>
            </w:r>
            <w:r w:rsidRPr="0068094B">
              <w:rPr>
                <w:rFonts w:asciiTheme="minorHAnsi" w:hAnsiTheme="minorHAnsi" w:cstheme="minorHAnsi"/>
                <w:bCs/>
                <w:sz w:val="22"/>
                <w:szCs w:val="22"/>
              </w:rPr>
              <w:t>:</w:t>
            </w:r>
          </w:p>
        </w:tc>
        <w:tc>
          <w:tcPr>
            <w:tcW w:w="1843" w:type="dxa"/>
          </w:tcPr>
          <w:p w:rsidR="002E1383" w:rsidRPr="0068094B"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rsidR="002E1383" w:rsidRPr="0068094B" w:rsidRDefault="002E1383" w:rsidP="000307B3">
            <w:pPr>
              <w:tabs>
                <w:tab w:val="left" w:pos="0"/>
              </w:tabs>
              <w:snapToGrid w:val="0"/>
              <w:jc w:val="right"/>
              <w:rPr>
                <w:rFonts w:asciiTheme="minorHAnsi" w:hAnsiTheme="minorHAnsi" w:cstheme="minorHAnsi"/>
                <w:sz w:val="22"/>
                <w:szCs w:val="22"/>
              </w:rPr>
            </w:pPr>
          </w:p>
        </w:tc>
      </w:tr>
      <w:tr w:rsidR="0098080A" w:rsidRPr="0068094B" w:rsidTr="00363F77">
        <w:trPr>
          <w:trHeight w:val="284"/>
        </w:trPr>
        <w:tc>
          <w:tcPr>
            <w:tcW w:w="5211" w:type="dxa"/>
          </w:tcPr>
          <w:p w:rsidR="0098080A" w:rsidRPr="0068094B" w:rsidRDefault="0098080A" w:rsidP="007D7B32">
            <w:pPr>
              <w:pStyle w:val="ListParagraph"/>
              <w:numPr>
                <w:ilvl w:val="0"/>
                <w:numId w:val="33"/>
              </w:numPr>
              <w:tabs>
                <w:tab w:val="left" w:pos="0"/>
              </w:tabs>
              <w:snapToGrid w:val="0"/>
              <w:rPr>
                <w:rFonts w:asciiTheme="minorHAnsi" w:hAnsiTheme="minorHAnsi" w:cstheme="minorHAnsi"/>
                <w:szCs w:val="22"/>
              </w:rPr>
            </w:pPr>
            <w:r w:rsidRPr="0068094B">
              <w:rPr>
                <w:rFonts w:asciiTheme="minorHAnsi" w:hAnsiTheme="minorHAnsi" w:cstheme="minorHAnsi"/>
                <w:szCs w:val="22"/>
              </w:rPr>
              <w:t>current service cost</w:t>
            </w:r>
          </w:p>
        </w:tc>
        <w:tc>
          <w:tcPr>
            <w:tcW w:w="1843" w:type="dxa"/>
            <w:vAlign w:val="center"/>
          </w:tcPr>
          <w:p w:rsidR="0098080A" w:rsidRPr="0068094B" w:rsidRDefault="0098080A" w:rsidP="0093272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5,277</w:t>
            </w:r>
          </w:p>
        </w:tc>
        <w:tc>
          <w:tcPr>
            <w:tcW w:w="1741" w:type="dxa"/>
            <w:shd w:val="clear" w:color="auto" w:fill="D9D9D9" w:themeFill="background1" w:themeFillShade="D9"/>
            <w:vAlign w:val="center"/>
          </w:tcPr>
          <w:p w:rsidR="0098080A" w:rsidRPr="0068094B" w:rsidRDefault="00681581"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6,423</w:t>
            </w:r>
          </w:p>
        </w:tc>
      </w:tr>
      <w:tr w:rsidR="0098080A" w:rsidRPr="0068094B" w:rsidTr="00363F77">
        <w:trPr>
          <w:trHeight w:val="275"/>
        </w:trPr>
        <w:tc>
          <w:tcPr>
            <w:tcW w:w="5211" w:type="dxa"/>
          </w:tcPr>
          <w:p w:rsidR="0098080A" w:rsidRPr="0068094B" w:rsidRDefault="0098080A" w:rsidP="007D7B32">
            <w:pPr>
              <w:pStyle w:val="ListParagraph"/>
              <w:numPr>
                <w:ilvl w:val="0"/>
                <w:numId w:val="33"/>
              </w:numPr>
              <w:tabs>
                <w:tab w:val="left" w:pos="0"/>
              </w:tabs>
              <w:snapToGrid w:val="0"/>
              <w:rPr>
                <w:rFonts w:asciiTheme="minorHAnsi" w:hAnsiTheme="minorHAnsi" w:cstheme="minorHAnsi"/>
                <w:szCs w:val="22"/>
              </w:rPr>
            </w:pPr>
            <w:r w:rsidRPr="0068094B">
              <w:rPr>
                <w:rFonts w:asciiTheme="minorHAnsi" w:hAnsiTheme="minorHAnsi" w:cstheme="minorHAnsi"/>
                <w:szCs w:val="22"/>
              </w:rPr>
              <w:t xml:space="preserve">past service cost </w:t>
            </w:r>
          </w:p>
        </w:tc>
        <w:tc>
          <w:tcPr>
            <w:tcW w:w="1843" w:type="dxa"/>
            <w:vAlign w:val="center"/>
          </w:tcPr>
          <w:p w:rsidR="0098080A" w:rsidRPr="0068094B" w:rsidRDefault="0098080A" w:rsidP="0093272A">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1,198</w:t>
            </w:r>
          </w:p>
        </w:tc>
        <w:tc>
          <w:tcPr>
            <w:tcW w:w="1741" w:type="dxa"/>
            <w:shd w:val="clear" w:color="auto" w:fill="D9D9D9" w:themeFill="background1" w:themeFillShade="D9"/>
            <w:vAlign w:val="center"/>
          </w:tcPr>
          <w:p w:rsidR="0098080A" w:rsidRPr="00D16CC2" w:rsidRDefault="00B35BC1" w:rsidP="0000487C">
            <w:pPr>
              <w:tabs>
                <w:tab w:val="left" w:pos="0"/>
              </w:tabs>
              <w:snapToGrid w:val="0"/>
              <w:jc w:val="right"/>
              <w:rPr>
                <w:rFonts w:asciiTheme="minorHAnsi" w:hAnsiTheme="minorHAnsi" w:cstheme="minorHAnsi"/>
                <w:sz w:val="22"/>
                <w:szCs w:val="22"/>
              </w:rPr>
            </w:pPr>
            <w:r w:rsidRPr="00B35BC1">
              <w:rPr>
                <w:rFonts w:asciiTheme="minorHAnsi" w:hAnsiTheme="minorHAnsi" w:cstheme="minorHAnsi"/>
                <w:sz w:val="22"/>
                <w:szCs w:val="22"/>
              </w:rPr>
              <w:t>123</w:t>
            </w:r>
          </w:p>
        </w:tc>
      </w:tr>
      <w:tr w:rsidR="0098080A" w:rsidRPr="0068094B" w:rsidTr="00363F77">
        <w:trPr>
          <w:trHeight w:val="292"/>
        </w:trPr>
        <w:tc>
          <w:tcPr>
            <w:tcW w:w="5211" w:type="dxa"/>
          </w:tcPr>
          <w:p w:rsidR="0098080A" w:rsidRPr="0068094B" w:rsidRDefault="0098080A" w:rsidP="007D7B32">
            <w:pPr>
              <w:pStyle w:val="ListParagraph"/>
              <w:numPr>
                <w:ilvl w:val="0"/>
                <w:numId w:val="33"/>
              </w:numPr>
              <w:tabs>
                <w:tab w:val="left" w:pos="0"/>
              </w:tabs>
              <w:snapToGrid w:val="0"/>
              <w:rPr>
                <w:rFonts w:asciiTheme="minorHAnsi" w:hAnsiTheme="minorHAnsi" w:cstheme="minorHAnsi"/>
                <w:szCs w:val="22"/>
              </w:rPr>
            </w:pPr>
            <w:r w:rsidRPr="0068094B">
              <w:rPr>
                <w:rFonts w:asciiTheme="minorHAnsi" w:hAnsiTheme="minorHAnsi" w:cstheme="minorHAnsi"/>
                <w:szCs w:val="22"/>
              </w:rPr>
              <w:t>(gain)/loss from settlements</w:t>
            </w:r>
          </w:p>
        </w:tc>
        <w:tc>
          <w:tcPr>
            <w:tcW w:w="1843" w:type="dxa"/>
            <w:vAlign w:val="center"/>
          </w:tcPr>
          <w:p w:rsidR="0098080A" w:rsidRPr="0068094B" w:rsidRDefault="0098080A" w:rsidP="0093272A">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(257)</w:t>
            </w:r>
          </w:p>
        </w:tc>
        <w:tc>
          <w:tcPr>
            <w:tcW w:w="1741" w:type="dxa"/>
            <w:shd w:val="clear" w:color="auto" w:fill="D9D9D9" w:themeFill="background1" w:themeFillShade="D9"/>
            <w:vAlign w:val="center"/>
          </w:tcPr>
          <w:p w:rsidR="0098080A" w:rsidRPr="00D16CC2" w:rsidRDefault="00681581" w:rsidP="00BA69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98080A" w:rsidRPr="0068094B" w:rsidTr="00363F77">
        <w:trPr>
          <w:trHeight w:val="448"/>
        </w:trPr>
        <w:tc>
          <w:tcPr>
            <w:tcW w:w="5211" w:type="dxa"/>
            <w:vAlign w:val="center"/>
          </w:tcPr>
          <w:p w:rsidR="0098080A" w:rsidRPr="0068094B" w:rsidRDefault="0098080A" w:rsidP="00424761">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 w:val="0"/>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sz w:val="22"/>
                <w:szCs w:val="22"/>
              </w:rPr>
              <w:t>:</w:t>
            </w:r>
          </w:p>
        </w:tc>
        <w:tc>
          <w:tcPr>
            <w:tcW w:w="1843" w:type="dxa"/>
            <w:vAlign w:val="center"/>
          </w:tcPr>
          <w:p w:rsidR="0098080A" w:rsidRPr="0068094B" w:rsidRDefault="0098080A" w:rsidP="0093272A">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vAlign w:val="center"/>
          </w:tcPr>
          <w:p w:rsidR="0098080A" w:rsidRPr="00D16CC2" w:rsidRDefault="0098080A" w:rsidP="00B939D2">
            <w:pPr>
              <w:tabs>
                <w:tab w:val="left" w:pos="0"/>
              </w:tabs>
              <w:snapToGrid w:val="0"/>
              <w:jc w:val="right"/>
              <w:rPr>
                <w:rFonts w:asciiTheme="minorHAnsi" w:hAnsiTheme="minorHAnsi" w:cstheme="minorHAnsi"/>
                <w:sz w:val="22"/>
                <w:szCs w:val="22"/>
              </w:rPr>
            </w:pPr>
          </w:p>
        </w:tc>
      </w:tr>
      <w:tr w:rsidR="0098080A" w:rsidRPr="0068094B" w:rsidTr="00363F77">
        <w:trPr>
          <w:trHeight w:val="323"/>
        </w:trPr>
        <w:tc>
          <w:tcPr>
            <w:tcW w:w="5211" w:type="dxa"/>
          </w:tcPr>
          <w:p w:rsidR="0098080A" w:rsidRPr="0068094B" w:rsidRDefault="0098080A" w:rsidP="007D3E85">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Net interest expense</w:t>
            </w:r>
          </w:p>
        </w:tc>
        <w:tc>
          <w:tcPr>
            <w:tcW w:w="1843" w:type="dxa"/>
            <w:tcBorders>
              <w:bottom w:val="single" w:sz="4" w:space="0" w:color="auto"/>
            </w:tcBorders>
            <w:vAlign w:val="center"/>
          </w:tcPr>
          <w:p w:rsidR="0098080A" w:rsidRPr="0068094B" w:rsidRDefault="0098080A" w:rsidP="0093272A">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(40)</w:t>
            </w:r>
          </w:p>
        </w:tc>
        <w:tc>
          <w:tcPr>
            <w:tcW w:w="1741" w:type="dxa"/>
            <w:tcBorders>
              <w:bottom w:val="single" w:sz="4" w:space="0" w:color="808080" w:themeColor="background1" w:themeShade="80"/>
            </w:tcBorders>
            <w:shd w:val="clear" w:color="auto" w:fill="D9D9D9" w:themeFill="background1" w:themeFillShade="D9"/>
            <w:vAlign w:val="center"/>
          </w:tcPr>
          <w:p w:rsidR="0098080A" w:rsidRPr="00D16CC2" w:rsidRDefault="00681581" w:rsidP="00BA69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198</w:t>
            </w:r>
          </w:p>
        </w:tc>
      </w:tr>
      <w:tr w:rsidR="0098080A" w:rsidRPr="0068094B" w:rsidTr="00363F77">
        <w:trPr>
          <w:trHeight w:val="454"/>
        </w:trPr>
        <w:tc>
          <w:tcPr>
            <w:tcW w:w="5211" w:type="dxa"/>
          </w:tcPr>
          <w:p w:rsidR="0098080A" w:rsidRPr="0068094B" w:rsidRDefault="0098080A" w:rsidP="000307B3">
            <w:pPr>
              <w:pStyle w:val="xl33"/>
              <w:widowControl w:val="0"/>
              <w:tabs>
                <w:tab w:val="left" w:pos="0"/>
              </w:tabs>
              <w:snapToGrid w:val="0"/>
              <w:spacing w:before="0" w:after="0"/>
              <w:rPr>
                <w:rFonts w:asciiTheme="minorHAnsi" w:hAnsiTheme="minorHAnsi" w:cstheme="minorHAnsi"/>
                <w:sz w:val="22"/>
                <w:szCs w:val="22"/>
              </w:rPr>
            </w:pPr>
            <w:r w:rsidRPr="0068094B">
              <w:rPr>
                <w:rFonts w:asciiTheme="minorHAnsi" w:hAnsiTheme="minorHAnsi" w:cstheme="minorHAnsi"/>
                <w:sz w:val="22"/>
                <w:szCs w:val="22"/>
              </w:rPr>
              <w:t>Total Post Employment Benefit Charged to the Surplus or Deficit on the Provision of Services (reversed in the Movement in reserves statement)</w:t>
            </w:r>
          </w:p>
        </w:tc>
        <w:tc>
          <w:tcPr>
            <w:tcW w:w="1843" w:type="dxa"/>
            <w:tcBorders>
              <w:top w:val="single" w:sz="4" w:space="0" w:color="auto"/>
              <w:bottom w:val="double" w:sz="4" w:space="0" w:color="auto"/>
            </w:tcBorders>
            <w:vAlign w:val="center"/>
          </w:tcPr>
          <w:p w:rsidR="0098080A" w:rsidRPr="0068094B" w:rsidRDefault="0098080A" w:rsidP="002E1383">
            <w:pPr>
              <w:pStyle w:val="xl44"/>
              <w:widowControl w:val="0"/>
              <w:tabs>
                <w:tab w:val="left" w:pos="0"/>
              </w:tabs>
              <w:snapToGrid w:val="0"/>
              <w:spacing w:before="0" w:after="0"/>
              <w:rPr>
                <w:rFonts w:asciiTheme="minorHAnsi" w:hAnsiTheme="minorHAnsi" w:cstheme="minorHAnsi"/>
                <w:b/>
                <w:sz w:val="22"/>
                <w:szCs w:val="22"/>
              </w:rPr>
            </w:pPr>
            <w:r w:rsidRPr="00D16CC2">
              <w:rPr>
                <w:rFonts w:asciiTheme="minorHAnsi" w:hAnsiTheme="minorHAnsi" w:cstheme="minorHAnsi"/>
                <w:b/>
                <w:sz w:val="22"/>
                <w:szCs w:val="22"/>
              </w:rPr>
              <w:t>6,178</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rsidR="0098080A" w:rsidRPr="00D16CC2" w:rsidRDefault="00681581" w:rsidP="00B35BC1">
            <w:pPr>
              <w:pStyle w:val="xl44"/>
              <w:widowControl w:val="0"/>
              <w:tabs>
                <w:tab w:val="left" w:pos="0"/>
              </w:tabs>
              <w:snapToGrid w:val="0"/>
              <w:spacing w:before="0" w:after="0"/>
              <w:rPr>
                <w:rFonts w:asciiTheme="minorHAnsi" w:hAnsiTheme="minorHAnsi" w:cstheme="minorHAnsi"/>
                <w:b/>
                <w:sz w:val="22"/>
                <w:szCs w:val="22"/>
              </w:rPr>
            </w:pPr>
            <w:r w:rsidRPr="003C52A9">
              <w:rPr>
                <w:rFonts w:asciiTheme="minorHAnsi" w:hAnsiTheme="minorHAnsi" w:cstheme="minorHAnsi"/>
                <w:b/>
                <w:sz w:val="22"/>
                <w:szCs w:val="22"/>
              </w:rPr>
              <w:t>6,</w:t>
            </w:r>
            <w:r w:rsidR="00B35BC1" w:rsidRPr="003C52A9">
              <w:rPr>
                <w:rFonts w:asciiTheme="minorHAnsi" w:hAnsiTheme="minorHAnsi" w:cstheme="minorHAnsi"/>
                <w:b/>
                <w:sz w:val="22"/>
                <w:szCs w:val="22"/>
              </w:rPr>
              <w:t>744</w:t>
            </w:r>
          </w:p>
        </w:tc>
      </w:tr>
      <w:tr w:rsidR="0098080A" w:rsidRPr="0068094B" w:rsidTr="00424761">
        <w:trPr>
          <w:trHeight w:val="568"/>
        </w:trPr>
        <w:tc>
          <w:tcPr>
            <w:tcW w:w="5211" w:type="dxa"/>
            <w:vAlign w:val="center"/>
          </w:tcPr>
          <w:p w:rsidR="0098080A" w:rsidRPr="0068094B" w:rsidRDefault="0098080A" w:rsidP="00424761">
            <w:pPr>
              <w:tabs>
                <w:tab w:val="left" w:pos="0"/>
              </w:tabs>
              <w:snapToGrid w:val="0"/>
              <w:rPr>
                <w:rFonts w:asciiTheme="minorHAnsi" w:hAnsiTheme="minorHAnsi" w:cstheme="minorHAnsi"/>
                <w:sz w:val="22"/>
                <w:szCs w:val="22"/>
                <w:vertAlign w:val="subscript"/>
              </w:rPr>
            </w:pPr>
          </w:p>
        </w:tc>
        <w:tc>
          <w:tcPr>
            <w:tcW w:w="3584" w:type="dxa"/>
            <w:gridSpan w:val="2"/>
            <w:vAlign w:val="center"/>
          </w:tcPr>
          <w:p w:rsidR="0098080A" w:rsidRPr="0068094B" w:rsidRDefault="0098080A" w:rsidP="002E1383">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p>
        </w:tc>
      </w:tr>
      <w:tr w:rsidR="0098080A" w:rsidRPr="0068094B" w:rsidTr="00424761">
        <w:trPr>
          <w:trHeight w:val="568"/>
        </w:trPr>
        <w:tc>
          <w:tcPr>
            <w:tcW w:w="5211" w:type="dxa"/>
            <w:vAlign w:val="center"/>
          </w:tcPr>
          <w:p w:rsidR="0098080A" w:rsidRPr="0068094B" w:rsidRDefault="0098080A" w:rsidP="00424761">
            <w:pPr>
              <w:tabs>
                <w:tab w:val="left" w:pos="0"/>
              </w:tabs>
              <w:snapToGrid w:val="0"/>
              <w:rPr>
                <w:rFonts w:asciiTheme="minorHAnsi" w:hAnsiTheme="minorHAnsi" w:cstheme="minorHAnsi"/>
                <w:color w:val="FF0000"/>
                <w:sz w:val="22"/>
                <w:szCs w:val="22"/>
                <w:highlight w:val="lightGray"/>
                <w:lang w:val="en-US"/>
              </w:rPr>
            </w:pPr>
            <w:r w:rsidRPr="0068094B">
              <w:rPr>
                <w:rFonts w:asciiTheme="minorHAnsi" w:hAnsiTheme="minorHAnsi" w:cstheme="minorHAnsi"/>
                <w:sz w:val="22"/>
                <w:szCs w:val="22"/>
              </w:rPr>
              <w:lastRenderedPageBreak/>
              <w:t>Remeasurement of the net defined benefit liability comprising:</w:t>
            </w:r>
          </w:p>
        </w:tc>
        <w:tc>
          <w:tcPr>
            <w:tcW w:w="3584" w:type="dxa"/>
            <w:gridSpan w:val="2"/>
            <w:vAlign w:val="center"/>
          </w:tcPr>
          <w:p w:rsidR="0098080A" w:rsidRPr="0068094B" w:rsidRDefault="0098080A" w:rsidP="002E1383">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p>
        </w:tc>
      </w:tr>
      <w:tr w:rsidR="0098080A" w:rsidRPr="00B35BC1" w:rsidTr="00363F77">
        <w:trPr>
          <w:trHeight w:val="471"/>
        </w:trPr>
        <w:tc>
          <w:tcPr>
            <w:tcW w:w="5211" w:type="dxa"/>
          </w:tcPr>
          <w:p w:rsidR="0098080A" w:rsidRPr="0068094B" w:rsidRDefault="0098080A" w:rsidP="007D7B32">
            <w:pPr>
              <w:pStyle w:val="xl33"/>
              <w:widowControl w:val="0"/>
              <w:numPr>
                <w:ilvl w:val="0"/>
                <w:numId w:val="33"/>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Return on plan assets (excluding the amount included in the net interest expense)</w:t>
            </w:r>
          </w:p>
        </w:tc>
        <w:tc>
          <w:tcPr>
            <w:tcW w:w="1843" w:type="dxa"/>
            <w:vAlign w:val="center"/>
          </w:tcPr>
          <w:p w:rsidR="0098080A" w:rsidRPr="0068094B" w:rsidRDefault="0098080A" w:rsidP="002E1383">
            <w:pPr>
              <w:pStyle w:val="xl44"/>
              <w:widowControl w:val="0"/>
              <w:tabs>
                <w:tab w:val="left" w:pos="0"/>
              </w:tabs>
              <w:snapToGrid w:val="0"/>
              <w:spacing w:before="0" w:after="0"/>
              <w:rPr>
                <w:rFonts w:asciiTheme="minorHAnsi" w:eastAsia="Times New Roman" w:hAnsiTheme="minorHAnsi" w:cstheme="minorHAnsi"/>
                <w:sz w:val="22"/>
                <w:szCs w:val="22"/>
              </w:rPr>
            </w:pPr>
            <w:r w:rsidRPr="00D16CC2">
              <w:rPr>
                <w:rFonts w:asciiTheme="minorHAnsi" w:eastAsia="Times New Roman" w:hAnsiTheme="minorHAnsi" w:cstheme="minorHAnsi"/>
                <w:sz w:val="22"/>
                <w:szCs w:val="22"/>
              </w:rPr>
              <w:t>(7,667)</w:t>
            </w:r>
          </w:p>
        </w:tc>
        <w:tc>
          <w:tcPr>
            <w:tcW w:w="1741" w:type="dxa"/>
            <w:shd w:val="clear" w:color="auto" w:fill="D9D9D9" w:themeFill="background1" w:themeFillShade="D9"/>
            <w:vAlign w:val="center"/>
          </w:tcPr>
          <w:p w:rsidR="0098080A" w:rsidRPr="00B35BC1" w:rsidRDefault="0000487C" w:rsidP="0000487C">
            <w:pPr>
              <w:pStyle w:val="xl44"/>
              <w:widowControl w:val="0"/>
              <w:tabs>
                <w:tab w:val="left" w:pos="0"/>
              </w:tabs>
              <w:snapToGrid w:val="0"/>
              <w:spacing w:before="0" w:after="0"/>
              <w:rPr>
                <w:rFonts w:asciiTheme="minorHAnsi" w:eastAsia="Times New Roman" w:hAnsiTheme="minorHAnsi" w:cstheme="minorHAnsi"/>
                <w:sz w:val="22"/>
                <w:szCs w:val="22"/>
              </w:rPr>
            </w:pPr>
            <w:r w:rsidRPr="00B35BC1">
              <w:rPr>
                <w:rFonts w:asciiTheme="minorHAnsi" w:eastAsia="Times New Roman" w:hAnsiTheme="minorHAnsi" w:cstheme="minorHAnsi"/>
                <w:sz w:val="22"/>
                <w:szCs w:val="22"/>
              </w:rPr>
              <w:t>9</w:t>
            </w:r>
            <w:r w:rsidR="008F1B4E" w:rsidRPr="00B35BC1">
              <w:rPr>
                <w:rFonts w:asciiTheme="minorHAnsi" w:eastAsia="Times New Roman" w:hAnsiTheme="minorHAnsi" w:cstheme="minorHAnsi"/>
                <w:sz w:val="22"/>
                <w:szCs w:val="22"/>
              </w:rPr>
              <w:t>,</w:t>
            </w:r>
            <w:r w:rsidRPr="00B35BC1">
              <w:rPr>
                <w:rFonts w:asciiTheme="minorHAnsi" w:eastAsia="Times New Roman" w:hAnsiTheme="minorHAnsi" w:cstheme="minorHAnsi"/>
                <w:sz w:val="22"/>
                <w:szCs w:val="22"/>
              </w:rPr>
              <w:t>454</w:t>
            </w:r>
          </w:p>
        </w:tc>
      </w:tr>
      <w:tr w:rsidR="0098080A" w:rsidRPr="0068094B" w:rsidTr="00363F77">
        <w:trPr>
          <w:trHeight w:val="471"/>
        </w:trPr>
        <w:tc>
          <w:tcPr>
            <w:tcW w:w="5211" w:type="dxa"/>
          </w:tcPr>
          <w:p w:rsidR="0098080A" w:rsidRPr="0068094B" w:rsidRDefault="0098080A" w:rsidP="007D7B32">
            <w:pPr>
              <w:pStyle w:val="xl33"/>
              <w:widowControl w:val="0"/>
              <w:numPr>
                <w:ilvl w:val="0"/>
                <w:numId w:val="33"/>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 and losses arising on changes in demographic assumptions</w:t>
            </w:r>
          </w:p>
        </w:tc>
        <w:tc>
          <w:tcPr>
            <w:tcW w:w="1843" w:type="dxa"/>
            <w:vAlign w:val="center"/>
          </w:tcPr>
          <w:p w:rsidR="0098080A" w:rsidRPr="0068094B" w:rsidRDefault="0098080A" w:rsidP="002E1383">
            <w:pPr>
              <w:pStyle w:val="xl44"/>
              <w:widowControl w:val="0"/>
              <w:tabs>
                <w:tab w:val="left" w:pos="0"/>
              </w:tabs>
              <w:snapToGrid w:val="0"/>
              <w:spacing w:before="0" w:after="0"/>
              <w:rPr>
                <w:rFonts w:asciiTheme="minorHAnsi" w:eastAsia="Times New Roman" w:hAnsiTheme="minorHAnsi" w:cstheme="minorHAnsi"/>
                <w:sz w:val="22"/>
                <w:szCs w:val="22"/>
              </w:rPr>
            </w:pPr>
            <w:r w:rsidRPr="00D16CC2">
              <w:rPr>
                <w:rFonts w:asciiTheme="minorHAnsi" w:eastAsia="Times New Roman" w:hAnsiTheme="minorHAnsi" w:cstheme="minorHAnsi"/>
                <w:sz w:val="22"/>
                <w:szCs w:val="22"/>
              </w:rPr>
              <w:t>0</w:t>
            </w:r>
          </w:p>
        </w:tc>
        <w:tc>
          <w:tcPr>
            <w:tcW w:w="1741" w:type="dxa"/>
            <w:shd w:val="clear" w:color="auto" w:fill="D9D9D9" w:themeFill="background1" w:themeFillShade="D9"/>
            <w:vAlign w:val="center"/>
          </w:tcPr>
          <w:p w:rsidR="0098080A" w:rsidRPr="00D16CC2" w:rsidRDefault="008F1B4E" w:rsidP="00B939D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(9,205)</w:t>
            </w:r>
          </w:p>
        </w:tc>
      </w:tr>
      <w:tr w:rsidR="0098080A" w:rsidRPr="0068094B" w:rsidTr="00363F77">
        <w:trPr>
          <w:trHeight w:val="471"/>
        </w:trPr>
        <w:tc>
          <w:tcPr>
            <w:tcW w:w="5211" w:type="dxa"/>
          </w:tcPr>
          <w:p w:rsidR="0098080A" w:rsidRPr="0068094B" w:rsidRDefault="0098080A" w:rsidP="007D7B32">
            <w:pPr>
              <w:pStyle w:val="xl33"/>
              <w:widowControl w:val="0"/>
              <w:numPr>
                <w:ilvl w:val="0"/>
                <w:numId w:val="33"/>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 and losses arising on changes in financial assumptions</w:t>
            </w:r>
          </w:p>
        </w:tc>
        <w:tc>
          <w:tcPr>
            <w:tcW w:w="1843" w:type="dxa"/>
            <w:vAlign w:val="center"/>
          </w:tcPr>
          <w:p w:rsidR="0098080A" w:rsidRPr="0068094B" w:rsidRDefault="0098080A" w:rsidP="00B8138A">
            <w:pPr>
              <w:pStyle w:val="xl44"/>
              <w:widowControl w:val="0"/>
              <w:tabs>
                <w:tab w:val="left" w:pos="0"/>
              </w:tabs>
              <w:snapToGrid w:val="0"/>
              <w:spacing w:before="0" w:after="0"/>
              <w:rPr>
                <w:rFonts w:asciiTheme="minorHAnsi" w:eastAsia="Times New Roman" w:hAnsiTheme="minorHAnsi" w:cstheme="minorHAnsi"/>
                <w:sz w:val="22"/>
                <w:szCs w:val="22"/>
              </w:rPr>
            </w:pPr>
            <w:r w:rsidRPr="00D16CC2">
              <w:rPr>
                <w:rFonts w:asciiTheme="minorHAnsi" w:eastAsia="Times New Roman" w:hAnsiTheme="minorHAnsi" w:cstheme="minorHAnsi"/>
                <w:sz w:val="22"/>
                <w:szCs w:val="22"/>
              </w:rPr>
              <w:t>14,109</w:t>
            </w:r>
          </w:p>
        </w:tc>
        <w:tc>
          <w:tcPr>
            <w:tcW w:w="1741" w:type="dxa"/>
            <w:shd w:val="clear" w:color="auto" w:fill="D9D9D9" w:themeFill="background1" w:themeFillShade="D9"/>
            <w:vAlign w:val="center"/>
          </w:tcPr>
          <w:p w:rsidR="0098080A" w:rsidRPr="003C52A9" w:rsidRDefault="008F1B4E" w:rsidP="00B35BC1">
            <w:pPr>
              <w:pStyle w:val="xl44"/>
              <w:widowControl w:val="0"/>
              <w:tabs>
                <w:tab w:val="left" w:pos="0"/>
              </w:tabs>
              <w:snapToGrid w:val="0"/>
              <w:spacing w:before="0" w:after="0"/>
              <w:rPr>
                <w:rFonts w:asciiTheme="minorHAnsi" w:eastAsia="Times New Roman" w:hAnsiTheme="minorHAnsi" w:cstheme="minorHAnsi"/>
                <w:sz w:val="22"/>
                <w:szCs w:val="22"/>
              </w:rPr>
            </w:pPr>
            <w:r w:rsidRPr="003C52A9">
              <w:rPr>
                <w:rFonts w:asciiTheme="minorHAnsi" w:eastAsia="Times New Roman" w:hAnsiTheme="minorHAnsi" w:cstheme="minorHAnsi"/>
                <w:sz w:val="22"/>
                <w:szCs w:val="22"/>
              </w:rPr>
              <w:t>(16,</w:t>
            </w:r>
            <w:r w:rsidR="00B35BC1" w:rsidRPr="003C52A9">
              <w:rPr>
                <w:rFonts w:asciiTheme="minorHAnsi" w:eastAsia="Times New Roman" w:hAnsiTheme="minorHAnsi" w:cstheme="minorHAnsi"/>
                <w:sz w:val="22"/>
                <w:szCs w:val="22"/>
              </w:rPr>
              <w:t>907</w:t>
            </w:r>
            <w:r w:rsidRPr="003C52A9">
              <w:rPr>
                <w:rFonts w:asciiTheme="minorHAnsi" w:eastAsia="Times New Roman" w:hAnsiTheme="minorHAnsi" w:cstheme="minorHAnsi"/>
                <w:sz w:val="22"/>
                <w:szCs w:val="22"/>
              </w:rPr>
              <w:t>)</w:t>
            </w:r>
          </w:p>
        </w:tc>
      </w:tr>
      <w:tr w:rsidR="0098080A" w:rsidRPr="0068094B" w:rsidTr="00A317C3">
        <w:trPr>
          <w:trHeight w:val="283"/>
        </w:trPr>
        <w:tc>
          <w:tcPr>
            <w:tcW w:w="5211" w:type="dxa"/>
            <w:vAlign w:val="center"/>
          </w:tcPr>
          <w:p w:rsidR="0098080A" w:rsidRPr="0068094B" w:rsidRDefault="0098080A" w:rsidP="007D7B32">
            <w:pPr>
              <w:pStyle w:val="xl33"/>
              <w:widowControl w:val="0"/>
              <w:numPr>
                <w:ilvl w:val="0"/>
                <w:numId w:val="33"/>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Other experience (gains) or losses</w:t>
            </w:r>
          </w:p>
        </w:tc>
        <w:tc>
          <w:tcPr>
            <w:tcW w:w="1843" w:type="dxa"/>
            <w:tcBorders>
              <w:bottom w:val="single" w:sz="4" w:space="0" w:color="auto"/>
            </w:tcBorders>
            <w:vAlign w:val="center"/>
          </w:tcPr>
          <w:p w:rsidR="0098080A" w:rsidRPr="0068094B" w:rsidRDefault="0098080A" w:rsidP="00B8138A">
            <w:pPr>
              <w:pStyle w:val="xl44"/>
              <w:widowControl w:val="0"/>
              <w:tabs>
                <w:tab w:val="left" w:pos="0"/>
              </w:tabs>
              <w:snapToGrid w:val="0"/>
              <w:spacing w:before="0" w:after="0"/>
              <w:rPr>
                <w:rFonts w:asciiTheme="minorHAnsi" w:eastAsia="Times New Roman" w:hAnsiTheme="minorHAnsi" w:cstheme="minorHAnsi"/>
                <w:sz w:val="22"/>
                <w:szCs w:val="22"/>
              </w:rPr>
            </w:pPr>
            <w:r w:rsidRPr="00D16CC2">
              <w:rPr>
                <w:rFonts w:asciiTheme="minorHAnsi" w:eastAsia="Times New Roman" w:hAnsiTheme="minorHAnsi" w:cstheme="minorHAnsi"/>
                <w:sz w:val="22"/>
                <w:szCs w:val="22"/>
              </w:rPr>
              <w:t>0</w:t>
            </w:r>
          </w:p>
        </w:tc>
        <w:tc>
          <w:tcPr>
            <w:tcW w:w="1741" w:type="dxa"/>
            <w:tcBorders>
              <w:bottom w:val="single" w:sz="4" w:space="0" w:color="808080" w:themeColor="background1" w:themeShade="80"/>
            </w:tcBorders>
            <w:shd w:val="clear" w:color="auto" w:fill="D9D9D9" w:themeFill="background1" w:themeFillShade="D9"/>
            <w:vAlign w:val="center"/>
          </w:tcPr>
          <w:p w:rsidR="0098080A" w:rsidRPr="003C52A9" w:rsidRDefault="008F1B4E" w:rsidP="00B939D2">
            <w:pPr>
              <w:pStyle w:val="xl44"/>
              <w:widowControl w:val="0"/>
              <w:tabs>
                <w:tab w:val="left" w:pos="0"/>
              </w:tabs>
              <w:snapToGrid w:val="0"/>
              <w:spacing w:before="0" w:after="0"/>
              <w:rPr>
                <w:rFonts w:asciiTheme="minorHAnsi" w:eastAsia="Times New Roman" w:hAnsiTheme="minorHAnsi" w:cstheme="minorHAnsi"/>
                <w:sz w:val="22"/>
                <w:szCs w:val="22"/>
              </w:rPr>
            </w:pPr>
            <w:r w:rsidRPr="003C52A9">
              <w:rPr>
                <w:rFonts w:asciiTheme="minorHAnsi" w:eastAsia="Times New Roman" w:hAnsiTheme="minorHAnsi" w:cstheme="minorHAnsi"/>
                <w:sz w:val="22"/>
                <w:szCs w:val="22"/>
              </w:rPr>
              <w:t>(14,326)</w:t>
            </w:r>
          </w:p>
        </w:tc>
      </w:tr>
      <w:tr w:rsidR="0098080A" w:rsidRPr="0068094B" w:rsidTr="00363F77">
        <w:trPr>
          <w:trHeight w:val="246"/>
        </w:trPr>
        <w:tc>
          <w:tcPr>
            <w:tcW w:w="5211" w:type="dxa"/>
          </w:tcPr>
          <w:p w:rsidR="0098080A" w:rsidRPr="0068094B" w:rsidRDefault="0098080A" w:rsidP="003E2B1E">
            <w:pPr>
              <w:pStyle w:val="xl33"/>
              <w:widowControl w:val="0"/>
              <w:tabs>
                <w:tab w:val="left" w:pos="0"/>
              </w:tabs>
              <w:snapToGrid w:val="0"/>
              <w:spacing w:before="0" w:after="0"/>
              <w:rPr>
                <w:rFonts w:asciiTheme="minorHAnsi" w:eastAsia="Times New Roman" w:hAnsiTheme="minorHAnsi" w:cstheme="minorHAnsi"/>
                <w:bCs w:val="0"/>
                <w:sz w:val="22"/>
                <w:szCs w:val="22"/>
                <w:lang w:val="en-US"/>
              </w:rPr>
            </w:pPr>
            <w:r w:rsidRPr="0068094B">
              <w:rPr>
                <w:rFonts w:asciiTheme="minorHAnsi" w:eastAsia="Times New Roman" w:hAnsiTheme="minorHAnsi" w:cstheme="minorHAnsi"/>
                <w:bCs w:val="0"/>
                <w:sz w:val="22"/>
                <w:szCs w:val="22"/>
                <w:lang w:val="en-US"/>
              </w:rPr>
              <w:t>Total Post-Employment Benefits charged to the Comprehensive Income and Expenditure Statement</w:t>
            </w:r>
          </w:p>
        </w:tc>
        <w:tc>
          <w:tcPr>
            <w:tcW w:w="1843" w:type="dxa"/>
            <w:tcBorders>
              <w:top w:val="single" w:sz="4" w:space="0" w:color="auto"/>
              <w:bottom w:val="double" w:sz="4" w:space="0" w:color="auto"/>
            </w:tcBorders>
            <w:vAlign w:val="center"/>
          </w:tcPr>
          <w:p w:rsidR="0098080A" w:rsidRPr="0068094B" w:rsidRDefault="0098080A" w:rsidP="002E1383">
            <w:pPr>
              <w:tabs>
                <w:tab w:val="left" w:pos="0"/>
              </w:tabs>
              <w:snapToGrid w:val="0"/>
              <w:jc w:val="right"/>
              <w:rPr>
                <w:rFonts w:asciiTheme="minorHAnsi" w:hAnsiTheme="minorHAnsi" w:cstheme="minorHAnsi"/>
                <w:b/>
                <w:sz w:val="22"/>
                <w:szCs w:val="22"/>
              </w:rPr>
            </w:pPr>
            <w:r w:rsidRPr="00D16CC2">
              <w:rPr>
                <w:rFonts w:asciiTheme="minorHAnsi" w:hAnsiTheme="minorHAnsi" w:cstheme="minorHAnsi"/>
                <w:b/>
                <w:sz w:val="22"/>
                <w:szCs w:val="22"/>
              </w:rPr>
              <w:t>6,442</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rsidR="0098080A" w:rsidRPr="003C52A9" w:rsidRDefault="008F1B4E" w:rsidP="00B35BC1">
            <w:pPr>
              <w:tabs>
                <w:tab w:val="left" w:pos="0"/>
              </w:tabs>
              <w:snapToGrid w:val="0"/>
              <w:jc w:val="right"/>
              <w:rPr>
                <w:rFonts w:asciiTheme="minorHAnsi" w:hAnsiTheme="minorHAnsi" w:cstheme="minorHAnsi"/>
                <w:b/>
                <w:sz w:val="22"/>
                <w:szCs w:val="22"/>
              </w:rPr>
            </w:pPr>
            <w:r w:rsidRPr="003C52A9">
              <w:rPr>
                <w:rFonts w:asciiTheme="minorHAnsi" w:hAnsiTheme="minorHAnsi" w:cstheme="minorHAnsi"/>
                <w:b/>
                <w:sz w:val="22"/>
                <w:szCs w:val="22"/>
              </w:rPr>
              <w:t>(30,</w:t>
            </w:r>
            <w:r w:rsidR="00B35BC1" w:rsidRPr="003C52A9">
              <w:rPr>
                <w:rFonts w:asciiTheme="minorHAnsi" w:hAnsiTheme="minorHAnsi" w:cstheme="minorHAnsi"/>
                <w:b/>
                <w:sz w:val="22"/>
                <w:szCs w:val="22"/>
              </w:rPr>
              <w:t>984)</w:t>
            </w:r>
          </w:p>
        </w:tc>
      </w:tr>
      <w:tr w:rsidR="0098080A" w:rsidRPr="0068094B" w:rsidTr="00424761">
        <w:trPr>
          <w:trHeight w:val="541"/>
        </w:trPr>
        <w:tc>
          <w:tcPr>
            <w:tcW w:w="5211" w:type="dxa"/>
            <w:vAlign w:val="center"/>
          </w:tcPr>
          <w:p w:rsidR="0098080A" w:rsidRPr="0068094B" w:rsidRDefault="0098080A" w:rsidP="00424761">
            <w:pPr>
              <w:tabs>
                <w:tab w:val="left" w:pos="0"/>
              </w:tabs>
              <w:snapToGrid w:val="0"/>
              <w:rPr>
                <w:rFonts w:asciiTheme="minorHAnsi" w:hAnsiTheme="minorHAnsi" w:cstheme="minorHAnsi"/>
                <w:b/>
                <w:bCs/>
                <w:sz w:val="22"/>
                <w:szCs w:val="22"/>
              </w:rPr>
            </w:pPr>
          </w:p>
          <w:p w:rsidR="0098080A" w:rsidRPr="0068094B" w:rsidRDefault="0098080A" w:rsidP="00424761">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Actual amount charged against the General Fund Balance for Pensions in the Year:</w:t>
            </w:r>
          </w:p>
        </w:tc>
        <w:tc>
          <w:tcPr>
            <w:tcW w:w="3584" w:type="dxa"/>
            <w:gridSpan w:val="2"/>
            <w:vAlign w:val="center"/>
          </w:tcPr>
          <w:p w:rsidR="0098080A" w:rsidRPr="0068094B" w:rsidRDefault="0098080A" w:rsidP="002E1383">
            <w:pPr>
              <w:pStyle w:val="xl44"/>
              <w:widowControl w:val="0"/>
              <w:tabs>
                <w:tab w:val="left" w:pos="0"/>
              </w:tabs>
              <w:snapToGrid w:val="0"/>
              <w:spacing w:before="0" w:after="0"/>
              <w:rPr>
                <w:rFonts w:asciiTheme="minorHAnsi" w:eastAsia="Times New Roman" w:hAnsiTheme="minorHAnsi" w:cstheme="minorHAnsi"/>
                <w:b/>
                <w:color w:val="808080" w:themeColor="background1" w:themeShade="80"/>
                <w:sz w:val="22"/>
                <w:szCs w:val="22"/>
              </w:rPr>
            </w:pPr>
          </w:p>
        </w:tc>
      </w:tr>
      <w:tr w:rsidR="0098080A" w:rsidRPr="0068094B" w:rsidTr="00363F77">
        <w:trPr>
          <w:trHeight w:val="418"/>
        </w:trPr>
        <w:tc>
          <w:tcPr>
            <w:tcW w:w="5211" w:type="dxa"/>
            <w:vAlign w:val="center"/>
          </w:tcPr>
          <w:p w:rsidR="0098080A" w:rsidRPr="0068094B" w:rsidRDefault="0098080A" w:rsidP="00B8138A">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Employers contributions payable to scheme</w:t>
            </w:r>
          </w:p>
        </w:tc>
        <w:tc>
          <w:tcPr>
            <w:tcW w:w="1843" w:type="dxa"/>
            <w:vAlign w:val="center"/>
          </w:tcPr>
          <w:p w:rsidR="0098080A" w:rsidRPr="0068094B" w:rsidRDefault="0098080A" w:rsidP="0098080A">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r w:rsidRPr="0068094B">
              <w:rPr>
                <w:rFonts w:asciiTheme="minorHAnsi" w:eastAsia="Times New Roman" w:hAnsiTheme="minorHAnsi" w:cstheme="minorHAnsi"/>
                <w:sz w:val="22"/>
                <w:szCs w:val="22"/>
              </w:rPr>
              <w:t>2,</w:t>
            </w:r>
            <w:r>
              <w:rPr>
                <w:rFonts w:asciiTheme="minorHAnsi" w:eastAsia="Times New Roman" w:hAnsiTheme="minorHAnsi" w:cstheme="minorHAnsi"/>
                <w:sz w:val="22"/>
                <w:szCs w:val="22"/>
              </w:rPr>
              <w:t>770</w:t>
            </w:r>
          </w:p>
        </w:tc>
        <w:tc>
          <w:tcPr>
            <w:tcW w:w="1741" w:type="dxa"/>
            <w:shd w:val="clear" w:color="auto" w:fill="D9D9D9" w:themeFill="background1" w:themeFillShade="D9"/>
            <w:vAlign w:val="center"/>
          </w:tcPr>
          <w:p w:rsidR="0098080A" w:rsidRPr="0068094B" w:rsidRDefault="008E1E8E" w:rsidP="0028119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3,195</w:t>
            </w:r>
          </w:p>
        </w:tc>
      </w:tr>
    </w:tbl>
    <w:p w:rsidR="006A112C" w:rsidRPr="0068094B" w:rsidRDefault="006A112C" w:rsidP="002860DF">
      <w:pPr>
        <w:tabs>
          <w:tab w:val="left" w:pos="0"/>
        </w:tabs>
        <w:snapToGrid w:val="0"/>
        <w:jc w:val="both"/>
        <w:rPr>
          <w:rFonts w:asciiTheme="minorHAnsi" w:hAnsiTheme="minorHAnsi" w:cstheme="minorHAnsi"/>
          <w:bCs/>
          <w:sz w:val="22"/>
          <w:szCs w:val="22"/>
          <w:lang w:val="en-US"/>
        </w:rPr>
      </w:pPr>
      <w:r w:rsidRPr="0068094B">
        <w:rPr>
          <w:rFonts w:asciiTheme="minorHAnsi" w:hAnsiTheme="minorHAnsi" w:cstheme="minorHAnsi"/>
          <w:bCs/>
          <w:sz w:val="22"/>
          <w:szCs w:val="22"/>
          <w:lang w:val="en-US"/>
        </w:rPr>
        <w:t>The amount included in the Balance sheet arising from the authority’s obligation in respect of its defined benefit plan is as follows:</w:t>
      </w:r>
    </w:p>
    <w:p w:rsidR="006A112C" w:rsidRPr="0068094B" w:rsidRDefault="006A112C" w:rsidP="002860DF">
      <w:pPr>
        <w:tabs>
          <w:tab w:val="left" w:pos="0"/>
        </w:tabs>
        <w:snapToGrid w:val="0"/>
        <w:jc w:val="both"/>
        <w:rPr>
          <w:rFonts w:asciiTheme="minorHAnsi" w:hAnsiTheme="minorHAnsi" w:cstheme="minorHAnsi"/>
          <w:b/>
          <w:bCs/>
          <w:sz w:val="22"/>
          <w:szCs w:val="22"/>
          <w:lang w:val="en-US"/>
        </w:rPr>
      </w:pPr>
    </w:p>
    <w:p w:rsidR="00D652D0" w:rsidRPr="0068094B" w:rsidRDefault="00D652D0" w:rsidP="002860DF">
      <w:pPr>
        <w:tabs>
          <w:tab w:val="left" w:pos="0"/>
        </w:tabs>
        <w:snapToGrid w:val="0"/>
        <w:jc w:val="both"/>
        <w:rPr>
          <w:rFonts w:asciiTheme="minorHAnsi" w:hAnsiTheme="minorHAnsi" w:cstheme="minorHAnsi"/>
          <w:bCs/>
          <w:sz w:val="22"/>
          <w:szCs w:val="22"/>
          <w:lang w:val="en-US"/>
        </w:rPr>
      </w:pPr>
      <w:r w:rsidRPr="0068094B">
        <w:rPr>
          <w:rFonts w:asciiTheme="minorHAnsi" w:hAnsiTheme="minorHAnsi" w:cstheme="minorHAnsi"/>
          <w:b/>
          <w:bCs/>
          <w:sz w:val="22"/>
          <w:szCs w:val="22"/>
          <w:lang w:val="en-US"/>
        </w:rPr>
        <w:t>Movements in the Fair Value of Scheme Assets</w:t>
      </w:r>
    </w:p>
    <w:tbl>
      <w:tblPr>
        <w:tblW w:w="0" w:type="auto"/>
        <w:tblInd w:w="108" w:type="dxa"/>
        <w:tblLayout w:type="fixed"/>
        <w:tblLook w:val="0000" w:firstRow="0" w:lastRow="0" w:firstColumn="0" w:lastColumn="0" w:noHBand="0" w:noVBand="0"/>
      </w:tblPr>
      <w:tblGrid>
        <w:gridCol w:w="5103"/>
        <w:gridCol w:w="1843"/>
        <w:gridCol w:w="1843"/>
      </w:tblGrid>
      <w:tr w:rsidR="009A08A8" w:rsidRPr="0068094B" w:rsidTr="008319EE">
        <w:trPr>
          <w:trHeight w:val="391"/>
        </w:trPr>
        <w:tc>
          <w:tcPr>
            <w:tcW w:w="5103" w:type="dxa"/>
            <w:vAlign w:val="center"/>
          </w:tcPr>
          <w:p w:rsidR="009A08A8" w:rsidRPr="0068094B" w:rsidRDefault="009A08A8"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3686" w:type="dxa"/>
            <w:gridSpan w:val="2"/>
            <w:vAlign w:val="center"/>
          </w:tcPr>
          <w:p w:rsidR="009A08A8" w:rsidRPr="0068094B" w:rsidRDefault="00EA6827" w:rsidP="00EA6827">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Local Government Pension Scheme</w:t>
            </w:r>
          </w:p>
        </w:tc>
      </w:tr>
      <w:tr w:rsidR="00C75474" w:rsidRPr="0068094B" w:rsidTr="00363F77">
        <w:trPr>
          <w:trHeight w:val="391"/>
        </w:trPr>
        <w:tc>
          <w:tcPr>
            <w:tcW w:w="5103" w:type="dxa"/>
            <w:vAlign w:val="center"/>
          </w:tcPr>
          <w:p w:rsidR="00C75474" w:rsidRPr="0068094B" w:rsidRDefault="00C75474"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1843" w:type="dxa"/>
            <w:tcBorders>
              <w:bottom w:val="single" w:sz="4" w:space="0" w:color="auto"/>
            </w:tcBorders>
            <w:vAlign w:val="center"/>
          </w:tcPr>
          <w:p w:rsidR="00C75474" w:rsidRPr="0068094B" w:rsidRDefault="00363F77"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A14B0C">
              <w:rPr>
                <w:rFonts w:asciiTheme="minorHAnsi" w:hAnsiTheme="minorHAnsi" w:cstheme="minorHAnsi"/>
                <w:b/>
                <w:sz w:val="22"/>
                <w:szCs w:val="22"/>
              </w:rPr>
              <w:t>8</w:t>
            </w:r>
            <w:r w:rsidRPr="0068094B">
              <w:rPr>
                <w:rFonts w:asciiTheme="minorHAnsi" w:hAnsiTheme="minorHAnsi" w:cstheme="minorHAnsi"/>
                <w:b/>
                <w:sz w:val="22"/>
                <w:szCs w:val="22"/>
              </w:rPr>
              <w:t>-1</w:t>
            </w:r>
            <w:r w:rsidR="00A14B0C">
              <w:rPr>
                <w:rFonts w:asciiTheme="minorHAnsi" w:hAnsiTheme="minorHAnsi" w:cstheme="minorHAnsi"/>
                <w:b/>
                <w:sz w:val="22"/>
                <w:szCs w:val="22"/>
              </w:rPr>
              <w:t>9</w:t>
            </w:r>
          </w:p>
          <w:p w:rsidR="00C75474" w:rsidRPr="0068094B" w:rsidRDefault="00C75474"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843" w:type="dxa"/>
            <w:tcBorders>
              <w:bottom w:val="single" w:sz="4" w:space="0" w:color="808080" w:themeColor="background1" w:themeShade="80"/>
            </w:tcBorders>
            <w:shd w:val="clear" w:color="auto" w:fill="D9D9D9" w:themeFill="background1" w:themeFillShade="D9"/>
            <w:vAlign w:val="center"/>
          </w:tcPr>
          <w:p w:rsidR="00C75474" w:rsidRPr="0068094B" w:rsidRDefault="00363F77"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A14B0C">
              <w:rPr>
                <w:rFonts w:asciiTheme="minorHAnsi" w:hAnsiTheme="minorHAnsi" w:cstheme="minorHAnsi"/>
                <w:b/>
                <w:sz w:val="22"/>
                <w:szCs w:val="22"/>
              </w:rPr>
              <w:t>9</w:t>
            </w:r>
            <w:r w:rsidRPr="0068094B">
              <w:rPr>
                <w:rFonts w:asciiTheme="minorHAnsi" w:hAnsiTheme="minorHAnsi" w:cstheme="minorHAnsi"/>
                <w:b/>
                <w:sz w:val="22"/>
                <w:szCs w:val="22"/>
              </w:rPr>
              <w:t>-</w:t>
            </w:r>
            <w:r w:rsidR="00A14B0C">
              <w:rPr>
                <w:rFonts w:asciiTheme="minorHAnsi" w:hAnsiTheme="minorHAnsi" w:cstheme="minorHAnsi"/>
                <w:b/>
                <w:sz w:val="22"/>
                <w:szCs w:val="22"/>
              </w:rPr>
              <w:t>20</w:t>
            </w:r>
          </w:p>
          <w:p w:rsidR="00C75474" w:rsidRPr="0068094B" w:rsidRDefault="00C75474"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240A2B" w:rsidRPr="0068094B" w:rsidTr="00ED3B24">
        <w:tc>
          <w:tcPr>
            <w:tcW w:w="5103" w:type="dxa"/>
            <w:vAlign w:val="center"/>
          </w:tcPr>
          <w:p w:rsidR="00240A2B" w:rsidRPr="0068094B" w:rsidRDefault="00240A2B" w:rsidP="0081786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Scheme Assets</w:t>
            </w:r>
          </w:p>
        </w:tc>
        <w:tc>
          <w:tcPr>
            <w:tcW w:w="1843" w:type="dxa"/>
            <w:tcBorders>
              <w:top w:val="single" w:sz="4" w:space="0" w:color="auto"/>
            </w:tcBorders>
            <w:vAlign w:val="center"/>
          </w:tcPr>
          <w:p w:rsidR="00240A2B" w:rsidRPr="0068094B" w:rsidRDefault="00240A2B"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808080" w:themeColor="background1" w:themeShade="80"/>
            </w:tcBorders>
            <w:shd w:val="clear" w:color="auto" w:fill="D9D9D9" w:themeFill="background1" w:themeFillShade="D9"/>
            <w:vAlign w:val="center"/>
          </w:tcPr>
          <w:p w:rsidR="00240A2B" w:rsidRPr="0068094B" w:rsidRDefault="00240A2B"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A14B0C" w:rsidRPr="0068094B" w:rsidTr="00ED3B24">
        <w:tc>
          <w:tcPr>
            <w:tcW w:w="510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Opening fair value of scheme assets</w:t>
            </w:r>
          </w:p>
        </w:tc>
        <w:tc>
          <w:tcPr>
            <w:tcW w:w="184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176,975</w:t>
            </w:r>
          </w:p>
        </w:tc>
        <w:tc>
          <w:tcPr>
            <w:tcW w:w="1843" w:type="dxa"/>
            <w:shd w:val="clear" w:color="auto" w:fill="D9D9D9" w:themeFill="background1" w:themeFillShade="D9"/>
            <w:vAlign w:val="center"/>
          </w:tcPr>
          <w:p w:rsidR="00A14B0C" w:rsidRPr="0068094B" w:rsidRDefault="002F486D"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186,512</w:t>
            </w:r>
          </w:p>
        </w:tc>
      </w:tr>
      <w:tr w:rsidR="00A14B0C" w:rsidRPr="00D16CC2" w:rsidTr="00363F77">
        <w:tc>
          <w:tcPr>
            <w:tcW w:w="510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Interest income</w:t>
            </w:r>
          </w:p>
        </w:tc>
        <w:tc>
          <w:tcPr>
            <w:tcW w:w="184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4,755</w:t>
            </w:r>
          </w:p>
        </w:tc>
        <w:tc>
          <w:tcPr>
            <w:tcW w:w="1843" w:type="dxa"/>
            <w:shd w:val="clear" w:color="auto" w:fill="D9D9D9" w:themeFill="background1" w:themeFillShade="D9"/>
            <w:vAlign w:val="center"/>
          </w:tcPr>
          <w:p w:rsidR="00A14B0C" w:rsidRPr="00D16CC2" w:rsidRDefault="002F486D" w:rsidP="00AB36E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4,476</w:t>
            </w:r>
          </w:p>
        </w:tc>
      </w:tr>
      <w:tr w:rsidR="00A14B0C" w:rsidRPr="00D16CC2" w:rsidTr="00363F77">
        <w:tc>
          <w:tcPr>
            <w:tcW w:w="5103" w:type="dxa"/>
            <w:vAlign w:val="center"/>
          </w:tcPr>
          <w:p w:rsidR="00A14B0C" w:rsidRPr="0068094B" w:rsidRDefault="00A14B0C" w:rsidP="00AA292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Remeasurement gain/(loss):</w:t>
            </w:r>
          </w:p>
        </w:tc>
        <w:tc>
          <w:tcPr>
            <w:tcW w:w="184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shd w:val="clear" w:color="auto" w:fill="D9D9D9" w:themeFill="background1" w:themeFillShade="D9"/>
            <w:vAlign w:val="center"/>
          </w:tcPr>
          <w:p w:rsidR="00A14B0C" w:rsidRPr="00D16CC2" w:rsidRDefault="00A14B0C"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A14B0C" w:rsidRPr="00D16CC2" w:rsidTr="00C94792">
        <w:trPr>
          <w:trHeight w:val="584"/>
        </w:trPr>
        <w:tc>
          <w:tcPr>
            <w:tcW w:w="5103" w:type="dxa"/>
            <w:vAlign w:val="center"/>
          </w:tcPr>
          <w:p w:rsidR="00A14B0C" w:rsidRPr="0068094B" w:rsidRDefault="00A14B0C" w:rsidP="007D7B32">
            <w:pPr>
              <w:pStyle w:val="ListParagraph"/>
              <w:numPr>
                <w:ilvl w:val="0"/>
                <w:numId w:val="33"/>
              </w:num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68094B">
              <w:rPr>
                <w:rFonts w:asciiTheme="minorHAnsi" w:hAnsiTheme="minorHAnsi" w:cstheme="minorHAnsi"/>
                <w:szCs w:val="22"/>
              </w:rPr>
              <w:t xml:space="preserve">  the return on plan assets, excluding the amount included in the net interest expense</w:t>
            </w:r>
          </w:p>
        </w:tc>
        <w:tc>
          <w:tcPr>
            <w:tcW w:w="184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7,667</w:t>
            </w:r>
          </w:p>
        </w:tc>
        <w:tc>
          <w:tcPr>
            <w:tcW w:w="1843" w:type="dxa"/>
            <w:shd w:val="clear" w:color="auto" w:fill="D9D9D9" w:themeFill="background1" w:themeFillShade="D9"/>
            <w:vAlign w:val="center"/>
          </w:tcPr>
          <w:p w:rsidR="00A14B0C" w:rsidRPr="00B35BC1" w:rsidRDefault="002F486D"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w:t>
            </w:r>
            <w:r w:rsidR="008C3EA1" w:rsidRPr="00B35BC1">
              <w:rPr>
                <w:rFonts w:asciiTheme="minorHAnsi" w:hAnsiTheme="minorHAnsi" w:cstheme="minorHAnsi"/>
                <w:sz w:val="22"/>
                <w:szCs w:val="22"/>
              </w:rPr>
              <w:t>9</w:t>
            </w:r>
            <w:r w:rsidRPr="00B35BC1">
              <w:rPr>
                <w:rFonts w:asciiTheme="minorHAnsi" w:hAnsiTheme="minorHAnsi" w:cstheme="minorHAnsi"/>
                <w:sz w:val="22"/>
                <w:szCs w:val="22"/>
              </w:rPr>
              <w:t>,</w:t>
            </w:r>
            <w:r w:rsidR="008C3EA1" w:rsidRPr="00B35BC1">
              <w:rPr>
                <w:rFonts w:asciiTheme="minorHAnsi" w:hAnsiTheme="minorHAnsi" w:cstheme="minorHAnsi"/>
                <w:sz w:val="22"/>
                <w:szCs w:val="22"/>
              </w:rPr>
              <w:t>454</w:t>
            </w:r>
            <w:r w:rsidRPr="00B35BC1">
              <w:rPr>
                <w:rFonts w:asciiTheme="minorHAnsi" w:hAnsiTheme="minorHAnsi" w:cstheme="minorHAnsi"/>
                <w:sz w:val="22"/>
                <w:szCs w:val="22"/>
              </w:rPr>
              <w:t>)</w:t>
            </w:r>
          </w:p>
        </w:tc>
      </w:tr>
      <w:tr w:rsidR="00A14B0C" w:rsidRPr="00D16CC2" w:rsidTr="00363F77">
        <w:tc>
          <w:tcPr>
            <w:tcW w:w="5103" w:type="dxa"/>
            <w:vAlign w:val="center"/>
          </w:tcPr>
          <w:p w:rsidR="00A14B0C" w:rsidRPr="0068094B" w:rsidRDefault="00A14B0C" w:rsidP="0021699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employer</w:t>
            </w:r>
          </w:p>
        </w:tc>
        <w:tc>
          <w:tcPr>
            <w:tcW w:w="184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2,770</w:t>
            </w:r>
          </w:p>
        </w:tc>
        <w:tc>
          <w:tcPr>
            <w:tcW w:w="1843" w:type="dxa"/>
            <w:shd w:val="clear" w:color="auto" w:fill="D9D9D9" w:themeFill="background1" w:themeFillShade="D9"/>
            <w:vAlign w:val="center"/>
          </w:tcPr>
          <w:p w:rsidR="00A14B0C" w:rsidRPr="00B35BC1" w:rsidRDefault="002F486D"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3,195</w:t>
            </w:r>
          </w:p>
        </w:tc>
      </w:tr>
      <w:tr w:rsidR="00A14B0C" w:rsidRPr="00D16CC2" w:rsidTr="00363F77">
        <w:tc>
          <w:tcPr>
            <w:tcW w:w="510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employees into the scheme</w:t>
            </w:r>
          </w:p>
        </w:tc>
        <w:tc>
          <w:tcPr>
            <w:tcW w:w="184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870</w:t>
            </w:r>
          </w:p>
        </w:tc>
        <w:tc>
          <w:tcPr>
            <w:tcW w:w="1843" w:type="dxa"/>
            <w:shd w:val="clear" w:color="auto" w:fill="D9D9D9" w:themeFill="background1" w:themeFillShade="D9"/>
            <w:vAlign w:val="center"/>
          </w:tcPr>
          <w:p w:rsidR="00A14B0C" w:rsidRPr="00B35BC1" w:rsidRDefault="002F486D"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923</w:t>
            </w:r>
          </w:p>
        </w:tc>
      </w:tr>
      <w:tr w:rsidR="00A14B0C" w:rsidRPr="00D16CC2" w:rsidTr="00515FED">
        <w:tc>
          <w:tcPr>
            <w:tcW w:w="510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Benefits paid</w:t>
            </w:r>
          </w:p>
        </w:tc>
        <w:tc>
          <w:tcPr>
            <w:tcW w:w="184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(4,890)</w:t>
            </w:r>
          </w:p>
        </w:tc>
        <w:tc>
          <w:tcPr>
            <w:tcW w:w="1843" w:type="dxa"/>
            <w:shd w:val="clear" w:color="auto" w:fill="D9D9D9" w:themeFill="background1" w:themeFillShade="D9"/>
            <w:vAlign w:val="center"/>
          </w:tcPr>
          <w:p w:rsidR="00A14B0C" w:rsidRPr="00B35BC1" w:rsidRDefault="002F486D"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(4,883)</w:t>
            </w:r>
          </w:p>
        </w:tc>
      </w:tr>
      <w:tr w:rsidR="00A14B0C" w:rsidRPr="00D16CC2" w:rsidTr="00515FED">
        <w:tc>
          <w:tcPr>
            <w:tcW w:w="510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Other</w:t>
            </w:r>
          </w:p>
        </w:tc>
        <w:tc>
          <w:tcPr>
            <w:tcW w:w="1843" w:type="dxa"/>
            <w:tcBorders>
              <w:bottom w:val="single" w:sz="4" w:space="0" w:color="auto"/>
            </w:tcBorders>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(1,635)</w:t>
            </w:r>
          </w:p>
        </w:tc>
        <w:tc>
          <w:tcPr>
            <w:tcW w:w="1843" w:type="dxa"/>
            <w:tcBorders>
              <w:bottom w:val="single" w:sz="4" w:space="0" w:color="000000" w:themeColor="text1"/>
            </w:tcBorders>
            <w:shd w:val="clear" w:color="auto" w:fill="D9D9D9" w:themeFill="background1" w:themeFillShade="D9"/>
            <w:vAlign w:val="center"/>
          </w:tcPr>
          <w:p w:rsidR="00A14B0C" w:rsidRPr="00B35BC1" w:rsidRDefault="002F486D" w:rsidP="00AB36E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0</w:t>
            </w:r>
          </w:p>
        </w:tc>
      </w:tr>
      <w:tr w:rsidR="00A14B0C" w:rsidRPr="00D16CC2" w:rsidTr="00C94792">
        <w:trPr>
          <w:trHeight w:val="335"/>
        </w:trPr>
        <w:tc>
          <w:tcPr>
            <w:tcW w:w="5103" w:type="dxa"/>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Fair value of plan assets</w:t>
            </w:r>
          </w:p>
        </w:tc>
        <w:tc>
          <w:tcPr>
            <w:tcW w:w="1843" w:type="dxa"/>
            <w:tcBorders>
              <w:top w:val="single" w:sz="4" w:space="0" w:color="auto"/>
              <w:bottom w:val="single" w:sz="4" w:space="0" w:color="auto"/>
            </w:tcBorders>
            <w:vAlign w:val="center"/>
          </w:tcPr>
          <w:p w:rsidR="00A14B0C" w:rsidRPr="0068094B" w:rsidRDefault="00A14B0C"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D16CC2">
              <w:rPr>
                <w:rFonts w:asciiTheme="minorHAnsi" w:hAnsiTheme="minorHAnsi" w:cstheme="minorHAnsi"/>
                <w:b/>
                <w:sz w:val="22"/>
                <w:szCs w:val="22"/>
              </w:rPr>
              <w:t>186,512</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rsidR="00A14B0C" w:rsidRPr="00B35BC1" w:rsidRDefault="002F486D"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35BC1">
              <w:rPr>
                <w:rFonts w:asciiTheme="minorHAnsi" w:hAnsiTheme="minorHAnsi" w:cstheme="minorHAnsi"/>
                <w:b/>
                <w:sz w:val="22"/>
                <w:szCs w:val="22"/>
              </w:rPr>
              <w:t>180,</w:t>
            </w:r>
            <w:r w:rsidR="008C3EA1" w:rsidRPr="00B35BC1">
              <w:rPr>
                <w:rFonts w:asciiTheme="minorHAnsi" w:hAnsiTheme="minorHAnsi" w:cstheme="minorHAnsi"/>
                <w:b/>
                <w:sz w:val="22"/>
                <w:szCs w:val="22"/>
              </w:rPr>
              <w:t>769</w:t>
            </w:r>
          </w:p>
        </w:tc>
      </w:tr>
      <w:tr w:rsidR="00A14B0C" w:rsidRPr="00D16CC2" w:rsidTr="00515FED">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p>
        </w:tc>
        <w:tc>
          <w:tcPr>
            <w:tcW w:w="1843" w:type="dxa"/>
            <w:tcBorders>
              <w:top w:val="single" w:sz="4" w:space="0" w:color="auto"/>
            </w:tcBorders>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000000" w:themeColor="text1"/>
            </w:tcBorders>
            <w:shd w:val="clear" w:color="auto" w:fill="D9D9D9" w:themeFill="background1" w:themeFillShade="D9"/>
            <w:vAlign w:val="center"/>
          </w:tcPr>
          <w:p w:rsidR="00A14B0C" w:rsidRPr="00D16CC2" w:rsidRDefault="00A14B0C"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A14B0C" w:rsidRPr="00D16CC2" w:rsidTr="006A112C">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Less: Scheme Liabilities</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shd w:val="clear" w:color="auto" w:fill="D9D9D9" w:themeFill="background1" w:themeFillShade="D9"/>
            <w:vAlign w:val="center"/>
          </w:tcPr>
          <w:p w:rsidR="00A14B0C" w:rsidRPr="00D16CC2" w:rsidRDefault="00A14B0C"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A14B0C" w:rsidRPr="00D16CC2" w:rsidTr="00ED3B24">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Opening balance of scheme liabilities at 1 April</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173,684</w:t>
            </w:r>
          </w:p>
        </w:tc>
        <w:tc>
          <w:tcPr>
            <w:tcW w:w="1843" w:type="dxa"/>
            <w:shd w:val="clear" w:color="auto" w:fill="D9D9D9" w:themeFill="background1" w:themeFillShade="D9"/>
            <w:vAlign w:val="center"/>
          </w:tcPr>
          <w:p w:rsidR="00A14B0C" w:rsidRPr="00D16CC2" w:rsidRDefault="002F486D"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193,071</w:t>
            </w:r>
          </w:p>
        </w:tc>
      </w:tr>
      <w:tr w:rsidR="00A14B0C" w:rsidRPr="00D16CC2" w:rsidTr="00363F77">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Current Service Cost</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5,277</w:t>
            </w:r>
          </w:p>
        </w:tc>
        <w:tc>
          <w:tcPr>
            <w:tcW w:w="1843" w:type="dxa"/>
            <w:shd w:val="clear" w:color="auto" w:fill="D9D9D9" w:themeFill="background1" w:themeFillShade="D9"/>
            <w:vAlign w:val="center"/>
          </w:tcPr>
          <w:p w:rsidR="00A14B0C" w:rsidRPr="00D16CC2" w:rsidRDefault="002F486D"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6,423</w:t>
            </w:r>
          </w:p>
        </w:tc>
      </w:tr>
      <w:tr w:rsidR="00A14B0C" w:rsidRPr="00D16CC2" w:rsidTr="00363F77">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Interest Cost</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4,715</w:t>
            </w:r>
          </w:p>
        </w:tc>
        <w:tc>
          <w:tcPr>
            <w:tcW w:w="1843" w:type="dxa"/>
            <w:shd w:val="clear" w:color="auto" w:fill="D9D9D9" w:themeFill="background1" w:themeFillShade="D9"/>
            <w:vAlign w:val="center"/>
          </w:tcPr>
          <w:p w:rsidR="00A14B0C" w:rsidRPr="00D16CC2" w:rsidRDefault="002F486D" w:rsidP="005416A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4,674</w:t>
            </w:r>
          </w:p>
        </w:tc>
      </w:tr>
      <w:tr w:rsidR="00A14B0C" w:rsidRPr="00D16CC2" w:rsidTr="00363F77">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scheme participants</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870</w:t>
            </w:r>
          </w:p>
        </w:tc>
        <w:tc>
          <w:tcPr>
            <w:tcW w:w="1843" w:type="dxa"/>
            <w:shd w:val="clear" w:color="auto" w:fill="D9D9D9" w:themeFill="background1" w:themeFillShade="D9"/>
            <w:vAlign w:val="center"/>
          </w:tcPr>
          <w:p w:rsidR="00A14B0C" w:rsidRPr="00D16CC2" w:rsidRDefault="002F486D"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923</w:t>
            </w:r>
          </w:p>
        </w:tc>
      </w:tr>
      <w:tr w:rsidR="00A14B0C" w:rsidRPr="00D16CC2" w:rsidTr="00515FED">
        <w:trPr>
          <w:trHeight w:val="505"/>
        </w:trPr>
        <w:tc>
          <w:tcPr>
            <w:tcW w:w="5103" w:type="dxa"/>
            <w:vAlign w:val="center"/>
          </w:tcPr>
          <w:p w:rsidR="00A14B0C" w:rsidRPr="0068094B" w:rsidRDefault="00A14B0C" w:rsidP="007D7B32">
            <w:pPr>
              <w:pStyle w:val="xl33"/>
              <w:widowControl w:val="0"/>
              <w:numPr>
                <w:ilvl w:val="0"/>
                <w:numId w:val="33"/>
              </w:numPr>
              <w:tabs>
                <w:tab w:val="clear" w:pos="360"/>
                <w:tab w:val="left" w:pos="0"/>
                <w:tab w:val="num" w:pos="176"/>
              </w:tabs>
              <w:snapToGrid w:val="0"/>
              <w:spacing w:before="0" w:after="0"/>
              <w:ind w:left="176" w:hanging="176"/>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(gains)/losses arising from changes in demographic  assumptions</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843" w:type="dxa"/>
            <w:shd w:val="clear" w:color="auto" w:fill="D9D9D9" w:themeFill="background1" w:themeFillShade="D9"/>
            <w:vAlign w:val="center"/>
          </w:tcPr>
          <w:p w:rsidR="00A14B0C" w:rsidRPr="00D16CC2" w:rsidRDefault="002F486D" w:rsidP="00577FC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(9,205)</w:t>
            </w:r>
          </w:p>
        </w:tc>
      </w:tr>
      <w:tr w:rsidR="00A14B0C" w:rsidRPr="00D16CC2" w:rsidTr="00363F77">
        <w:tc>
          <w:tcPr>
            <w:tcW w:w="5103" w:type="dxa"/>
            <w:vAlign w:val="center"/>
          </w:tcPr>
          <w:p w:rsidR="00A14B0C" w:rsidRPr="0068094B" w:rsidRDefault="00A14B0C" w:rsidP="007D7B32">
            <w:pPr>
              <w:pStyle w:val="xl33"/>
              <w:widowControl w:val="0"/>
              <w:numPr>
                <w:ilvl w:val="0"/>
                <w:numId w:val="33"/>
              </w:numPr>
              <w:tabs>
                <w:tab w:val="clear" w:pos="360"/>
                <w:tab w:val="left" w:pos="0"/>
                <w:tab w:val="num" w:pos="176"/>
              </w:tabs>
              <w:snapToGrid w:val="0"/>
              <w:spacing w:before="0" w:after="0"/>
              <w:ind w:left="176" w:hanging="176"/>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(gains)/losses arising from changes in financial assumptions</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14,109</w:t>
            </w:r>
          </w:p>
        </w:tc>
        <w:tc>
          <w:tcPr>
            <w:tcW w:w="1843" w:type="dxa"/>
            <w:shd w:val="clear" w:color="auto" w:fill="D9D9D9" w:themeFill="background1" w:themeFillShade="D9"/>
            <w:vAlign w:val="center"/>
          </w:tcPr>
          <w:p w:rsidR="00A14B0C" w:rsidRPr="003C52A9" w:rsidRDefault="002F486D" w:rsidP="00B35BC1">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3C52A9">
              <w:rPr>
                <w:rFonts w:asciiTheme="minorHAnsi" w:hAnsiTheme="minorHAnsi" w:cstheme="minorHAnsi"/>
                <w:sz w:val="22"/>
                <w:szCs w:val="22"/>
              </w:rPr>
              <w:t>(16,</w:t>
            </w:r>
            <w:r w:rsidR="00B35BC1" w:rsidRPr="003C52A9">
              <w:rPr>
                <w:rFonts w:asciiTheme="minorHAnsi" w:hAnsiTheme="minorHAnsi" w:cstheme="minorHAnsi"/>
                <w:sz w:val="22"/>
                <w:szCs w:val="22"/>
              </w:rPr>
              <w:t>907</w:t>
            </w:r>
            <w:r w:rsidRPr="003C52A9">
              <w:rPr>
                <w:rFonts w:asciiTheme="minorHAnsi" w:hAnsiTheme="minorHAnsi" w:cstheme="minorHAnsi"/>
                <w:sz w:val="22"/>
                <w:szCs w:val="22"/>
              </w:rPr>
              <w:t>)</w:t>
            </w:r>
          </w:p>
        </w:tc>
      </w:tr>
      <w:tr w:rsidR="00A14B0C" w:rsidRPr="00D16CC2" w:rsidTr="00363F77">
        <w:tc>
          <w:tcPr>
            <w:tcW w:w="5103" w:type="dxa"/>
            <w:vAlign w:val="center"/>
          </w:tcPr>
          <w:p w:rsidR="00A14B0C" w:rsidRPr="0068094B" w:rsidRDefault="00A14B0C" w:rsidP="007D7B32">
            <w:pPr>
              <w:pStyle w:val="ListParagraph"/>
              <w:numPr>
                <w:ilvl w:val="0"/>
                <w:numId w:val="33"/>
              </w:numPr>
              <w:tabs>
                <w:tab w:val="clear" w:pos="360"/>
                <w:tab w:val="left" w:pos="-142"/>
                <w:tab w:val="left" w:pos="0"/>
                <w:tab w:val="num" w:pos="176"/>
                <w:tab w:val="left" w:pos="240"/>
                <w:tab w:val="left" w:pos="7110"/>
                <w:tab w:val="left" w:pos="7650"/>
                <w:tab w:val="left" w:pos="8550"/>
              </w:tabs>
              <w:snapToGrid w:val="0"/>
              <w:ind w:right="-64"/>
              <w:rPr>
                <w:rFonts w:asciiTheme="minorHAnsi" w:hAnsiTheme="minorHAnsi" w:cstheme="minorHAnsi"/>
                <w:szCs w:val="22"/>
              </w:rPr>
            </w:pPr>
            <w:r w:rsidRPr="0068094B">
              <w:rPr>
                <w:rFonts w:asciiTheme="minorHAnsi" w:hAnsiTheme="minorHAnsi" w:cstheme="minorHAnsi"/>
                <w:szCs w:val="22"/>
              </w:rPr>
              <w:t>Other experience (gains) or losses</w:t>
            </w:r>
          </w:p>
        </w:tc>
        <w:tc>
          <w:tcPr>
            <w:tcW w:w="1843" w:type="dxa"/>
            <w:vAlign w:val="center"/>
          </w:tcPr>
          <w:p w:rsidR="00A14B0C" w:rsidRPr="0068094B" w:rsidRDefault="002F486D"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c>
          <w:tcPr>
            <w:tcW w:w="1843" w:type="dxa"/>
            <w:shd w:val="clear" w:color="auto" w:fill="D9D9D9" w:themeFill="background1" w:themeFillShade="D9"/>
            <w:vAlign w:val="center"/>
          </w:tcPr>
          <w:p w:rsidR="00A14B0C" w:rsidRPr="003C52A9" w:rsidRDefault="002F486D"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3C52A9">
              <w:rPr>
                <w:rFonts w:asciiTheme="minorHAnsi" w:hAnsiTheme="minorHAnsi" w:cstheme="minorHAnsi"/>
                <w:sz w:val="22"/>
                <w:szCs w:val="22"/>
              </w:rPr>
              <w:t>(14,326)</w:t>
            </w:r>
          </w:p>
        </w:tc>
      </w:tr>
      <w:tr w:rsidR="00A14B0C" w:rsidRPr="0068094B" w:rsidTr="00363F77">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Past service cost</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1,198</w:t>
            </w:r>
          </w:p>
        </w:tc>
        <w:tc>
          <w:tcPr>
            <w:tcW w:w="1843" w:type="dxa"/>
            <w:shd w:val="clear" w:color="auto" w:fill="D9D9D9" w:themeFill="background1" w:themeFillShade="D9"/>
            <w:vAlign w:val="center"/>
          </w:tcPr>
          <w:p w:rsidR="00A14B0C" w:rsidRPr="003C52A9" w:rsidRDefault="00B35BC1"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3C52A9">
              <w:rPr>
                <w:rFonts w:asciiTheme="minorHAnsi" w:hAnsiTheme="minorHAnsi" w:cstheme="minorHAnsi"/>
                <w:sz w:val="22"/>
                <w:szCs w:val="22"/>
              </w:rPr>
              <w:t>123</w:t>
            </w:r>
          </w:p>
        </w:tc>
      </w:tr>
      <w:tr w:rsidR="00A14B0C" w:rsidRPr="0068094B" w:rsidTr="00363F77">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Benefit paid</w:t>
            </w:r>
          </w:p>
        </w:tc>
        <w:tc>
          <w:tcPr>
            <w:tcW w:w="1843" w:type="dxa"/>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(4,890)</w:t>
            </w:r>
          </w:p>
        </w:tc>
        <w:tc>
          <w:tcPr>
            <w:tcW w:w="1843" w:type="dxa"/>
            <w:shd w:val="clear" w:color="auto" w:fill="D9D9D9" w:themeFill="background1" w:themeFillShade="D9"/>
            <w:vAlign w:val="center"/>
          </w:tcPr>
          <w:p w:rsidR="00A14B0C" w:rsidRPr="003C52A9" w:rsidRDefault="002F486D" w:rsidP="00577FC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3C52A9">
              <w:rPr>
                <w:rFonts w:asciiTheme="minorHAnsi" w:hAnsiTheme="minorHAnsi" w:cstheme="minorHAnsi"/>
                <w:sz w:val="22"/>
                <w:szCs w:val="22"/>
              </w:rPr>
              <w:t>(4,883)</w:t>
            </w:r>
          </w:p>
        </w:tc>
      </w:tr>
      <w:tr w:rsidR="00A14B0C" w:rsidRPr="0068094B" w:rsidTr="00515FED">
        <w:tc>
          <w:tcPr>
            <w:tcW w:w="5103" w:type="dxa"/>
            <w:vAlign w:val="center"/>
          </w:tcPr>
          <w:p w:rsidR="00A14B0C" w:rsidRPr="0068094B" w:rsidRDefault="00A14B0C" w:rsidP="0038578D">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Liabilities extinguished on settlements</w:t>
            </w:r>
          </w:p>
        </w:tc>
        <w:tc>
          <w:tcPr>
            <w:tcW w:w="1843" w:type="dxa"/>
            <w:tcBorders>
              <w:bottom w:val="single" w:sz="4" w:space="0" w:color="000000" w:themeColor="text1"/>
            </w:tcBorders>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D16CC2">
              <w:rPr>
                <w:rFonts w:asciiTheme="minorHAnsi" w:hAnsiTheme="minorHAnsi" w:cstheme="minorHAnsi"/>
                <w:sz w:val="22"/>
                <w:szCs w:val="22"/>
              </w:rPr>
              <w:t>(1,892)</w:t>
            </w:r>
          </w:p>
        </w:tc>
        <w:tc>
          <w:tcPr>
            <w:tcW w:w="1843" w:type="dxa"/>
            <w:tcBorders>
              <w:bottom w:val="single" w:sz="4" w:space="0" w:color="000000" w:themeColor="text1"/>
            </w:tcBorders>
            <w:shd w:val="clear" w:color="auto" w:fill="D9D9D9" w:themeFill="background1" w:themeFillShade="D9"/>
            <w:vAlign w:val="center"/>
          </w:tcPr>
          <w:p w:rsidR="00A14B0C" w:rsidRPr="00D16CC2" w:rsidRDefault="002F486D" w:rsidP="005416A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r>
      <w:tr w:rsidR="00A14B0C" w:rsidRPr="0068094B" w:rsidTr="008A0D64">
        <w:tc>
          <w:tcPr>
            <w:tcW w:w="5103" w:type="dxa"/>
            <w:vAlign w:val="center"/>
          </w:tcPr>
          <w:p w:rsidR="00A14B0C" w:rsidRPr="0068094B" w:rsidRDefault="00A14B0C" w:rsidP="0038578D">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 xml:space="preserve">Present value of the defined benefit obligation </w:t>
            </w:r>
          </w:p>
        </w:tc>
        <w:tc>
          <w:tcPr>
            <w:tcW w:w="1843" w:type="dxa"/>
            <w:tcBorders>
              <w:top w:val="single" w:sz="4" w:space="0" w:color="000000" w:themeColor="text1"/>
              <w:bottom w:val="single" w:sz="4" w:space="0" w:color="000000" w:themeColor="text1"/>
            </w:tcBorders>
            <w:vAlign w:val="center"/>
          </w:tcPr>
          <w:p w:rsidR="00A14B0C" w:rsidRPr="0068094B" w:rsidRDefault="00A14B0C" w:rsidP="00515FED">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D16CC2">
              <w:rPr>
                <w:rFonts w:asciiTheme="minorHAnsi" w:hAnsiTheme="minorHAnsi" w:cstheme="minorHAnsi"/>
                <w:b/>
                <w:sz w:val="22"/>
                <w:szCs w:val="22"/>
              </w:rPr>
              <w:t>193,071</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rsidR="00A14B0C" w:rsidRPr="00B35BC1" w:rsidRDefault="002F486D"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35BC1">
              <w:rPr>
                <w:rFonts w:asciiTheme="minorHAnsi" w:hAnsiTheme="minorHAnsi" w:cstheme="minorHAnsi"/>
                <w:b/>
                <w:sz w:val="22"/>
                <w:szCs w:val="22"/>
              </w:rPr>
              <w:t>1</w:t>
            </w:r>
            <w:r w:rsidR="008C3EA1" w:rsidRPr="00B35BC1">
              <w:rPr>
                <w:rFonts w:asciiTheme="minorHAnsi" w:hAnsiTheme="minorHAnsi" w:cstheme="minorHAnsi"/>
                <w:b/>
                <w:sz w:val="22"/>
                <w:szCs w:val="22"/>
              </w:rPr>
              <w:t>59</w:t>
            </w:r>
            <w:r w:rsidRPr="00B35BC1">
              <w:rPr>
                <w:rFonts w:asciiTheme="minorHAnsi" w:hAnsiTheme="minorHAnsi" w:cstheme="minorHAnsi"/>
                <w:b/>
                <w:sz w:val="22"/>
                <w:szCs w:val="22"/>
              </w:rPr>
              <w:t>,</w:t>
            </w:r>
            <w:r w:rsidR="008C3EA1" w:rsidRPr="00B35BC1">
              <w:rPr>
                <w:rFonts w:asciiTheme="minorHAnsi" w:hAnsiTheme="minorHAnsi" w:cstheme="minorHAnsi"/>
                <w:b/>
                <w:sz w:val="22"/>
                <w:szCs w:val="22"/>
              </w:rPr>
              <w:t>893</w:t>
            </w:r>
          </w:p>
        </w:tc>
      </w:tr>
      <w:tr w:rsidR="00A14B0C" w:rsidRPr="0068094B" w:rsidTr="00A14B0C">
        <w:tc>
          <w:tcPr>
            <w:tcW w:w="5103" w:type="dxa"/>
            <w:vAlign w:val="center"/>
          </w:tcPr>
          <w:p w:rsidR="00A14B0C" w:rsidRPr="0068094B" w:rsidRDefault="00A14B0C" w:rsidP="0038578D">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tcBorders>
            <w:vAlign w:val="center"/>
          </w:tcPr>
          <w:p w:rsidR="00A14B0C" w:rsidRPr="0068094B" w:rsidRDefault="00A14B0C" w:rsidP="00515FED">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rsidR="00A14B0C" w:rsidRPr="00B35BC1" w:rsidRDefault="00A14B0C" w:rsidP="00577FC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A14B0C" w:rsidRPr="0068094B" w:rsidTr="008A0D64">
        <w:trPr>
          <w:trHeight w:val="335"/>
        </w:trPr>
        <w:tc>
          <w:tcPr>
            <w:tcW w:w="5103" w:type="dxa"/>
            <w:vAlign w:val="center"/>
          </w:tcPr>
          <w:p w:rsidR="00A14B0C" w:rsidRPr="0068094B" w:rsidRDefault="00A14B0C" w:rsidP="006A112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Net (liability)/asset arising from defined benefit obligation</w:t>
            </w:r>
          </w:p>
        </w:tc>
        <w:tc>
          <w:tcPr>
            <w:tcW w:w="1843" w:type="dxa"/>
            <w:tcBorders>
              <w:top w:val="single" w:sz="4" w:space="0" w:color="000000"/>
              <w:bottom w:val="double" w:sz="4" w:space="0" w:color="auto"/>
            </w:tcBorders>
            <w:vAlign w:val="center"/>
          </w:tcPr>
          <w:p w:rsidR="00A14B0C" w:rsidRPr="0068094B" w:rsidRDefault="00A14B0C"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D16CC2">
              <w:rPr>
                <w:rFonts w:asciiTheme="minorHAnsi" w:hAnsiTheme="minorHAnsi" w:cstheme="minorHAnsi"/>
                <w:b/>
                <w:sz w:val="22"/>
                <w:szCs w:val="22"/>
              </w:rPr>
              <w:t>(6,559)</w:t>
            </w:r>
          </w:p>
        </w:tc>
        <w:tc>
          <w:tcPr>
            <w:tcW w:w="1843" w:type="dxa"/>
            <w:tcBorders>
              <w:top w:val="single" w:sz="4" w:space="0" w:color="auto"/>
              <w:bottom w:val="double" w:sz="4" w:space="0" w:color="auto"/>
            </w:tcBorders>
            <w:shd w:val="clear" w:color="auto" w:fill="D9D9D9" w:themeFill="background1" w:themeFillShade="D9"/>
            <w:vAlign w:val="center"/>
          </w:tcPr>
          <w:p w:rsidR="00A14B0C" w:rsidRPr="00B35BC1" w:rsidRDefault="002F486D"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35BC1">
              <w:rPr>
                <w:rFonts w:asciiTheme="minorHAnsi" w:hAnsiTheme="minorHAnsi" w:cstheme="minorHAnsi"/>
                <w:b/>
                <w:sz w:val="22"/>
                <w:szCs w:val="22"/>
              </w:rPr>
              <w:t>20,</w:t>
            </w:r>
            <w:r w:rsidR="008C3EA1" w:rsidRPr="00B35BC1">
              <w:rPr>
                <w:rFonts w:asciiTheme="minorHAnsi" w:hAnsiTheme="minorHAnsi" w:cstheme="minorHAnsi"/>
                <w:b/>
                <w:sz w:val="22"/>
                <w:szCs w:val="22"/>
              </w:rPr>
              <w:t>876</w:t>
            </w:r>
          </w:p>
        </w:tc>
      </w:tr>
      <w:tr w:rsidR="00A14B0C" w:rsidRPr="0068094B" w:rsidTr="00EA6827">
        <w:trPr>
          <w:trHeight w:val="50"/>
        </w:trPr>
        <w:tc>
          <w:tcPr>
            <w:tcW w:w="5103" w:type="dxa"/>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3686" w:type="dxa"/>
            <w:gridSpan w:val="2"/>
            <w:tcBorders>
              <w:top w:val="double" w:sz="4" w:space="0" w:color="A6A6A6" w:themeColor="background1" w:themeShade="A6"/>
            </w:tcBorders>
            <w:vAlign w:val="center"/>
          </w:tcPr>
          <w:p w:rsidR="00A14B0C" w:rsidRPr="0068094B" w:rsidRDefault="00A14B0C" w:rsidP="000307B3">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bl>
    <w:p w:rsidR="00607B54" w:rsidRPr="0068094B" w:rsidRDefault="00607B54" w:rsidP="00607B54">
      <w:pPr>
        <w:pStyle w:val="ListParagraph"/>
        <w:tabs>
          <w:tab w:val="left" w:pos="0"/>
        </w:tabs>
        <w:jc w:val="both"/>
        <w:rPr>
          <w:rFonts w:asciiTheme="minorHAnsi" w:hAnsiTheme="minorHAnsi" w:cstheme="minorHAnsi"/>
          <w:b/>
          <w:bCs/>
          <w:szCs w:val="22"/>
        </w:rPr>
      </w:pPr>
    </w:p>
    <w:p w:rsidR="00607B54" w:rsidRDefault="00607B54"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r w:rsidRPr="0068094B">
        <w:rPr>
          <w:rFonts w:asciiTheme="minorHAnsi" w:hAnsiTheme="minorHAnsi" w:cstheme="minorHAnsi"/>
          <w:b/>
          <w:bCs/>
          <w:sz w:val="22"/>
          <w:szCs w:val="22"/>
        </w:rPr>
        <w:t>Basis for Estimating Assets and Liabilities</w:t>
      </w:r>
    </w:p>
    <w:p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68094B">
        <w:rPr>
          <w:rFonts w:asciiTheme="minorHAnsi" w:hAnsiTheme="minorHAnsi" w:cstheme="minorHAnsi"/>
          <w:sz w:val="22"/>
          <w:szCs w:val="22"/>
        </w:rPr>
        <w:t>Liabilities have been assessed on an actuarial basis using the projected unit credit method, an estimate of the pensions that will be payable in future years dependent on assumptions about mortality rates, salary levels, etc.  The fund liabilities have been assessed by Hymans Robertson, an independent firm of actuaries, estimates for the fund being based on the latest full valuation of the scheme as at 31 March 201</w:t>
      </w:r>
      <w:r w:rsidR="003B439B">
        <w:rPr>
          <w:rFonts w:asciiTheme="minorHAnsi" w:hAnsiTheme="minorHAnsi" w:cstheme="minorHAnsi"/>
          <w:sz w:val="22"/>
          <w:szCs w:val="22"/>
        </w:rPr>
        <w:t>9</w:t>
      </w:r>
      <w:r w:rsidRPr="0068094B">
        <w:rPr>
          <w:rFonts w:asciiTheme="minorHAnsi" w:hAnsiTheme="minorHAnsi" w:cstheme="minorHAnsi"/>
          <w:sz w:val="22"/>
          <w:szCs w:val="22"/>
        </w:rPr>
        <w:t>.</w:t>
      </w:r>
      <w:r w:rsidR="0065370A">
        <w:rPr>
          <w:rFonts w:asciiTheme="minorHAnsi" w:hAnsiTheme="minorHAnsi" w:cstheme="minorHAnsi"/>
          <w:sz w:val="22"/>
          <w:szCs w:val="22"/>
        </w:rPr>
        <w:t xml:space="preserve"> The next full valuation of the scheme is due to take place as at 31 March 20</w:t>
      </w:r>
      <w:r w:rsidR="0071038F">
        <w:rPr>
          <w:rFonts w:asciiTheme="minorHAnsi" w:hAnsiTheme="minorHAnsi" w:cstheme="minorHAnsi"/>
          <w:sz w:val="22"/>
          <w:szCs w:val="22"/>
        </w:rPr>
        <w:t>22</w:t>
      </w:r>
      <w:r w:rsidR="0065370A">
        <w:rPr>
          <w:rFonts w:asciiTheme="minorHAnsi" w:hAnsiTheme="minorHAnsi" w:cstheme="minorHAnsi"/>
          <w:sz w:val="22"/>
          <w:szCs w:val="22"/>
        </w:rPr>
        <w:t>.</w:t>
      </w:r>
    </w:p>
    <w:p w:rsidR="00870ED5" w:rsidRPr="0068094B" w:rsidRDefault="00870ED5"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rsidR="00EB01D3" w:rsidRDefault="00EB01D3" w:rsidP="00607B54">
      <w:pPr>
        <w:tabs>
          <w:tab w:val="left" w:pos="0"/>
        </w:tabs>
        <w:rPr>
          <w:rFonts w:asciiTheme="minorHAnsi" w:hAnsiTheme="minorHAnsi" w:cstheme="minorHAnsi"/>
          <w:sz w:val="22"/>
          <w:szCs w:val="22"/>
        </w:rPr>
      </w:pPr>
    </w:p>
    <w:p w:rsidR="00607B54" w:rsidRDefault="00607B54" w:rsidP="00607B54">
      <w:pPr>
        <w:tabs>
          <w:tab w:val="left" w:pos="0"/>
        </w:tabs>
        <w:rPr>
          <w:rFonts w:asciiTheme="minorHAnsi" w:hAnsiTheme="minorHAnsi" w:cstheme="minorHAnsi"/>
          <w:sz w:val="22"/>
          <w:szCs w:val="22"/>
        </w:rPr>
      </w:pPr>
      <w:r w:rsidRPr="0068094B">
        <w:rPr>
          <w:rFonts w:asciiTheme="minorHAnsi" w:hAnsiTheme="minorHAnsi" w:cstheme="minorHAnsi"/>
          <w:sz w:val="22"/>
          <w:szCs w:val="22"/>
        </w:rPr>
        <w:t>The significant assumptions used by the actuary have been:</w:t>
      </w:r>
    </w:p>
    <w:tbl>
      <w:tblPr>
        <w:tblW w:w="0" w:type="auto"/>
        <w:jc w:val="center"/>
        <w:tblLayout w:type="fixed"/>
        <w:tblLook w:val="0000" w:firstRow="0" w:lastRow="0" w:firstColumn="0" w:lastColumn="0" w:noHBand="0" w:noVBand="0"/>
      </w:tblPr>
      <w:tblGrid>
        <w:gridCol w:w="4651"/>
        <w:gridCol w:w="1164"/>
        <w:gridCol w:w="1164"/>
      </w:tblGrid>
      <w:tr w:rsidR="00607B54" w:rsidRPr="0068094B" w:rsidTr="003B7F60">
        <w:trPr>
          <w:trHeight w:val="286"/>
          <w:tblHeader/>
          <w:jc w:val="center"/>
        </w:trPr>
        <w:tc>
          <w:tcPr>
            <w:tcW w:w="4651" w:type="dxa"/>
          </w:tcPr>
          <w:p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2328" w:type="dxa"/>
            <w:gridSpan w:val="2"/>
            <w:vAlign w:val="center"/>
          </w:tcPr>
          <w:p w:rsidR="00607B54" w:rsidRPr="0068094B" w:rsidRDefault="00607B54" w:rsidP="003B7F60">
            <w:pPr>
              <w:tabs>
                <w:tab w:val="left" w:pos="0"/>
                <w:tab w:val="left" w:pos="240"/>
                <w:tab w:val="left" w:pos="284"/>
                <w:tab w:val="left" w:pos="7110"/>
                <w:tab w:val="left" w:pos="7650"/>
                <w:tab w:val="left" w:pos="8550"/>
              </w:tabs>
              <w:snapToGrid w:val="0"/>
              <w:ind w:right="-64"/>
              <w:jc w:val="center"/>
              <w:rPr>
                <w:rFonts w:asciiTheme="minorHAnsi" w:hAnsiTheme="minorHAnsi" w:cstheme="minorHAnsi"/>
                <w:b/>
                <w:sz w:val="22"/>
                <w:szCs w:val="22"/>
              </w:rPr>
            </w:pPr>
            <w:r w:rsidRPr="0068094B">
              <w:rPr>
                <w:rFonts w:asciiTheme="minorHAnsi" w:hAnsiTheme="minorHAnsi" w:cstheme="minorHAnsi"/>
                <w:b/>
                <w:sz w:val="22"/>
                <w:szCs w:val="22"/>
              </w:rPr>
              <w:t>Local Government Pension Scheme</w:t>
            </w:r>
          </w:p>
        </w:tc>
      </w:tr>
      <w:tr w:rsidR="00607B54" w:rsidRPr="0068094B" w:rsidTr="003B7F60">
        <w:trPr>
          <w:trHeight w:val="395"/>
          <w:tblHeader/>
          <w:jc w:val="center"/>
        </w:trPr>
        <w:tc>
          <w:tcPr>
            <w:tcW w:w="4651" w:type="dxa"/>
          </w:tcPr>
          <w:p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Borders>
              <w:bottom w:val="single" w:sz="4" w:space="0" w:color="auto"/>
            </w:tcBorders>
            <w:vAlign w:val="center"/>
          </w:tcPr>
          <w:p w:rsidR="00607B54" w:rsidRPr="0068094B" w:rsidRDefault="00607B54" w:rsidP="00377854">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68094B">
              <w:rPr>
                <w:rFonts w:asciiTheme="minorHAnsi" w:hAnsiTheme="minorHAnsi" w:cstheme="minorHAnsi"/>
                <w:b/>
                <w:sz w:val="22"/>
                <w:szCs w:val="22"/>
              </w:rPr>
              <w:t>201</w:t>
            </w:r>
            <w:r w:rsidR="00377854">
              <w:rPr>
                <w:rFonts w:asciiTheme="minorHAnsi" w:hAnsiTheme="minorHAnsi" w:cstheme="minorHAnsi"/>
                <w:b/>
                <w:sz w:val="22"/>
                <w:szCs w:val="22"/>
              </w:rPr>
              <w:t>8</w:t>
            </w:r>
            <w:r w:rsidRPr="0068094B">
              <w:rPr>
                <w:rFonts w:asciiTheme="minorHAnsi" w:hAnsiTheme="minorHAnsi" w:cstheme="minorHAnsi"/>
                <w:b/>
                <w:sz w:val="22"/>
                <w:szCs w:val="22"/>
              </w:rPr>
              <w:t>-1</w:t>
            </w:r>
            <w:r w:rsidR="00377854">
              <w:rPr>
                <w:rFonts w:asciiTheme="minorHAnsi" w:hAnsiTheme="minorHAnsi" w:cstheme="minorHAnsi"/>
                <w:b/>
                <w:sz w:val="22"/>
                <w:szCs w:val="22"/>
              </w:rPr>
              <w:t>9</w:t>
            </w:r>
          </w:p>
        </w:tc>
        <w:tc>
          <w:tcPr>
            <w:tcW w:w="1164" w:type="dxa"/>
            <w:tcBorders>
              <w:bottom w:val="single" w:sz="4" w:space="0" w:color="808080" w:themeColor="background1" w:themeShade="80"/>
            </w:tcBorders>
            <w:shd w:val="clear" w:color="auto" w:fill="D9D9D9" w:themeFill="background1" w:themeFillShade="D9"/>
            <w:vAlign w:val="center"/>
          </w:tcPr>
          <w:p w:rsidR="00607B54" w:rsidRPr="0068094B" w:rsidRDefault="00607B54" w:rsidP="00377854">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68094B">
              <w:rPr>
                <w:rFonts w:asciiTheme="minorHAnsi" w:hAnsiTheme="minorHAnsi" w:cstheme="minorHAnsi"/>
                <w:b/>
                <w:sz w:val="22"/>
                <w:szCs w:val="22"/>
              </w:rPr>
              <w:t>201</w:t>
            </w:r>
            <w:r w:rsidR="00377854">
              <w:rPr>
                <w:rFonts w:asciiTheme="minorHAnsi" w:hAnsiTheme="minorHAnsi" w:cstheme="minorHAnsi"/>
                <w:b/>
                <w:sz w:val="22"/>
                <w:szCs w:val="22"/>
              </w:rPr>
              <w:t>9</w:t>
            </w:r>
            <w:r w:rsidRPr="0068094B">
              <w:rPr>
                <w:rFonts w:asciiTheme="minorHAnsi" w:hAnsiTheme="minorHAnsi" w:cstheme="minorHAnsi"/>
                <w:b/>
                <w:sz w:val="22"/>
                <w:szCs w:val="22"/>
              </w:rPr>
              <w:t>-</w:t>
            </w:r>
            <w:r w:rsidR="00377854">
              <w:rPr>
                <w:rFonts w:asciiTheme="minorHAnsi" w:hAnsiTheme="minorHAnsi" w:cstheme="minorHAnsi"/>
                <w:b/>
                <w:sz w:val="22"/>
                <w:szCs w:val="22"/>
              </w:rPr>
              <w:t>20</w:t>
            </w:r>
          </w:p>
        </w:tc>
      </w:tr>
      <w:tr w:rsidR="00607B54" w:rsidRPr="0068094B" w:rsidTr="003B7F60">
        <w:trPr>
          <w:trHeight w:val="331"/>
          <w:jc w:val="center"/>
        </w:trPr>
        <w:tc>
          <w:tcPr>
            <w:tcW w:w="4651" w:type="dxa"/>
            <w:vAlign w:val="center"/>
          </w:tcPr>
          <w:p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Long-term expected rate of return on assets in the scheme:</w:t>
            </w:r>
          </w:p>
        </w:tc>
        <w:tc>
          <w:tcPr>
            <w:tcW w:w="1164" w:type="dxa"/>
            <w:tcBorders>
              <w:top w:val="single" w:sz="4" w:space="0" w:color="auto"/>
            </w:tcBorders>
          </w:tcPr>
          <w:p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tcBorders>
              <w:top w:val="single" w:sz="4" w:space="0" w:color="808080" w:themeColor="background1" w:themeShade="80"/>
            </w:tcBorders>
            <w:shd w:val="clear" w:color="auto" w:fill="D9D9D9" w:themeFill="background1" w:themeFillShade="D9"/>
          </w:tcPr>
          <w:p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Equities, Bonds, Property and Cash</w:t>
            </w:r>
          </w:p>
        </w:tc>
        <w:tc>
          <w:tcPr>
            <w:tcW w:w="1164" w:type="dxa"/>
          </w:tcPr>
          <w:p w:rsidR="00826FC8" w:rsidRPr="0068094B" w:rsidRDefault="00826FC8"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w:t>
            </w:r>
          </w:p>
        </w:tc>
        <w:tc>
          <w:tcPr>
            <w:tcW w:w="1164" w:type="dxa"/>
            <w:shd w:val="clear" w:color="auto" w:fill="D9D9D9" w:themeFill="background1" w:themeFillShade="D9"/>
          </w:tcPr>
          <w:p w:rsidR="00826FC8" w:rsidRPr="0068094B" w:rsidRDefault="003C61D0" w:rsidP="00441325">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Mortality assumptions</w:t>
            </w:r>
          </w:p>
        </w:tc>
        <w:tc>
          <w:tcPr>
            <w:tcW w:w="1164" w:type="dxa"/>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Longevity at 65 for current pensioners:</w:t>
            </w:r>
          </w:p>
        </w:tc>
        <w:tc>
          <w:tcPr>
            <w:tcW w:w="1164"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c>
          <w:tcPr>
            <w:tcW w:w="1164" w:type="dxa"/>
            <w:shd w:val="clear" w:color="auto" w:fill="D9D9D9" w:themeFill="background1" w:themeFillShade="D9"/>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Men</w:t>
            </w:r>
          </w:p>
        </w:tc>
        <w:tc>
          <w:tcPr>
            <w:tcW w:w="1164" w:type="dxa"/>
            <w:vAlign w:val="center"/>
          </w:tcPr>
          <w:p w:rsidR="00826FC8" w:rsidRPr="0068094B" w:rsidRDefault="00826FC8"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 xml:space="preserve">23.6 years </w:t>
            </w:r>
          </w:p>
        </w:tc>
        <w:tc>
          <w:tcPr>
            <w:tcW w:w="1164" w:type="dxa"/>
            <w:shd w:val="clear" w:color="auto" w:fill="D9D9D9" w:themeFill="background1" w:themeFillShade="D9"/>
            <w:vAlign w:val="center"/>
          </w:tcPr>
          <w:p w:rsidR="00826FC8" w:rsidRPr="0068094B" w:rsidRDefault="003C61D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22.2 years</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Women</w:t>
            </w:r>
          </w:p>
        </w:tc>
        <w:tc>
          <w:tcPr>
            <w:tcW w:w="1164" w:type="dxa"/>
            <w:vAlign w:val="center"/>
          </w:tcPr>
          <w:p w:rsidR="00826FC8" w:rsidRPr="0068094B" w:rsidRDefault="00826FC8" w:rsidP="003C61D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w:t>
            </w:r>
            <w:r w:rsidR="003C61D0">
              <w:rPr>
                <w:rFonts w:asciiTheme="minorHAnsi" w:hAnsiTheme="minorHAnsi" w:cstheme="minorHAnsi"/>
                <w:sz w:val="22"/>
                <w:szCs w:val="22"/>
              </w:rPr>
              <w:t>5</w:t>
            </w:r>
            <w:r>
              <w:rPr>
                <w:rFonts w:asciiTheme="minorHAnsi" w:hAnsiTheme="minorHAnsi" w:cstheme="minorHAnsi"/>
                <w:sz w:val="22"/>
                <w:szCs w:val="22"/>
              </w:rPr>
              <w:t>.0 years</w:t>
            </w:r>
          </w:p>
        </w:tc>
        <w:tc>
          <w:tcPr>
            <w:tcW w:w="1164" w:type="dxa"/>
            <w:shd w:val="clear" w:color="auto" w:fill="D9D9D9" w:themeFill="background1" w:themeFillShade="D9"/>
            <w:vAlign w:val="center"/>
          </w:tcPr>
          <w:p w:rsidR="00826FC8" w:rsidRPr="0068094B" w:rsidRDefault="003C61D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24.2 years</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Longevity at 65 for future pensioners:</w:t>
            </w:r>
          </w:p>
        </w:tc>
        <w:tc>
          <w:tcPr>
            <w:tcW w:w="1164" w:type="dxa"/>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Men</w:t>
            </w:r>
          </w:p>
        </w:tc>
        <w:tc>
          <w:tcPr>
            <w:tcW w:w="1164" w:type="dxa"/>
            <w:vAlign w:val="center"/>
          </w:tcPr>
          <w:p w:rsidR="00826FC8" w:rsidRPr="0068094B" w:rsidRDefault="00826FC8"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26.0 years</w:t>
            </w:r>
          </w:p>
        </w:tc>
        <w:tc>
          <w:tcPr>
            <w:tcW w:w="1164" w:type="dxa"/>
            <w:shd w:val="clear" w:color="auto" w:fill="D9D9D9" w:themeFill="background1" w:themeFillShade="D9"/>
            <w:vAlign w:val="center"/>
          </w:tcPr>
          <w:p w:rsidR="00826FC8" w:rsidRPr="0068094B" w:rsidRDefault="003C61D0" w:rsidP="003C61D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23.3 years</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Women</w:t>
            </w:r>
          </w:p>
        </w:tc>
        <w:tc>
          <w:tcPr>
            <w:tcW w:w="1164" w:type="dxa"/>
            <w:vAlign w:val="center"/>
          </w:tcPr>
          <w:p w:rsidR="00826FC8" w:rsidRPr="0068094B" w:rsidRDefault="00826FC8"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27.8 years</w:t>
            </w:r>
          </w:p>
        </w:tc>
        <w:tc>
          <w:tcPr>
            <w:tcW w:w="1164" w:type="dxa"/>
            <w:shd w:val="clear" w:color="auto" w:fill="D9D9D9" w:themeFill="background1" w:themeFillShade="D9"/>
            <w:vAlign w:val="center"/>
          </w:tcPr>
          <w:p w:rsidR="00826FC8" w:rsidRPr="0068094B" w:rsidRDefault="003C61D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25.9 years</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Financial assumptions</w:t>
            </w:r>
          </w:p>
        </w:tc>
        <w:tc>
          <w:tcPr>
            <w:tcW w:w="1164" w:type="dxa"/>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inflation</w:t>
            </w:r>
          </w:p>
        </w:tc>
        <w:tc>
          <w:tcPr>
            <w:tcW w:w="1164" w:type="dxa"/>
            <w:vAlign w:val="center"/>
          </w:tcPr>
          <w:p w:rsidR="00826FC8" w:rsidRPr="0068094B" w:rsidRDefault="00826FC8"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2.5%</w:t>
            </w:r>
          </w:p>
        </w:tc>
        <w:tc>
          <w:tcPr>
            <w:tcW w:w="1164" w:type="dxa"/>
            <w:shd w:val="clear" w:color="auto" w:fill="D9D9D9" w:themeFill="background1" w:themeFillShade="D9"/>
            <w:vAlign w:val="center"/>
          </w:tcPr>
          <w:p w:rsidR="00826FC8" w:rsidRPr="0068094B" w:rsidRDefault="003C61D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1.9%</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increase in salaries</w:t>
            </w:r>
          </w:p>
        </w:tc>
        <w:tc>
          <w:tcPr>
            <w:tcW w:w="1164" w:type="dxa"/>
            <w:vAlign w:val="center"/>
          </w:tcPr>
          <w:p w:rsidR="00826FC8" w:rsidRPr="0068094B" w:rsidRDefault="00826FC8"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3.2%</w:t>
            </w:r>
          </w:p>
        </w:tc>
        <w:tc>
          <w:tcPr>
            <w:tcW w:w="1164" w:type="dxa"/>
            <w:shd w:val="clear" w:color="auto" w:fill="D9D9D9" w:themeFill="background1" w:themeFillShade="D9"/>
            <w:vAlign w:val="center"/>
          </w:tcPr>
          <w:p w:rsidR="00826FC8" w:rsidRPr="0068094B" w:rsidRDefault="003C61D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increase in pensions</w:t>
            </w:r>
          </w:p>
        </w:tc>
        <w:tc>
          <w:tcPr>
            <w:tcW w:w="1164" w:type="dxa"/>
            <w:vAlign w:val="center"/>
          </w:tcPr>
          <w:p w:rsidR="00826FC8" w:rsidRPr="0068094B" w:rsidRDefault="00826FC8"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2.5%</w:t>
            </w:r>
          </w:p>
        </w:tc>
        <w:tc>
          <w:tcPr>
            <w:tcW w:w="1164" w:type="dxa"/>
            <w:shd w:val="clear" w:color="auto" w:fill="D9D9D9" w:themeFill="background1" w:themeFillShade="D9"/>
            <w:vAlign w:val="center"/>
          </w:tcPr>
          <w:p w:rsidR="00826FC8" w:rsidRPr="0068094B" w:rsidRDefault="003C61D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1.9%</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for discounting scheme liabilities</w:t>
            </w:r>
          </w:p>
        </w:tc>
        <w:tc>
          <w:tcPr>
            <w:tcW w:w="1164" w:type="dxa"/>
            <w:vAlign w:val="center"/>
          </w:tcPr>
          <w:p w:rsidR="00826FC8" w:rsidRPr="0068094B" w:rsidRDefault="00826FC8"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w:t>
            </w:r>
          </w:p>
        </w:tc>
        <w:tc>
          <w:tcPr>
            <w:tcW w:w="1164" w:type="dxa"/>
            <w:shd w:val="clear" w:color="auto" w:fill="D9D9D9" w:themeFill="background1" w:themeFillShade="D9"/>
            <w:vAlign w:val="center"/>
          </w:tcPr>
          <w:p w:rsidR="00826FC8" w:rsidRPr="0068094B" w:rsidRDefault="003C61D0" w:rsidP="00441325">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w:t>
            </w:r>
          </w:p>
        </w:tc>
      </w:tr>
      <w:tr w:rsidR="00826FC8" w:rsidRPr="0068094B" w:rsidTr="003B7F60">
        <w:trPr>
          <w:jc w:val="center"/>
        </w:trPr>
        <w:tc>
          <w:tcPr>
            <w:tcW w:w="4651" w:type="dxa"/>
            <w:vAlign w:val="center"/>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rsidR="00826FC8" w:rsidRPr="0068094B" w:rsidRDefault="00826FC8"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bl>
    <w:p w:rsidR="00EB01D3" w:rsidRDefault="00EB01D3" w:rsidP="00C2596E">
      <w:pPr>
        <w:tabs>
          <w:tab w:val="left" w:pos="0"/>
        </w:tabs>
        <w:jc w:val="both"/>
        <w:rPr>
          <w:rFonts w:asciiTheme="minorHAnsi" w:hAnsiTheme="minorHAnsi" w:cstheme="minorHAnsi"/>
          <w:b/>
          <w:bCs/>
          <w:sz w:val="22"/>
          <w:szCs w:val="22"/>
        </w:rPr>
      </w:pPr>
    </w:p>
    <w:p w:rsidR="00EB01D3" w:rsidRDefault="00EB01D3" w:rsidP="00C2596E">
      <w:pPr>
        <w:tabs>
          <w:tab w:val="left" w:pos="0"/>
        </w:tabs>
        <w:jc w:val="both"/>
        <w:rPr>
          <w:rFonts w:asciiTheme="minorHAnsi" w:hAnsiTheme="minorHAnsi" w:cstheme="minorHAnsi"/>
          <w:b/>
          <w:bCs/>
          <w:sz w:val="22"/>
          <w:szCs w:val="22"/>
        </w:rPr>
      </w:pPr>
    </w:p>
    <w:p w:rsidR="00C2596E" w:rsidRPr="0068094B" w:rsidRDefault="00C2596E" w:rsidP="00C2596E">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Sensitivity Analysis</w:t>
      </w:r>
    </w:p>
    <w:p w:rsidR="00C2596E" w:rsidRPr="0068094B"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rsidR="00C2596E" w:rsidRPr="0068094B"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68094B">
        <w:rPr>
          <w:rFonts w:asciiTheme="minorHAnsi" w:hAnsiTheme="minorHAnsi" w:cstheme="minorHAnsi"/>
          <w:sz w:val="22"/>
          <w:szCs w:val="22"/>
        </w:rPr>
        <w:t xml:space="preserve">The estimation of the defined obligations is sensitive to the actuarial assumptions set out in the table above. The sensitivity analysis below have been determined based on reasonably possible changes of the assumptions occurring at the end of the reporting period and assumes for each change that the assumption analysed changes while all other assumptions remain constant. </w:t>
      </w:r>
    </w:p>
    <w:p w:rsidR="00C2596E" w:rsidRPr="0068094B" w:rsidRDefault="00C2596E" w:rsidP="00C2596E">
      <w:pPr>
        <w:tabs>
          <w:tab w:val="left" w:pos="0"/>
        </w:tabs>
        <w:jc w:val="both"/>
        <w:rPr>
          <w:rFonts w:asciiTheme="minorHAnsi" w:hAnsiTheme="minorHAnsi" w:cstheme="minorHAnsi"/>
          <w:sz w:val="22"/>
          <w:szCs w:val="22"/>
          <w:highlight w:val="lightGray"/>
        </w:rPr>
      </w:pPr>
    </w:p>
    <w:tbl>
      <w:tblPr>
        <w:tblW w:w="0" w:type="auto"/>
        <w:tblLayout w:type="fixed"/>
        <w:tblLook w:val="0000" w:firstRow="0" w:lastRow="0" w:firstColumn="0" w:lastColumn="0" w:noHBand="0" w:noVBand="0"/>
      </w:tblPr>
      <w:tblGrid>
        <w:gridCol w:w="4219"/>
        <w:gridCol w:w="2410"/>
        <w:gridCol w:w="2316"/>
      </w:tblGrid>
      <w:tr w:rsidR="00C2596E" w:rsidRPr="0068094B" w:rsidTr="003B7F60">
        <w:tc>
          <w:tcPr>
            <w:tcW w:w="4219" w:type="dxa"/>
            <w:tcBorders>
              <w:bottom w:val="single" w:sz="4" w:space="0" w:color="000000"/>
            </w:tcBorders>
            <w:shd w:val="clear" w:color="auto" w:fill="FFFFFF" w:themeFill="background1"/>
            <w:vAlign w:val="center"/>
          </w:tcPr>
          <w:p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Change in assumptions at year ended </w:t>
            </w:r>
          </w:p>
          <w:p w:rsidR="00C2596E" w:rsidRPr="0068094B" w:rsidRDefault="00C2596E" w:rsidP="006744F4">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31 March 20</w:t>
            </w:r>
            <w:r w:rsidR="006744F4">
              <w:rPr>
                <w:rFonts w:asciiTheme="minorHAnsi" w:hAnsiTheme="minorHAnsi" w:cstheme="minorHAnsi"/>
                <w:sz w:val="22"/>
                <w:szCs w:val="22"/>
              </w:rPr>
              <w:t>20</w:t>
            </w:r>
          </w:p>
        </w:tc>
        <w:tc>
          <w:tcPr>
            <w:tcW w:w="2410" w:type="dxa"/>
            <w:tcBorders>
              <w:bottom w:val="single" w:sz="4" w:space="0" w:color="000000"/>
            </w:tcBorders>
            <w:shd w:val="clear" w:color="auto" w:fill="auto"/>
            <w:vAlign w:val="center"/>
          </w:tcPr>
          <w:p w:rsidR="00C2596E" w:rsidRPr="0068094B" w:rsidRDefault="00C2596E" w:rsidP="003B7F60">
            <w:pPr>
              <w:tabs>
                <w:tab w:val="left" w:pos="0"/>
              </w:tabs>
              <w:snapToGrid w:val="0"/>
              <w:jc w:val="center"/>
              <w:rPr>
                <w:rFonts w:asciiTheme="minorHAnsi" w:hAnsiTheme="minorHAnsi" w:cstheme="minorHAnsi"/>
                <w:sz w:val="22"/>
                <w:szCs w:val="22"/>
              </w:rPr>
            </w:pPr>
            <w:r w:rsidRPr="0068094B">
              <w:rPr>
                <w:rFonts w:asciiTheme="minorHAnsi" w:hAnsiTheme="minorHAnsi" w:cstheme="minorHAnsi"/>
                <w:sz w:val="22"/>
                <w:szCs w:val="22"/>
              </w:rPr>
              <w:t>Approximate % increase to Employer Obligation</w:t>
            </w:r>
          </w:p>
        </w:tc>
        <w:tc>
          <w:tcPr>
            <w:tcW w:w="2316" w:type="dxa"/>
            <w:tcBorders>
              <w:bottom w:val="single" w:sz="4" w:space="0" w:color="000000"/>
            </w:tcBorders>
            <w:shd w:val="clear" w:color="auto" w:fill="auto"/>
            <w:vAlign w:val="center"/>
          </w:tcPr>
          <w:p w:rsidR="00C2596E" w:rsidRPr="0068094B" w:rsidRDefault="00C2596E" w:rsidP="003B7F60">
            <w:pPr>
              <w:tabs>
                <w:tab w:val="left" w:pos="0"/>
              </w:tabs>
              <w:snapToGrid w:val="0"/>
              <w:jc w:val="center"/>
              <w:rPr>
                <w:rFonts w:asciiTheme="minorHAnsi" w:hAnsiTheme="minorHAnsi" w:cstheme="minorHAnsi"/>
                <w:sz w:val="22"/>
                <w:szCs w:val="22"/>
              </w:rPr>
            </w:pPr>
            <w:r w:rsidRPr="0068094B">
              <w:rPr>
                <w:rFonts w:asciiTheme="minorHAnsi" w:hAnsiTheme="minorHAnsi" w:cstheme="minorHAnsi"/>
                <w:sz w:val="22"/>
                <w:szCs w:val="22"/>
              </w:rPr>
              <w:t>Approximate monetary Amount (£000)</w:t>
            </w:r>
          </w:p>
        </w:tc>
      </w:tr>
      <w:tr w:rsidR="00C2596E" w:rsidRPr="0068094B" w:rsidTr="003B7F60">
        <w:trPr>
          <w:trHeight w:val="449"/>
        </w:trPr>
        <w:tc>
          <w:tcPr>
            <w:tcW w:w="4219" w:type="dxa"/>
            <w:shd w:val="clear" w:color="auto" w:fill="auto"/>
            <w:vAlign w:val="center"/>
          </w:tcPr>
          <w:p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0.5% decrease in Real Discount Rate</w:t>
            </w:r>
          </w:p>
        </w:tc>
        <w:tc>
          <w:tcPr>
            <w:tcW w:w="2410" w:type="dxa"/>
            <w:shd w:val="clear" w:color="auto" w:fill="auto"/>
            <w:vAlign w:val="center"/>
          </w:tcPr>
          <w:p w:rsidR="00C2596E" w:rsidRPr="0068094B" w:rsidRDefault="002331A2"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10%</w:t>
            </w:r>
          </w:p>
        </w:tc>
        <w:tc>
          <w:tcPr>
            <w:tcW w:w="2316" w:type="dxa"/>
            <w:shd w:val="clear" w:color="auto" w:fill="auto"/>
            <w:vAlign w:val="center"/>
          </w:tcPr>
          <w:p w:rsidR="00C2596E" w:rsidRPr="00EB01D3" w:rsidRDefault="002331A2" w:rsidP="00991D58">
            <w:pPr>
              <w:tabs>
                <w:tab w:val="left" w:pos="0"/>
              </w:tabs>
              <w:snapToGrid w:val="0"/>
              <w:jc w:val="center"/>
              <w:rPr>
                <w:rFonts w:asciiTheme="minorHAnsi" w:hAnsiTheme="minorHAnsi" w:cstheme="minorHAnsi"/>
                <w:sz w:val="22"/>
                <w:szCs w:val="22"/>
              </w:rPr>
            </w:pPr>
            <w:r w:rsidRPr="00EB01D3">
              <w:rPr>
                <w:rFonts w:asciiTheme="minorHAnsi" w:hAnsiTheme="minorHAnsi" w:cstheme="minorHAnsi"/>
                <w:sz w:val="22"/>
                <w:szCs w:val="22"/>
              </w:rPr>
              <w:t>15,</w:t>
            </w:r>
            <w:r w:rsidR="00991D58" w:rsidRPr="00EB01D3">
              <w:rPr>
                <w:rFonts w:asciiTheme="minorHAnsi" w:hAnsiTheme="minorHAnsi" w:cstheme="minorHAnsi"/>
                <w:sz w:val="22"/>
                <w:szCs w:val="22"/>
              </w:rPr>
              <w:t>368</w:t>
            </w:r>
          </w:p>
        </w:tc>
      </w:tr>
      <w:tr w:rsidR="00C2596E" w:rsidRPr="0068094B" w:rsidTr="003B7F60">
        <w:trPr>
          <w:trHeight w:val="411"/>
        </w:trPr>
        <w:tc>
          <w:tcPr>
            <w:tcW w:w="4219" w:type="dxa"/>
            <w:shd w:val="clear" w:color="auto" w:fill="auto"/>
            <w:vAlign w:val="center"/>
          </w:tcPr>
          <w:p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0.5% increase in the Salary Increase Rate</w:t>
            </w:r>
          </w:p>
        </w:tc>
        <w:tc>
          <w:tcPr>
            <w:tcW w:w="2410" w:type="dxa"/>
            <w:shd w:val="clear" w:color="auto" w:fill="auto"/>
            <w:vAlign w:val="center"/>
          </w:tcPr>
          <w:p w:rsidR="00C2596E" w:rsidRPr="0068094B" w:rsidRDefault="002331A2"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1%</w:t>
            </w:r>
          </w:p>
        </w:tc>
        <w:tc>
          <w:tcPr>
            <w:tcW w:w="2316" w:type="dxa"/>
            <w:shd w:val="clear" w:color="auto" w:fill="auto"/>
            <w:vAlign w:val="center"/>
          </w:tcPr>
          <w:p w:rsidR="00C2596E" w:rsidRPr="00EB01D3" w:rsidRDefault="002331A2" w:rsidP="00991D58">
            <w:pPr>
              <w:tabs>
                <w:tab w:val="left" w:pos="0"/>
              </w:tabs>
              <w:snapToGrid w:val="0"/>
              <w:jc w:val="center"/>
              <w:rPr>
                <w:rFonts w:asciiTheme="minorHAnsi" w:hAnsiTheme="minorHAnsi" w:cstheme="minorHAnsi"/>
                <w:sz w:val="22"/>
                <w:szCs w:val="22"/>
              </w:rPr>
            </w:pPr>
            <w:r w:rsidRPr="00EB01D3">
              <w:rPr>
                <w:rFonts w:asciiTheme="minorHAnsi" w:hAnsiTheme="minorHAnsi" w:cstheme="minorHAnsi"/>
                <w:sz w:val="22"/>
                <w:szCs w:val="22"/>
              </w:rPr>
              <w:t>1,69</w:t>
            </w:r>
            <w:r w:rsidR="00991D58" w:rsidRPr="00EB01D3">
              <w:rPr>
                <w:rFonts w:asciiTheme="minorHAnsi" w:hAnsiTheme="minorHAnsi" w:cstheme="minorHAnsi"/>
                <w:sz w:val="22"/>
                <w:szCs w:val="22"/>
              </w:rPr>
              <w:t>1</w:t>
            </w:r>
          </w:p>
        </w:tc>
      </w:tr>
      <w:tr w:rsidR="00C2596E" w:rsidRPr="0068094B" w:rsidTr="003B7F60">
        <w:trPr>
          <w:trHeight w:val="434"/>
        </w:trPr>
        <w:tc>
          <w:tcPr>
            <w:tcW w:w="4219" w:type="dxa"/>
            <w:tcBorders>
              <w:bottom w:val="single" w:sz="4" w:space="0" w:color="000000"/>
            </w:tcBorders>
            <w:shd w:val="clear" w:color="auto" w:fill="auto"/>
            <w:vAlign w:val="center"/>
          </w:tcPr>
          <w:p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0.5% increase in the Pension Increase Rate </w:t>
            </w:r>
          </w:p>
        </w:tc>
        <w:tc>
          <w:tcPr>
            <w:tcW w:w="2410" w:type="dxa"/>
            <w:tcBorders>
              <w:bottom w:val="single" w:sz="4" w:space="0" w:color="000000"/>
            </w:tcBorders>
            <w:shd w:val="clear" w:color="auto" w:fill="auto"/>
            <w:vAlign w:val="center"/>
          </w:tcPr>
          <w:p w:rsidR="00C2596E" w:rsidRPr="0068094B" w:rsidRDefault="002331A2"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8%</w:t>
            </w:r>
          </w:p>
        </w:tc>
        <w:tc>
          <w:tcPr>
            <w:tcW w:w="2316" w:type="dxa"/>
            <w:tcBorders>
              <w:bottom w:val="single" w:sz="4" w:space="0" w:color="000000"/>
            </w:tcBorders>
            <w:shd w:val="clear" w:color="auto" w:fill="auto"/>
            <w:vAlign w:val="center"/>
          </w:tcPr>
          <w:p w:rsidR="00C2596E" w:rsidRPr="00EB01D3" w:rsidRDefault="002331A2" w:rsidP="00991D58">
            <w:pPr>
              <w:tabs>
                <w:tab w:val="left" w:pos="0"/>
              </w:tabs>
              <w:snapToGrid w:val="0"/>
              <w:jc w:val="center"/>
              <w:rPr>
                <w:rFonts w:asciiTheme="minorHAnsi" w:hAnsiTheme="minorHAnsi" w:cstheme="minorHAnsi"/>
                <w:sz w:val="22"/>
                <w:szCs w:val="22"/>
              </w:rPr>
            </w:pPr>
            <w:r w:rsidRPr="00EB01D3">
              <w:rPr>
                <w:rFonts w:asciiTheme="minorHAnsi" w:hAnsiTheme="minorHAnsi" w:cstheme="minorHAnsi"/>
                <w:sz w:val="22"/>
                <w:szCs w:val="22"/>
              </w:rPr>
              <w:t>13,5</w:t>
            </w:r>
            <w:r w:rsidR="00991D58" w:rsidRPr="00EB01D3">
              <w:rPr>
                <w:rFonts w:asciiTheme="minorHAnsi" w:hAnsiTheme="minorHAnsi" w:cstheme="minorHAnsi"/>
                <w:sz w:val="22"/>
                <w:szCs w:val="22"/>
              </w:rPr>
              <w:t>33</w:t>
            </w:r>
          </w:p>
        </w:tc>
      </w:tr>
    </w:tbl>
    <w:p w:rsidR="00F11364" w:rsidRDefault="00F11364" w:rsidP="00607B54">
      <w:pPr>
        <w:tabs>
          <w:tab w:val="left" w:pos="0"/>
        </w:tabs>
        <w:rPr>
          <w:rFonts w:asciiTheme="minorHAnsi" w:hAnsiTheme="minorHAnsi" w:cstheme="minorHAnsi"/>
          <w:sz w:val="22"/>
          <w:szCs w:val="22"/>
        </w:rPr>
      </w:pPr>
    </w:p>
    <w:p w:rsidR="00F11364" w:rsidRDefault="00F11364">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rsidR="00EB01D3" w:rsidRDefault="00EB01D3" w:rsidP="00607B54">
      <w:pPr>
        <w:tabs>
          <w:tab w:val="left" w:pos="0"/>
        </w:tabs>
        <w:rPr>
          <w:rFonts w:asciiTheme="minorHAnsi" w:hAnsiTheme="minorHAnsi" w:cstheme="minorHAnsi"/>
          <w:sz w:val="22"/>
          <w:szCs w:val="22"/>
        </w:rPr>
      </w:pPr>
    </w:p>
    <w:p w:rsidR="00183652" w:rsidRPr="0068094B" w:rsidRDefault="004A6511"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shd w:val="clear" w:color="auto" w:fill="FFFFFF"/>
        </w:rPr>
        <w:t>Contingent Liabilities</w:t>
      </w:r>
    </w:p>
    <w:p w:rsidR="00B039CE" w:rsidRPr="0068094B" w:rsidRDefault="00B039CE" w:rsidP="00F11364">
      <w:pPr>
        <w:tabs>
          <w:tab w:val="left" w:pos="0"/>
        </w:tabs>
        <w:jc w:val="both"/>
        <w:rPr>
          <w:rFonts w:asciiTheme="minorHAnsi" w:hAnsiTheme="minorHAnsi" w:cstheme="minorHAnsi"/>
          <w:b/>
          <w:bCs/>
          <w:sz w:val="22"/>
          <w:szCs w:val="22"/>
        </w:rPr>
      </w:pPr>
    </w:p>
    <w:p w:rsidR="00FD75BA" w:rsidRDefault="00FD75BA" w:rsidP="00FD75BA">
      <w:pPr>
        <w:pStyle w:val="FootnoteText"/>
        <w:tabs>
          <w:tab w:val="left" w:pos="0"/>
        </w:tabs>
        <w:rPr>
          <w:rFonts w:asciiTheme="minorHAnsi" w:hAnsiTheme="minorHAnsi" w:cstheme="minorHAnsi"/>
          <w:sz w:val="22"/>
          <w:szCs w:val="22"/>
          <w:shd w:val="clear" w:color="auto" w:fill="FFFFFF"/>
        </w:rPr>
      </w:pPr>
      <w:r w:rsidRPr="00FD75BA">
        <w:rPr>
          <w:rFonts w:asciiTheme="minorHAnsi" w:hAnsiTheme="minorHAnsi" w:cstheme="minorHAnsi"/>
          <w:sz w:val="22"/>
          <w:szCs w:val="22"/>
          <w:shd w:val="clear" w:color="auto" w:fill="FFFFFF"/>
        </w:rPr>
        <w:t xml:space="preserve">A potential liability </w:t>
      </w:r>
      <w:r>
        <w:rPr>
          <w:rFonts w:asciiTheme="minorHAnsi" w:hAnsiTheme="minorHAnsi" w:cstheme="minorHAnsi"/>
          <w:sz w:val="22"/>
          <w:szCs w:val="22"/>
          <w:shd w:val="clear" w:color="auto" w:fill="FFFFFF"/>
        </w:rPr>
        <w:t xml:space="preserve">also </w:t>
      </w:r>
      <w:r w:rsidRPr="00FD75BA">
        <w:rPr>
          <w:rFonts w:asciiTheme="minorHAnsi" w:hAnsiTheme="minorHAnsi" w:cstheme="minorHAnsi"/>
          <w:sz w:val="22"/>
          <w:szCs w:val="22"/>
          <w:shd w:val="clear" w:color="auto" w:fill="FFFFFF"/>
        </w:rPr>
        <w:t>exists in relation to NHS Trusts who have sought mandatory charitable relief on business rates. As any liability is subject to a successful appeal against the initial court judgement in this matter, the likelihood of any resource outflow is considered too uncertain to provide for at this stage.</w:t>
      </w:r>
      <w:r w:rsidR="00C54ACD">
        <w:rPr>
          <w:rFonts w:asciiTheme="minorHAnsi" w:hAnsiTheme="minorHAnsi" w:cstheme="minorHAnsi"/>
          <w:sz w:val="22"/>
          <w:szCs w:val="22"/>
          <w:shd w:val="clear" w:color="auto" w:fill="FFFFFF"/>
        </w:rPr>
        <w:t xml:space="preserve">  </w:t>
      </w:r>
      <w:r w:rsidRPr="0068094B">
        <w:rPr>
          <w:rFonts w:asciiTheme="minorHAnsi" w:hAnsiTheme="minorHAnsi" w:cstheme="minorHAnsi"/>
          <w:sz w:val="22"/>
          <w:szCs w:val="22"/>
          <w:shd w:val="clear" w:color="auto" w:fill="FFFFFF"/>
        </w:rPr>
        <w:t>The Council</w:t>
      </w:r>
      <w:r>
        <w:rPr>
          <w:rFonts w:asciiTheme="minorHAnsi" w:hAnsiTheme="minorHAnsi" w:cstheme="minorHAnsi"/>
          <w:sz w:val="22"/>
          <w:szCs w:val="22"/>
          <w:shd w:val="clear" w:color="auto" w:fill="FFFFFF"/>
        </w:rPr>
        <w:t xml:space="preserve"> also</w:t>
      </w:r>
      <w:r w:rsidRPr="0068094B">
        <w:rPr>
          <w:rFonts w:asciiTheme="minorHAnsi" w:hAnsiTheme="minorHAnsi" w:cstheme="minorHAnsi"/>
          <w:sz w:val="22"/>
          <w:szCs w:val="22"/>
          <w:shd w:val="clear" w:color="auto" w:fill="FFFFFF"/>
        </w:rPr>
        <w:t xml:space="preserve"> has a number of potential claims relating to ongoing legal matters</w:t>
      </w:r>
      <w:r w:rsidR="00C84EDC">
        <w:rPr>
          <w:rFonts w:asciiTheme="minorHAnsi" w:hAnsiTheme="minorHAnsi" w:cstheme="minorHAnsi"/>
          <w:sz w:val="22"/>
          <w:szCs w:val="22"/>
          <w:shd w:val="clear" w:color="auto" w:fill="FFFFFF"/>
        </w:rPr>
        <w:t>.</w:t>
      </w:r>
    </w:p>
    <w:p w:rsidR="00FD75BA" w:rsidRDefault="00FD75BA" w:rsidP="00ED3B24">
      <w:pPr>
        <w:pStyle w:val="FootnoteText"/>
        <w:tabs>
          <w:tab w:val="left" w:pos="0"/>
        </w:tabs>
        <w:rPr>
          <w:rFonts w:asciiTheme="minorHAnsi" w:hAnsiTheme="minorHAnsi" w:cstheme="minorHAnsi"/>
          <w:sz w:val="22"/>
          <w:szCs w:val="22"/>
          <w:shd w:val="clear" w:color="auto" w:fill="FFFFFF"/>
        </w:rPr>
      </w:pPr>
    </w:p>
    <w:p w:rsidR="0055757C" w:rsidRPr="003421D8" w:rsidRDefault="002860DF" w:rsidP="00ED3B24">
      <w:pPr>
        <w:pStyle w:val="FootnoteText"/>
        <w:tabs>
          <w:tab w:val="left" w:pos="0"/>
        </w:tabs>
        <w:rPr>
          <w:rFonts w:asciiTheme="minorHAnsi" w:hAnsiTheme="minorHAnsi" w:cstheme="minorHAnsi"/>
          <w:sz w:val="22"/>
          <w:szCs w:val="22"/>
          <w:shd w:val="clear" w:color="auto" w:fill="FFFFFF"/>
        </w:rPr>
      </w:pPr>
      <w:r w:rsidRPr="0068094B">
        <w:rPr>
          <w:rFonts w:asciiTheme="minorHAnsi" w:hAnsiTheme="minorHAnsi" w:cstheme="minorHAnsi"/>
          <w:sz w:val="22"/>
          <w:szCs w:val="22"/>
          <w:shd w:val="clear" w:color="auto" w:fill="FFFFFF"/>
        </w:rPr>
        <w:t xml:space="preserve">At this time the </w:t>
      </w:r>
      <w:r w:rsidR="00E16274" w:rsidRPr="0068094B">
        <w:rPr>
          <w:rFonts w:asciiTheme="minorHAnsi" w:hAnsiTheme="minorHAnsi" w:cstheme="minorHAnsi"/>
          <w:sz w:val="22"/>
          <w:szCs w:val="22"/>
          <w:shd w:val="clear" w:color="auto" w:fill="FFFFFF"/>
        </w:rPr>
        <w:t>Council</w:t>
      </w:r>
      <w:r w:rsidR="00532E58" w:rsidRPr="0068094B">
        <w:rPr>
          <w:rFonts w:asciiTheme="minorHAnsi" w:hAnsiTheme="minorHAnsi" w:cstheme="minorHAnsi"/>
          <w:sz w:val="22"/>
          <w:szCs w:val="22"/>
          <w:shd w:val="clear" w:color="auto" w:fill="FFFFFF"/>
        </w:rPr>
        <w:t>’s best estimate of the contingent liability associat</w:t>
      </w:r>
      <w:r w:rsidR="00FD75BA">
        <w:rPr>
          <w:rFonts w:asciiTheme="minorHAnsi" w:hAnsiTheme="minorHAnsi" w:cstheme="minorHAnsi"/>
          <w:sz w:val="22"/>
          <w:szCs w:val="22"/>
          <w:shd w:val="clear" w:color="auto" w:fill="FFFFFF"/>
        </w:rPr>
        <w:t>ed with these issues</w:t>
      </w:r>
      <w:r w:rsidR="00291AC7">
        <w:rPr>
          <w:rFonts w:asciiTheme="minorHAnsi" w:hAnsiTheme="minorHAnsi" w:cstheme="minorHAnsi"/>
          <w:sz w:val="22"/>
          <w:szCs w:val="22"/>
          <w:shd w:val="clear" w:color="auto" w:fill="FFFFFF"/>
        </w:rPr>
        <w:t xml:space="preserve"> </w:t>
      </w:r>
      <w:r w:rsidR="00291AC7" w:rsidRPr="00E32AE7">
        <w:rPr>
          <w:rFonts w:asciiTheme="minorHAnsi" w:hAnsiTheme="minorHAnsi" w:cstheme="minorHAnsi"/>
          <w:sz w:val="22"/>
          <w:szCs w:val="22"/>
          <w:shd w:val="clear" w:color="auto" w:fill="FFFFFF"/>
        </w:rPr>
        <w:t>is £</w:t>
      </w:r>
      <w:r w:rsidR="00E32AE7" w:rsidRPr="00E32AE7">
        <w:rPr>
          <w:rFonts w:asciiTheme="minorHAnsi" w:hAnsiTheme="minorHAnsi" w:cstheme="minorHAnsi"/>
          <w:sz w:val="22"/>
          <w:szCs w:val="22"/>
          <w:shd w:val="clear" w:color="auto" w:fill="FFFFFF"/>
        </w:rPr>
        <w:t>3</w:t>
      </w:r>
      <w:r w:rsidR="00291AC7" w:rsidRPr="00E32AE7">
        <w:rPr>
          <w:rFonts w:asciiTheme="minorHAnsi" w:hAnsiTheme="minorHAnsi" w:cstheme="minorHAnsi"/>
          <w:sz w:val="22"/>
          <w:szCs w:val="22"/>
          <w:shd w:val="clear" w:color="auto" w:fill="FFFFFF"/>
        </w:rPr>
        <w:t>.</w:t>
      </w:r>
      <w:r w:rsidR="00E32AE7" w:rsidRPr="00E32AE7">
        <w:rPr>
          <w:rFonts w:asciiTheme="minorHAnsi" w:hAnsiTheme="minorHAnsi" w:cstheme="minorHAnsi"/>
          <w:sz w:val="22"/>
          <w:szCs w:val="22"/>
          <w:shd w:val="clear" w:color="auto" w:fill="FFFFFF"/>
        </w:rPr>
        <w:t>6</w:t>
      </w:r>
      <w:r w:rsidR="00291AC7" w:rsidRPr="00E32AE7">
        <w:rPr>
          <w:rFonts w:asciiTheme="minorHAnsi" w:hAnsiTheme="minorHAnsi" w:cstheme="minorHAnsi"/>
          <w:sz w:val="22"/>
          <w:szCs w:val="22"/>
          <w:shd w:val="clear" w:color="auto" w:fill="FFFFFF"/>
        </w:rPr>
        <w:t>m</w:t>
      </w:r>
      <w:r w:rsidR="00532E58" w:rsidRPr="00E32AE7">
        <w:rPr>
          <w:rFonts w:asciiTheme="minorHAnsi" w:hAnsiTheme="minorHAnsi" w:cstheme="minorHAnsi"/>
          <w:sz w:val="22"/>
          <w:szCs w:val="22"/>
          <w:shd w:val="clear" w:color="auto" w:fill="FFFFFF"/>
        </w:rPr>
        <w:t>.</w:t>
      </w:r>
      <w:r w:rsidRPr="0068094B">
        <w:rPr>
          <w:rFonts w:asciiTheme="minorHAnsi" w:hAnsiTheme="minorHAnsi" w:cstheme="minorHAnsi"/>
          <w:sz w:val="22"/>
          <w:szCs w:val="22"/>
          <w:shd w:val="clear" w:color="auto" w:fill="FFFFFF"/>
        </w:rPr>
        <w:t xml:space="preserve"> </w:t>
      </w:r>
      <w:r w:rsidR="00291AC7" w:rsidRPr="00710691">
        <w:rPr>
          <w:rFonts w:asciiTheme="minorHAnsi" w:hAnsiTheme="minorHAnsi" w:cstheme="minorHAnsi"/>
          <w:sz w:val="22"/>
          <w:szCs w:val="22"/>
          <w:shd w:val="clear" w:color="auto" w:fill="FFFFFF"/>
        </w:rPr>
        <w:t xml:space="preserve">In relation to the </w:t>
      </w:r>
      <w:r w:rsidR="00FD75BA">
        <w:rPr>
          <w:rFonts w:asciiTheme="minorHAnsi" w:hAnsiTheme="minorHAnsi" w:cstheme="minorHAnsi"/>
          <w:sz w:val="22"/>
          <w:szCs w:val="22"/>
          <w:shd w:val="clear" w:color="auto" w:fill="FFFFFF"/>
        </w:rPr>
        <w:t>NHS Trust</w:t>
      </w:r>
      <w:r w:rsidR="00291AC7" w:rsidRPr="00710691">
        <w:rPr>
          <w:rFonts w:asciiTheme="minorHAnsi" w:hAnsiTheme="minorHAnsi" w:cstheme="minorHAnsi"/>
          <w:sz w:val="22"/>
          <w:szCs w:val="22"/>
          <w:shd w:val="clear" w:color="auto" w:fill="FFFFFF"/>
        </w:rPr>
        <w:t xml:space="preserve"> appeals, this figure may by understated if any element of a claim is backdated.</w:t>
      </w:r>
      <w:r w:rsidR="00291AC7">
        <w:rPr>
          <w:rFonts w:asciiTheme="minorHAnsi" w:hAnsiTheme="minorHAnsi" w:cstheme="minorHAnsi"/>
          <w:sz w:val="22"/>
          <w:szCs w:val="22"/>
          <w:shd w:val="clear" w:color="auto" w:fill="FFFFFF"/>
        </w:rPr>
        <w:t xml:space="preserve"> </w:t>
      </w:r>
    </w:p>
    <w:p w:rsidR="008C462D" w:rsidRDefault="008C462D" w:rsidP="00633107">
      <w:pPr>
        <w:tabs>
          <w:tab w:val="left" w:pos="0"/>
        </w:tabs>
        <w:rPr>
          <w:rFonts w:asciiTheme="minorHAnsi" w:hAnsiTheme="minorHAnsi" w:cstheme="minorHAnsi"/>
          <w:b/>
          <w:bCs/>
          <w:sz w:val="22"/>
          <w:szCs w:val="22"/>
        </w:rPr>
      </w:pPr>
    </w:p>
    <w:p w:rsidR="006C7C33" w:rsidRPr="0068094B" w:rsidRDefault="006C7C33" w:rsidP="007D7B32">
      <w:pPr>
        <w:pStyle w:val="ListParagraph"/>
        <w:numPr>
          <w:ilvl w:val="0"/>
          <w:numId w:val="40"/>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Nature and extent of risks arising from Financial Instruments</w:t>
      </w:r>
    </w:p>
    <w:p w:rsidR="006C7C33" w:rsidRPr="0068094B" w:rsidRDefault="006C7C33" w:rsidP="006C7C33">
      <w:pPr>
        <w:pStyle w:val="ListParagraph"/>
        <w:tabs>
          <w:tab w:val="left" w:pos="0"/>
        </w:tabs>
        <w:jc w:val="both"/>
        <w:rPr>
          <w:rFonts w:asciiTheme="minorHAnsi" w:hAnsiTheme="minorHAnsi" w:cstheme="minorHAnsi"/>
          <w:b/>
          <w:bCs/>
          <w:szCs w:val="22"/>
        </w:rPr>
      </w:pPr>
    </w:p>
    <w:p w:rsidR="006C7C33" w:rsidRPr="0068094B" w:rsidRDefault="006C7C33" w:rsidP="006C7C33">
      <w:pPr>
        <w:rPr>
          <w:rFonts w:asciiTheme="minorHAnsi" w:hAnsiTheme="minorHAnsi" w:cstheme="minorHAnsi"/>
          <w:color w:val="000000"/>
          <w:sz w:val="22"/>
          <w:szCs w:val="22"/>
        </w:rPr>
      </w:pPr>
      <w:r w:rsidRPr="0068094B">
        <w:rPr>
          <w:rFonts w:asciiTheme="minorHAnsi" w:hAnsiTheme="minorHAnsi" w:cstheme="minorHAnsi"/>
          <w:color w:val="000000"/>
          <w:sz w:val="22"/>
          <w:szCs w:val="22"/>
        </w:rPr>
        <w:t>The Council has adopted CIPFA’s Code of Practice on Treasury Management (and subsequent amendments) and complies with The Prudential Code for Capit</w:t>
      </w:r>
      <w:r w:rsidR="00C319A2" w:rsidRPr="0068094B">
        <w:rPr>
          <w:rFonts w:asciiTheme="minorHAnsi" w:hAnsiTheme="minorHAnsi" w:cstheme="minorHAnsi"/>
          <w:color w:val="000000"/>
          <w:sz w:val="22"/>
          <w:szCs w:val="22"/>
        </w:rPr>
        <w:t>al Finance in Local Authorities.</w:t>
      </w:r>
    </w:p>
    <w:p w:rsidR="006C7C33" w:rsidRPr="0068094B" w:rsidRDefault="006C7C33" w:rsidP="006C7C33">
      <w:pPr>
        <w:rPr>
          <w:rFonts w:asciiTheme="minorHAnsi" w:hAnsiTheme="minorHAnsi" w:cstheme="minorHAnsi"/>
          <w:color w:val="000000"/>
          <w:sz w:val="22"/>
          <w:szCs w:val="22"/>
        </w:rPr>
      </w:pPr>
    </w:p>
    <w:p w:rsidR="00123172" w:rsidRPr="0068094B" w:rsidRDefault="006C7C33" w:rsidP="00ED3B24">
      <w:pPr>
        <w:rPr>
          <w:rFonts w:asciiTheme="minorHAnsi" w:hAnsiTheme="minorHAnsi" w:cstheme="minorHAnsi"/>
          <w:color w:val="000000"/>
          <w:sz w:val="22"/>
          <w:szCs w:val="22"/>
        </w:rPr>
      </w:pPr>
      <w:r w:rsidRPr="0068094B">
        <w:rPr>
          <w:rFonts w:asciiTheme="minorHAnsi" w:hAnsiTheme="minorHAnsi" w:cstheme="minorHAnsi"/>
          <w:color w:val="000000"/>
          <w:sz w:val="22"/>
          <w:szCs w:val="22"/>
        </w:rPr>
        <w:t>As part of the adoption of the Treasury Management Code, the Council approves a Treasury Management Strategy before the commencement of each financial year. Th</w:t>
      </w:r>
      <w:r w:rsidR="00123172" w:rsidRPr="0068094B">
        <w:rPr>
          <w:rFonts w:asciiTheme="minorHAnsi" w:hAnsiTheme="minorHAnsi" w:cstheme="minorHAnsi"/>
          <w:color w:val="000000"/>
          <w:sz w:val="22"/>
          <w:szCs w:val="22"/>
        </w:rPr>
        <w:t>is strategy</w:t>
      </w:r>
      <w:r w:rsidRPr="0068094B">
        <w:rPr>
          <w:rFonts w:asciiTheme="minorHAnsi" w:hAnsiTheme="minorHAnsi" w:cstheme="minorHAnsi"/>
          <w:color w:val="000000"/>
          <w:sz w:val="22"/>
          <w:szCs w:val="22"/>
        </w:rPr>
        <w:t xml:space="preserve"> emphasises that priority is to be given to security and liquidity, rather than yield</w:t>
      </w:r>
      <w:r w:rsidR="00F11364">
        <w:rPr>
          <w:rFonts w:asciiTheme="minorHAnsi" w:hAnsiTheme="minorHAnsi" w:cstheme="minorHAnsi"/>
          <w:color w:val="000000"/>
          <w:sz w:val="22"/>
          <w:szCs w:val="22"/>
        </w:rPr>
        <w:t>.</w:t>
      </w:r>
      <w:r w:rsidR="00123172" w:rsidRPr="0068094B">
        <w:rPr>
          <w:rFonts w:asciiTheme="minorHAnsi" w:hAnsiTheme="minorHAnsi" w:cstheme="minorHAnsi"/>
          <w:color w:val="000000"/>
          <w:sz w:val="22"/>
          <w:szCs w:val="22"/>
        </w:rPr>
        <w:br/>
      </w:r>
    </w:p>
    <w:p w:rsidR="006C7C33" w:rsidRPr="0068094B" w:rsidRDefault="00123172" w:rsidP="00ED3B24">
      <w:pPr>
        <w:rPr>
          <w:rFonts w:asciiTheme="minorHAnsi" w:hAnsiTheme="minorHAnsi" w:cstheme="minorHAnsi"/>
          <w:color w:val="000000"/>
          <w:sz w:val="22"/>
          <w:szCs w:val="22"/>
        </w:rPr>
      </w:pPr>
      <w:r w:rsidRPr="0068094B">
        <w:rPr>
          <w:rFonts w:asciiTheme="minorHAnsi" w:hAnsiTheme="minorHAnsi" w:cstheme="minorHAnsi"/>
          <w:color w:val="000000"/>
          <w:sz w:val="22"/>
          <w:szCs w:val="22"/>
        </w:rPr>
        <w:t>The Council also produces Treasury Management Practices specifying the practical arrangements to be followed to manage these risks</w:t>
      </w:r>
      <w:r w:rsidR="00C84EDC">
        <w:rPr>
          <w:rFonts w:asciiTheme="minorHAnsi" w:hAnsiTheme="minorHAnsi" w:cstheme="minorHAnsi"/>
          <w:color w:val="000000"/>
          <w:sz w:val="22"/>
          <w:szCs w:val="22"/>
        </w:rPr>
        <w:t>.</w:t>
      </w:r>
    </w:p>
    <w:p w:rsidR="006C7C33" w:rsidRPr="0068094B" w:rsidRDefault="006C7C33" w:rsidP="006C7C33">
      <w:pPr>
        <w:pStyle w:val="BodyTextIndent3"/>
        <w:tabs>
          <w:tab w:val="clear" w:pos="540"/>
          <w:tab w:val="clear" w:pos="8550"/>
          <w:tab w:val="left" w:pos="0"/>
          <w:tab w:val="left" w:pos="8789"/>
        </w:tabs>
        <w:ind w:left="0"/>
        <w:jc w:val="left"/>
        <w:rPr>
          <w:rFonts w:asciiTheme="minorHAnsi" w:hAnsiTheme="minorHAnsi" w:cstheme="minorHAnsi"/>
          <w:b/>
          <w:bCs/>
          <w:sz w:val="22"/>
          <w:szCs w:val="22"/>
        </w:rPr>
      </w:pPr>
    </w:p>
    <w:p w:rsidR="006C7C33" w:rsidRPr="0068094B" w:rsidRDefault="006C7C33" w:rsidP="006C7C33">
      <w:pPr>
        <w:pStyle w:val="ListParagraph"/>
        <w:ind w:left="0"/>
        <w:rPr>
          <w:rFonts w:asciiTheme="minorHAnsi" w:hAnsiTheme="minorHAnsi" w:cstheme="minorHAnsi"/>
          <w:b/>
          <w:szCs w:val="22"/>
        </w:rPr>
      </w:pPr>
      <w:r w:rsidRPr="0068094B">
        <w:rPr>
          <w:rFonts w:asciiTheme="minorHAnsi" w:hAnsiTheme="minorHAnsi" w:cstheme="minorHAnsi"/>
          <w:b/>
          <w:szCs w:val="22"/>
        </w:rPr>
        <w:t>Credit Risk: Investments</w:t>
      </w:r>
    </w:p>
    <w:p w:rsidR="006C7C33" w:rsidRPr="0068094B" w:rsidRDefault="006C7C33" w:rsidP="006C7C33">
      <w:pPr>
        <w:pStyle w:val="ListParagraph"/>
        <w:ind w:left="0"/>
        <w:rPr>
          <w:rFonts w:asciiTheme="minorHAnsi" w:hAnsiTheme="minorHAnsi" w:cstheme="minorHAnsi"/>
          <w:b/>
          <w:szCs w:val="22"/>
        </w:rPr>
      </w:pPr>
    </w:p>
    <w:p w:rsidR="006C7C33" w:rsidRDefault="006C7C33" w:rsidP="006C7C33">
      <w:pPr>
        <w:rPr>
          <w:rFonts w:asciiTheme="minorHAnsi" w:hAnsiTheme="minorHAnsi" w:cstheme="minorHAnsi"/>
          <w:color w:val="000000"/>
          <w:sz w:val="22"/>
          <w:szCs w:val="22"/>
        </w:rPr>
      </w:pPr>
      <w:r w:rsidRPr="0068094B">
        <w:rPr>
          <w:rFonts w:asciiTheme="minorHAnsi" w:hAnsiTheme="minorHAnsi" w:cstheme="minorHAnsi"/>
          <w:color w:val="000000"/>
          <w:sz w:val="22"/>
          <w:szCs w:val="22"/>
        </w:rPr>
        <w:t>Overall the Council man</w:t>
      </w:r>
      <w:r w:rsidR="00482A07" w:rsidRPr="0068094B">
        <w:rPr>
          <w:rFonts w:asciiTheme="minorHAnsi" w:hAnsiTheme="minorHAnsi" w:cstheme="minorHAnsi"/>
          <w:color w:val="000000"/>
          <w:sz w:val="22"/>
          <w:szCs w:val="22"/>
        </w:rPr>
        <w:t>ag</w:t>
      </w:r>
      <w:r w:rsidRPr="0068094B">
        <w:rPr>
          <w:rFonts w:asciiTheme="minorHAnsi" w:hAnsiTheme="minorHAnsi" w:cstheme="minorHAnsi"/>
          <w:color w:val="000000"/>
          <w:sz w:val="22"/>
          <w:szCs w:val="22"/>
        </w:rPr>
        <w:t>es credit risk by ensuring adequate diversification across a range of counterparties</w:t>
      </w:r>
      <w:r w:rsidR="00ED78E1">
        <w:rPr>
          <w:rFonts w:asciiTheme="minorHAnsi" w:hAnsiTheme="minorHAnsi" w:cstheme="minorHAnsi"/>
          <w:color w:val="000000"/>
          <w:sz w:val="22"/>
          <w:szCs w:val="22"/>
        </w:rPr>
        <w:t xml:space="preserve"> with a set minimum credit </w:t>
      </w:r>
      <w:proofErr w:type="gramStart"/>
      <w:r w:rsidR="00ED78E1">
        <w:rPr>
          <w:rFonts w:asciiTheme="minorHAnsi" w:hAnsiTheme="minorHAnsi" w:cstheme="minorHAnsi"/>
          <w:color w:val="000000"/>
          <w:sz w:val="22"/>
          <w:szCs w:val="22"/>
        </w:rPr>
        <w:t>ratings</w:t>
      </w:r>
      <w:proofErr w:type="gramEnd"/>
      <w:r w:rsidRPr="0068094B">
        <w:rPr>
          <w:rFonts w:asciiTheme="minorHAnsi" w:hAnsiTheme="minorHAnsi" w:cstheme="minorHAnsi"/>
          <w:color w:val="000000"/>
          <w:sz w:val="22"/>
          <w:szCs w:val="22"/>
        </w:rPr>
        <w:t>.  Counterparty limits that exist covering Countries, Sectors and Company Groups limit the Council’s overall exposure to any single default or credit event.</w:t>
      </w:r>
      <w:r w:rsidR="0012317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 xml:space="preserve">The </w:t>
      </w:r>
      <w:r w:rsidR="00123172" w:rsidRPr="0068094B">
        <w:rPr>
          <w:rFonts w:asciiTheme="minorHAnsi" w:hAnsiTheme="minorHAnsi" w:cstheme="minorHAnsi"/>
          <w:color w:val="000000"/>
          <w:sz w:val="22"/>
          <w:szCs w:val="22"/>
        </w:rPr>
        <w:t>C</w:t>
      </w:r>
      <w:r w:rsidRPr="0068094B">
        <w:rPr>
          <w:rFonts w:asciiTheme="minorHAnsi" w:hAnsiTheme="minorHAnsi" w:cstheme="minorHAnsi"/>
          <w:color w:val="000000"/>
          <w:sz w:val="22"/>
          <w:szCs w:val="22"/>
        </w:rPr>
        <w:t xml:space="preserve">ouncil continually monitored individual credit ratings and the financial standing of its counterparties throughout the year. </w:t>
      </w:r>
    </w:p>
    <w:p w:rsidR="009B0AE3" w:rsidRDefault="009B0AE3" w:rsidP="006C7C33">
      <w:pPr>
        <w:rPr>
          <w:rFonts w:asciiTheme="minorHAnsi" w:hAnsiTheme="minorHAnsi" w:cstheme="minorHAnsi"/>
          <w:color w:val="000000"/>
          <w:sz w:val="22"/>
          <w:szCs w:val="22"/>
        </w:rPr>
      </w:pPr>
    </w:p>
    <w:p w:rsidR="009B0AE3" w:rsidRDefault="009B0AE3" w:rsidP="006C7C33">
      <w:pPr>
        <w:rPr>
          <w:rFonts w:asciiTheme="minorHAnsi" w:hAnsiTheme="minorHAnsi" w:cstheme="minorHAnsi"/>
          <w:sz w:val="22"/>
          <w:szCs w:val="22"/>
        </w:rPr>
      </w:pPr>
      <w:r w:rsidRPr="0068094B">
        <w:rPr>
          <w:rFonts w:asciiTheme="minorHAnsi" w:hAnsiTheme="minorHAnsi" w:cstheme="minorHAnsi"/>
          <w:sz w:val="22"/>
          <w:szCs w:val="22"/>
        </w:rPr>
        <w:t xml:space="preserve">The Council’s maximum exposure to credit risk at the balance sheet date in relation to its investments with banks and other </w:t>
      </w:r>
      <w:r w:rsidRPr="007A4862">
        <w:rPr>
          <w:rFonts w:asciiTheme="minorHAnsi" w:hAnsiTheme="minorHAnsi" w:cstheme="minorHAnsi"/>
          <w:sz w:val="22"/>
          <w:szCs w:val="22"/>
        </w:rPr>
        <w:t>institutions is shown below</w:t>
      </w:r>
      <w:r w:rsidR="00ED78E1" w:rsidRPr="007A4862">
        <w:rPr>
          <w:rFonts w:asciiTheme="minorHAnsi" w:hAnsiTheme="minorHAnsi" w:cstheme="minorHAnsi"/>
          <w:sz w:val="22"/>
          <w:szCs w:val="22"/>
        </w:rPr>
        <w:t xml:space="preserve">. The potential expected loss over the next 12 months relating to credit events, based on the investments as </w:t>
      </w:r>
      <w:r w:rsidR="00762DB7" w:rsidRPr="007A4862">
        <w:rPr>
          <w:rFonts w:asciiTheme="minorHAnsi" w:hAnsiTheme="minorHAnsi" w:cstheme="minorHAnsi"/>
          <w:sz w:val="22"/>
          <w:szCs w:val="22"/>
        </w:rPr>
        <w:t xml:space="preserve">31 March 2020 </w:t>
      </w:r>
      <w:r w:rsidR="00ED78E1" w:rsidRPr="007A4862">
        <w:rPr>
          <w:rFonts w:asciiTheme="minorHAnsi" w:hAnsiTheme="minorHAnsi" w:cstheme="minorHAnsi"/>
          <w:sz w:val="22"/>
          <w:szCs w:val="22"/>
        </w:rPr>
        <w:t>and calculating using published global credit default rates is £</w:t>
      </w:r>
      <w:r w:rsidR="00762DB7" w:rsidRPr="007A4862">
        <w:rPr>
          <w:rFonts w:asciiTheme="minorHAnsi" w:hAnsiTheme="minorHAnsi" w:cstheme="minorHAnsi"/>
          <w:sz w:val="22"/>
          <w:szCs w:val="22"/>
        </w:rPr>
        <w:t>7</w:t>
      </w:r>
      <w:r w:rsidR="00ED78E1" w:rsidRPr="007A4862">
        <w:rPr>
          <w:rFonts w:asciiTheme="minorHAnsi" w:hAnsiTheme="minorHAnsi" w:cstheme="minorHAnsi"/>
          <w:sz w:val="22"/>
          <w:szCs w:val="22"/>
        </w:rPr>
        <w:t xml:space="preserve">k. </w:t>
      </w:r>
      <w:r w:rsidR="00590014" w:rsidRPr="007A4862">
        <w:rPr>
          <w:rFonts w:asciiTheme="minorHAnsi" w:hAnsiTheme="minorHAnsi" w:cstheme="minorHAnsi"/>
          <w:sz w:val="22"/>
          <w:szCs w:val="22"/>
        </w:rPr>
        <w:t xml:space="preserve"> No credit loss is expected from investments with the Government or Local Authorities. </w:t>
      </w:r>
      <w:r w:rsidR="00ED78E1" w:rsidRPr="007A4862">
        <w:rPr>
          <w:rFonts w:asciiTheme="minorHAnsi" w:hAnsiTheme="minorHAnsi" w:cstheme="minorHAnsi"/>
          <w:sz w:val="22"/>
          <w:szCs w:val="22"/>
        </w:rPr>
        <w:t>As this figure is immaterial</w:t>
      </w:r>
      <w:r w:rsidR="00ED78E1">
        <w:rPr>
          <w:rFonts w:asciiTheme="minorHAnsi" w:hAnsiTheme="minorHAnsi" w:cstheme="minorHAnsi"/>
          <w:sz w:val="22"/>
          <w:szCs w:val="22"/>
        </w:rPr>
        <w:t xml:space="preserve"> to the value of funds invested, the assets values shown on the Council’s balance sheet are not adjusted downwards by this amount.</w:t>
      </w:r>
      <w:r w:rsidRPr="0068094B">
        <w:rPr>
          <w:rFonts w:asciiTheme="minorHAnsi" w:hAnsiTheme="minorHAnsi" w:cstheme="minorHAnsi"/>
          <w:sz w:val="22"/>
          <w:szCs w:val="22"/>
        </w:rPr>
        <w:t xml:space="preserve"> </w:t>
      </w:r>
    </w:p>
    <w:p w:rsidR="00422723" w:rsidRPr="0068094B" w:rsidRDefault="00422723" w:rsidP="006C7C33">
      <w:pPr>
        <w:rPr>
          <w:rFonts w:asciiTheme="minorHAnsi" w:hAnsiTheme="minorHAnsi" w:cstheme="minorHAnsi"/>
          <w:color w:val="000000"/>
          <w:sz w:val="22"/>
          <w:szCs w:val="22"/>
        </w:rPr>
      </w:pPr>
    </w:p>
    <w:tbl>
      <w:tblPr>
        <w:tblW w:w="5434" w:type="dxa"/>
        <w:tblInd w:w="505" w:type="dxa"/>
        <w:tblLook w:val="04A0" w:firstRow="1" w:lastRow="0" w:firstColumn="1" w:lastColumn="0" w:noHBand="0" w:noVBand="1"/>
      </w:tblPr>
      <w:tblGrid>
        <w:gridCol w:w="2834"/>
        <w:gridCol w:w="1300"/>
        <w:gridCol w:w="1300"/>
      </w:tblGrid>
      <w:tr w:rsidR="00AE7ABC" w:rsidRPr="009B0AE3" w:rsidTr="000F0D72">
        <w:trPr>
          <w:trHeight w:val="300"/>
        </w:trPr>
        <w:tc>
          <w:tcPr>
            <w:tcW w:w="2834" w:type="dxa"/>
            <w:shd w:val="clear" w:color="auto" w:fill="auto"/>
            <w:noWrap/>
            <w:vAlign w:val="bottom"/>
            <w:hideMark/>
          </w:tcPr>
          <w:p w:rsidR="00AE7ABC" w:rsidRPr="009B0AE3" w:rsidRDefault="00AE7ABC" w:rsidP="009B0AE3">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Credit Rating </w:t>
            </w:r>
          </w:p>
        </w:tc>
        <w:tc>
          <w:tcPr>
            <w:tcW w:w="1300" w:type="dxa"/>
            <w:shd w:val="clear" w:color="auto" w:fill="auto"/>
            <w:noWrap/>
            <w:vAlign w:val="bottom"/>
            <w:hideMark/>
          </w:tcPr>
          <w:p w:rsidR="00AE7ABC" w:rsidRPr="009B0AE3" w:rsidRDefault="00AE7ABC" w:rsidP="00623D05">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31</w:t>
            </w:r>
            <w:r w:rsidR="00623D05">
              <w:rPr>
                <w:rFonts w:ascii="Calibri" w:hAnsi="Calibri" w:cs="Calibri"/>
                <w:color w:val="000000"/>
                <w:sz w:val="22"/>
                <w:szCs w:val="22"/>
                <w:lang w:eastAsia="en-GB"/>
              </w:rPr>
              <w:t xml:space="preserve"> March </w:t>
            </w:r>
            <w:r w:rsidR="00762DB7">
              <w:rPr>
                <w:rFonts w:ascii="Calibri" w:hAnsi="Calibri" w:cs="Calibri"/>
                <w:color w:val="000000"/>
                <w:sz w:val="22"/>
                <w:szCs w:val="22"/>
                <w:lang w:eastAsia="en-GB"/>
              </w:rPr>
              <w:t>2019</w:t>
            </w:r>
          </w:p>
        </w:tc>
        <w:tc>
          <w:tcPr>
            <w:tcW w:w="1300" w:type="dxa"/>
            <w:shd w:val="clear" w:color="auto" w:fill="D9D9D9" w:themeFill="background1" w:themeFillShade="D9"/>
            <w:noWrap/>
            <w:vAlign w:val="bottom"/>
            <w:hideMark/>
          </w:tcPr>
          <w:p w:rsidR="00AE7ABC" w:rsidRPr="009B0AE3" w:rsidRDefault="00AE7ABC" w:rsidP="00623D05">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31</w:t>
            </w:r>
            <w:r w:rsidR="00762DB7">
              <w:rPr>
                <w:rFonts w:ascii="Calibri" w:hAnsi="Calibri" w:cs="Calibri"/>
                <w:color w:val="000000"/>
                <w:sz w:val="22"/>
                <w:szCs w:val="22"/>
                <w:lang w:eastAsia="en-GB"/>
              </w:rPr>
              <w:t xml:space="preserve"> March 2020</w:t>
            </w:r>
          </w:p>
        </w:tc>
      </w:tr>
      <w:tr w:rsidR="00AE7ABC" w:rsidRPr="009B0AE3" w:rsidTr="000F0D72">
        <w:trPr>
          <w:trHeight w:val="315"/>
        </w:trPr>
        <w:tc>
          <w:tcPr>
            <w:tcW w:w="2834" w:type="dxa"/>
            <w:shd w:val="clear" w:color="auto" w:fill="auto"/>
            <w:noWrap/>
            <w:vAlign w:val="bottom"/>
            <w:hideMark/>
          </w:tcPr>
          <w:p w:rsidR="00AE7ABC" w:rsidRPr="009B0AE3" w:rsidRDefault="00AE7ABC" w:rsidP="009B0AE3">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 </w:t>
            </w:r>
          </w:p>
        </w:tc>
        <w:tc>
          <w:tcPr>
            <w:tcW w:w="1300" w:type="dxa"/>
            <w:tcBorders>
              <w:bottom w:val="single" w:sz="4" w:space="0" w:color="auto"/>
            </w:tcBorders>
            <w:shd w:val="clear" w:color="auto" w:fill="auto"/>
            <w:noWrap/>
            <w:vAlign w:val="bottom"/>
            <w:hideMark/>
          </w:tcPr>
          <w:p w:rsidR="00AE7ABC" w:rsidRPr="009B0AE3" w:rsidRDefault="00AE7ABC"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c>
          <w:tcPr>
            <w:tcW w:w="1300" w:type="dxa"/>
            <w:tcBorders>
              <w:bottom w:val="single" w:sz="4" w:space="0" w:color="auto"/>
            </w:tcBorders>
            <w:shd w:val="clear" w:color="auto" w:fill="D9D9D9" w:themeFill="background1" w:themeFillShade="D9"/>
            <w:noWrap/>
            <w:vAlign w:val="bottom"/>
            <w:hideMark/>
          </w:tcPr>
          <w:p w:rsidR="00AE7ABC" w:rsidRPr="009B0AE3" w:rsidRDefault="00AE7ABC"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r>
      <w:tr w:rsidR="00623D05" w:rsidRPr="009B0AE3" w:rsidTr="000F0D72">
        <w:trPr>
          <w:trHeight w:val="300"/>
        </w:trPr>
        <w:tc>
          <w:tcPr>
            <w:tcW w:w="2834" w:type="dxa"/>
            <w:shd w:val="clear" w:color="auto" w:fill="auto"/>
            <w:noWrap/>
            <w:vAlign w:val="bottom"/>
            <w:hideMark/>
          </w:tcPr>
          <w:p w:rsidR="00623D05" w:rsidRPr="009B0AE3" w:rsidRDefault="00623D05" w:rsidP="009B0AE3">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AA</w:t>
            </w:r>
          </w:p>
        </w:tc>
        <w:tc>
          <w:tcPr>
            <w:tcW w:w="1300" w:type="dxa"/>
            <w:tcBorders>
              <w:top w:val="single" w:sz="4" w:space="0" w:color="auto"/>
            </w:tcBorders>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500 </w:t>
            </w:r>
          </w:p>
        </w:tc>
        <w:tc>
          <w:tcPr>
            <w:tcW w:w="1300" w:type="dxa"/>
            <w:tcBorders>
              <w:top w:val="single" w:sz="4" w:space="0" w:color="auto"/>
            </w:tcBorders>
            <w:shd w:val="clear" w:color="auto" w:fill="D9D9D9" w:themeFill="background1" w:themeFillShade="D9"/>
            <w:noWrap/>
            <w:vAlign w:val="bottom"/>
          </w:tcPr>
          <w:p w:rsidR="00623D05"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r>
      <w:tr w:rsidR="00623D05" w:rsidRPr="009B0AE3" w:rsidTr="00623D05">
        <w:trPr>
          <w:trHeight w:val="300"/>
        </w:trPr>
        <w:tc>
          <w:tcPr>
            <w:tcW w:w="2834" w:type="dxa"/>
            <w:shd w:val="clear" w:color="auto" w:fill="auto"/>
            <w:noWrap/>
            <w:vAlign w:val="bottom"/>
            <w:hideMark/>
          </w:tcPr>
          <w:p w:rsidR="00623D05" w:rsidRPr="009B0AE3" w:rsidRDefault="00623D05" w:rsidP="009B0AE3">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AA-</w:t>
            </w:r>
          </w:p>
        </w:tc>
        <w:tc>
          <w:tcPr>
            <w:tcW w:w="1300" w:type="dxa"/>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1,000 </w:t>
            </w:r>
          </w:p>
        </w:tc>
        <w:tc>
          <w:tcPr>
            <w:tcW w:w="1300" w:type="dxa"/>
            <w:shd w:val="clear" w:color="auto" w:fill="D9D9D9" w:themeFill="background1" w:themeFillShade="D9"/>
            <w:noWrap/>
            <w:vAlign w:val="bottom"/>
          </w:tcPr>
          <w:p w:rsidR="00623D05"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5,000</w:t>
            </w:r>
          </w:p>
        </w:tc>
      </w:tr>
      <w:tr w:rsidR="00762DB7" w:rsidRPr="009B0AE3" w:rsidTr="00623D05">
        <w:trPr>
          <w:trHeight w:val="300"/>
        </w:trPr>
        <w:tc>
          <w:tcPr>
            <w:tcW w:w="2834" w:type="dxa"/>
            <w:shd w:val="clear" w:color="auto" w:fill="auto"/>
            <w:noWrap/>
            <w:vAlign w:val="bottom"/>
          </w:tcPr>
          <w:p w:rsidR="00762DB7" w:rsidRPr="009B0AE3" w:rsidRDefault="00762DB7" w:rsidP="009B0AE3">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A+</w:t>
            </w:r>
          </w:p>
        </w:tc>
        <w:tc>
          <w:tcPr>
            <w:tcW w:w="1300" w:type="dxa"/>
            <w:shd w:val="clear" w:color="auto" w:fill="auto"/>
            <w:noWrap/>
            <w:vAlign w:val="bottom"/>
          </w:tcPr>
          <w:p w:rsidR="00762DB7"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c>
          <w:tcPr>
            <w:tcW w:w="1300" w:type="dxa"/>
            <w:shd w:val="clear" w:color="auto" w:fill="D9D9D9" w:themeFill="background1" w:themeFillShade="D9"/>
            <w:noWrap/>
            <w:vAlign w:val="bottom"/>
          </w:tcPr>
          <w:p w:rsidR="00762DB7"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6,000</w:t>
            </w:r>
          </w:p>
        </w:tc>
      </w:tr>
      <w:tr w:rsidR="00623D05" w:rsidRPr="009B0AE3" w:rsidTr="00623D05">
        <w:trPr>
          <w:trHeight w:val="300"/>
        </w:trPr>
        <w:tc>
          <w:tcPr>
            <w:tcW w:w="2834" w:type="dxa"/>
            <w:shd w:val="clear" w:color="auto" w:fill="auto"/>
            <w:noWrap/>
            <w:vAlign w:val="bottom"/>
            <w:hideMark/>
          </w:tcPr>
          <w:p w:rsidR="00623D05" w:rsidRPr="009B0AE3" w:rsidRDefault="00623D05" w:rsidP="009B0AE3">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A</w:t>
            </w:r>
          </w:p>
        </w:tc>
        <w:tc>
          <w:tcPr>
            <w:tcW w:w="1300" w:type="dxa"/>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7,000 </w:t>
            </w:r>
          </w:p>
        </w:tc>
        <w:tc>
          <w:tcPr>
            <w:tcW w:w="1300" w:type="dxa"/>
            <w:shd w:val="clear" w:color="auto" w:fill="D9D9D9" w:themeFill="background1" w:themeFillShade="D9"/>
            <w:noWrap/>
            <w:vAlign w:val="bottom"/>
          </w:tcPr>
          <w:p w:rsidR="00623D05"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r>
      <w:tr w:rsidR="00623D05" w:rsidRPr="009B0AE3" w:rsidTr="00623D05">
        <w:trPr>
          <w:trHeight w:val="300"/>
        </w:trPr>
        <w:tc>
          <w:tcPr>
            <w:tcW w:w="2834" w:type="dxa"/>
            <w:shd w:val="clear" w:color="auto" w:fill="auto"/>
            <w:noWrap/>
            <w:vAlign w:val="bottom"/>
            <w:hideMark/>
          </w:tcPr>
          <w:p w:rsidR="00623D05" w:rsidRPr="009B0AE3" w:rsidRDefault="00623D05" w:rsidP="009B0AE3">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Local A</w:t>
            </w:r>
            <w:r w:rsidRPr="009B0AE3">
              <w:rPr>
                <w:rFonts w:ascii="Calibri" w:hAnsi="Calibri" w:cs="Calibri"/>
                <w:color w:val="000000"/>
                <w:sz w:val="22"/>
                <w:szCs w:val="22"/>
                <w:lang w:eastAsia="en-GB"/>
              </w:rPr>
              <w:t>uthorities</w:t>
            </w:r>
          </w:p>
        </w:tc>
        <w:tc>
          <w:tcPr>
            <w:tcW w:w="1300" w:type="dxa"/>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31</w:t>
            </w:r>
            <w:r w:rsidRPr="009B0AE3">
              <w:rPr>
                <w:rFonts w:ascii="Calibri" w:hAnsi="Calibri" w:cs="Calibri"/>
                <w:color w:val="000000"/>
                <w:sz w:val="22"/>
                <w:szCs w:val="22"/>
                <w:lang w:eastAsia="en-GB"/>
              </w:rPr>
              <w:t xml:space="preserve">,000 </w:t>
            </w:r>
          </w:p>
        </w:tc>
        <w:tc>
          <w:tcPr>
            <w:tcW w:w="1300" w:type="dxa"/>
            <w:shd w:val="clear" w:color="auto" w:fill="D9D9D9" w:themeFill="background1" w:themeFillShade="D9"/>
            <w:noWrap/>
            <w:vAlign w:val="bottom"/>
          </w:tcPr>
          <w:p w:rsidR="00623D05"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24,000</w:t>
            </w:r>
          </w:p>
        </w:tc>
      </w:tr>
      <w:tr w:rsidR="00623D05" w:rsidRPr="009B0AE3" w:rsidTr="00623D05">
        <w:trPr>
          <w:trHeight w:val="300"/>
        </w:trPr>
        <w:tc>
          <w:tcPr>
            <w:tcW w:w="2834" w:type="dxa"/>
            <w:shd w:val="clear" w:color="auto" w:fill="auto"/>
            <w:noWrap/>
            <w:vAlign w:val="bottom"/>
            <w:hideMark/>
          </w:tcPr>
          <w:p w:rsidR="00623D05" w:rsidRPr="009B0AE3" w:rsidRDefault="00623D05" w:rsidP="009B0AE3">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Unrated building societies</w:t>
            </w:r>
          </w:p>
        </w:tc>
        <w:tc>
          <w:tcPr>
            <w:tcW w:w="1300" w:type="dxa"/>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2,500 </w:t>
            </w:r>
          </w:p>
        </w:tc>
        <w:tc>
          <w:tcPr>
            <w:tcW w:w="1300" w:type="dxa"/>
            <w:shd w:val="clear" w:color="auto" w:fill="D9D9D9" w:themeFill="background1" w:themeFillShade="D9"/>
            <w:noWrap/>
            <w:vAlign w:val="bottom"/>
          </w:tcPr>
          <w:p w:rsidR="00623D05"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r>
      <w:tr w:rsidR="00623D05" w:rsidRPr="009B0AE3" w:rsidTr="00623D05">
        <w:trPr>
          <w:trHeight w:val="300"/>
        </w:trPr>
        <w:tc>
          <w:tcPr>
            <w:tcW w:w="2834" w:type="dxa"/>
            <w:tcBorders>
              <w:bottom w:val="single" w:sz="4" w:space="0" w:color="auto"/>
            </w:tcBorders>
            <w:shd w:val="clear" w:color="auto" w:fill="auto"/>
            <w:noWrap/>
            <w:vAlign w:val="bottom"/>
            <w:hideMark/>
          </w:tcPr>
          <w:p w:rsidR="00623D05" w:rsidRPr="009B0AE3" w:rsidRDefault="00623D05" w:rsidP="00AE7ABC">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Unrated pooled funds</w:t>
            </w:r>
          </w:p>
        </w:tc>
        <w:tc>
          <w:tcPr>
            <w:tcW w:w="1300" w:type="dxa"/>
            <w:tcBorders>
              <w:bottom w:val="single" w:sz="4" w:space="0" w:color="auto"/>
            </w:tcBorders>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17,950 </w:t>
            </w:r>
          </w:p>
        </w:tc>
        <w:tc>
          <w:tcPr>
            <w:tcW w:w="1300" w:type="dxa"/>
            <w:tcBorders>
              <w:bottom w:val="single" w:sz="4" w:space="0" w:color="auto"/>
            </w:tcBorders>
            <w:shd w:val="clear" w:color="auto" w:fill="D9D9D9" w:themeFill="background1" w:themeFillShade="D9"/>
            <w:noWrap/>
            <w:vAlign w:val="bottom"/>
          </w:tcPr>
          <w:p w:rsidR="00623D05"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34,000</w:t>
            </w:r>
          </w:p>
        </w:tc>
      </w:tr>
      <w:tr w:rsidR="00623D05" w:rsidRPr="009B0AE3" w:rsidTr="00623D05">
        <w:trPr>
          <w:trHeight w:val="300"/>
        </w:trPr>
        <w:tc>
          <w:tcPr>
            <w:tcW w:w="2834" w:type="dxa"/>
            <w:tcBorders>
              <w:top w:val="single" w:sz="4" w:space="0" w:color="auto"/>
            </w:tcBorders>
            <w:shd w:val="clear" w:color="auto" w:fill="auto"/>
            <w:noWrap/>
            <w:vAlign w:val="bottom"/>
            <w:hideMark/>
          </w:tcPr>
          <w:p w:rsidR="00623D05" w:rsidRPr="009B0AE3" w:rsidRDefault="00623D05" w:rsidP="009B0AE3">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Total Investments</w:t>
            </w:r>
          </w:p>
        </w:tc>
        <w:tc>
          <w:tcPr>
            <w:tcW w:w="1300" w:type="dxa"/>
            <w:tcBorders>
              <w:top w:val="single" w:sz="4" w:space="0" w:color="auto"/>
            </w:tcBorders>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59,950</w:t>
            </w:r>
            <w:r w:rsidRPr="009B0AE3">
              <w:rPr>
                <w:rFonts w:ascii="Calibri" w:hAnsi="Calibri" w:cs="Calibri"/>
                <w:color w:val="000000"/>
                <w:sz w:val="22"/>
                <w:szCs w:val="22"/>
                <w:lang w:eastAsia="en-GB"/>
              </w:rPr>
              <w:t xml:space="preserve"> </w:t>
            </w:r>
          </w:p>
        </w:tc>
        <w:tc>
          <w:tcPr>
            <w:tcW w:w="1300" w:type="dxa"/>
            <w:tcBorders>
              <w:top w:val="single" w:sz="4" w:space="0" w:color="auto"/>
            </w:tcBorders>
            <w:shd w:val="clear" w:color="auto" w:fill="D9D9D9" w:themeFill="background1" w:themeFillShade="D9"/>
            <w:noWrap/>
            <w:vAlign w:val="bottom"/>
          </w:tcPr>
          <w:p w:rsidR="00623D05" w:rsidRPr="009B0AE3" w:rsidRDefault="00762DB7"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69,000</w:t>
            </w:r>
          </w:p>
        </w:tc>
      </w:tr>
      <w:tr w:rsidR="00623D05" w:rsidRPr="009B0AE3" w:rsidTr="00623D05">
        <w:trPr>
          <w:trHeight w:val="300"/>
        </w:trPr>
        <w:tc>
          <w:tcPr>
            <w:tcW w:w="2834" w:type="dxa"/>
            <w:shd w:val="clear" w:color="auto" w:fill="auto"/>
            <w:noWrap/>
            <w:vAlign w:val="bottom"/>
            <w:hideMark/>
          </w:tcPr>
          <w:p w:rsidR="00623D05" w:rsidRPr="009B0AE3" w:rsidRDefault="00623D05" w:rsidP="009B0AE3">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Cash and cash equivalents</w:t>
            </w:r>
          </w:p>
        </w:tc>
        <w:tc>
          <w:tcPr>
            <w:tcW w:w="1300" w:type="dxa"/>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4,862</w:t>
            </w:r>
            <w:r w:rsidRPr="009B0AE3">
              <w:rPr>
                <w:rFonts w:ascii="Calibri" w:hAnsi="Calibri" w:cs="Calibri"/>
                <w:color w:val="000000"/>
                <w:sz w:val="22"/>
                <w:szCs w:val="22"/>
                <w:lang w:eastAsia="en-GB"/>
              </w:rPr>
              <w:t xml:space="preserve"> </w:t>
            </w:r>
          </w:p>
        </w:tc>
        <w:tc>
          <w:tcPr>
            <w:tcW w:w="1300" w:type="dxa"/>
            <w:shd w:val="clear" w:color="auto" w:fill="D9D9D9" w:themeFill="background1" w:themeFillShade="D9"/>
            <w:noWrap/>
            <w:vAlign w:val="bottom"/>
          </w:tcPr>
          <w:p w:rsidR="00623D05" w:rsidRPr="00EB01D3" w:rsidRDefault="00D22C5C" w:rsidP="0044393D">
            <w:pPr>
              <w:widowControl/>
              <w:suppressAutoHyphens w:val="0"/>
              <w:jc w:val="right"/>
              <w:rPr>
                <w:rFonts w:ascii="Calibri" w:hAnsi="Calibri" w:cs="Calibri"/>
                <w:color w:val="000000"/>
                <w:sz w:val="22"/>
                <w:szCs w:val="22"/>
                <w:lang w:eastAsia="en-GB"/>
              </w:rPr>
            </w:pPr>
            <w:r w:rsidRPr="00EB01D3">
              <w:rPr>
                <w:rFonts w:ascii="Calibri" w:hAnsi="Calibri" w:cs="Calibri"/>
                <w:color w:val="000000"/>
                <w:sz w:val="22"/>
                <w:szCs w:val="22"/>
                <w:lang w:eastAsia="en-GB"/>
              </w:rPr>
              <w:t>6,3</w:t>
            </w:r>
            <w:r w:rsidR="008715FF" w:rsidRPr="00EB01D3">
              <w:rPr>
                <w:rFonts w:ascii="Calibri" w:hAnsi="Calibri" w:cs="Calibri"/>
                <w:color w:val="000000"/>
                <w:sz w:val="22"/>
                <w:szCs w:val="22"/>
                <w:lang w:eastAsia="en-GB"/>
              </w:rPr>
              <w:t>20</w:t>
            </w:r>
          </w:p>
        </w:tc>
      </w:tr>
      <w:tr w:rsidR="00623D05" w:rsidRPr="009B0AE3" w:rsidTr="0044393D">
        <w:trPr>
          <w:trHeight w:val="315"/>
        </w:trPr>
        <w:tc>
          <w:tcPr>
            <w:tcW w:w="2834" w:type="dxa"/>
            <w:tcBorders>
              <w:bottom w:val="single" w:sz="4" w:space="0" w:color="auto"/>
            </w:tcBorders>
            <w:shd w:val="clear" w:color="auto" w:fill="auto"/>
            <w:noWrap/>
            <w:vAlign w:val="bottom"/>
          </w:tcPr>
          <w:p w:rsidR="00623D05" w:rsidRPr="009B0AE3" w:rsidRDefault="00623D05" w:rsidP="009B0AE3">
            <w:pPr>
              <w:widowControl/>
              <w:suppressAutoHyphens w:val="0"/>
              <w:rPr>
                <w:rFonts w:ascii="Calibri" w:hAnsi="Calibri" w:cs="Calibri"/>
                <w:color w:val="000000"/>
                <w:sz w:val="22"/>
                <w:szCs w:val="22"/>
                <w:lang w:eastAsia="en-GB"/>
              </w:rPr>
            </w:pPr>
          </w:p>
        </w:tc>
        <w:tc>
          <w:tcPr>
            <w:tcW w:w="1300" w:type="dxa"/>
            <w:tcBorders>
              <w:bottom w:val="single" w:sz="4" w:space="0" w:color="auto"/>
            </w:tcBorders>
            <w:shd w:val="clear" w:color="auto" w:fill="auto"/>
            <w:noWrap/>
            <w:vAlign w:val="bottom"/>
          </w:tcPr>
          <w:p w:rsidR="00623D05" w:rsidRPr="009B0AE3" w:rsidRDefault="00623D05" w:rsidP="0044393D">
            <w:pPr>
              <w:widowControl/>
              <w:suppressAutoHyphens w:val="0"/>
              <w:jc w:val="right"/>
              <w:rPr>
                <w:rFonts w:ascii="Calibri" w:hAnsi="Calibri" w:cs="Calibri"/>
                <w:color w:val="000000"/>
                <w:sz w:val="22"/>
                <w:szCs w:val="22"/>
                <w:lang w:eastAsia="en-GB"/>
              </w:rPr>
            </w:pPr>
          </w:p>
        </w:tc>
        <w:tc>
          <w:tcPr>
            <w:tcW w:w="1300" w:type="dxa"/>
            <w:tcBorders>
              <w:bottom w:val="single" w:sz="4" w:space="0" w:color="auto"/>
            </w:tcBorders>
            <w:shd w:val="clear" w:color="auto" w:fill="D9D9D9" w:themeFill="background1" w:themeFillShade="D9"/>
            <w:noWrap/>
            <w:vAlign w:val="bottom"/>
          </w:tcPr>
          <w:p w:rsidR="00623D05" w:rsidRPr="00EB01D3" w:rsidRDefault="00623D05" w:rsidP="0044393D">
            <w:pPr>
              <w:widowControl/>
              <w:suppressAutoHyphens w:val="0"/>
              <w:jc w:val="right"/>
              <w:rPr>
                <w:rFonts w:ascii="Calibri" w:hAnsi="Calibri" w:cs="Calibri"/>
                <w:color w:val="000000"/>
                <w:sz w:val="22"/>
                <w:szCs w:val="22"/>
                <w:lang w:eastAsia="en-GB"/>
              </w:rPr>
            </w:pPr>
          </w:p>
        </w:tc>
      </w:tr>
      <w:tr w:rsidR="00623D05" w:rsidRPr="00AE7ABC" w:rsidTr="00623D05">
        <w:trPr>
          <w:trHeight w:val="315"/>
        </w:trPr>
        <w:tc>
          <w:tcPr>
            <w:tcW w:w="2834" w:type="dxa"/>
            <w:tcBorders>
              <w:top w:val="single" w:sz="4" w:space="0" w:color="auto"/>
            </w:tcBorders>
            <w:shd w:val="clear" w:color="auto" w:fill="auto"/>
            <w:noWrap/>
            <w:vAlign w:val="bottom"/>
            <w:hideMark/>
          </w:tcPr>
          <w:p w:rsidR="00623D05" w:rsidRPr="0044393D" w:rsidRDefault="00623D05" w:rsidP="009B0AE3">
            <w:pPr>
              <w:widowControl/>
              <w:suppressAutoHyphens w:val="0"/>
              <w:rPr>
                <w:rFonts w:ascii="Calibri" w:hAnsi="Calibri" w:cs="Calibri"/>
                <w:b/>
                <w:color w:val="000000"/>
                <w:sz w:val="22"/>
                <w:szCs w:val="22"/>
                <w:lang w:eastAsia="en-GB"/>
              </w:rPr>
            </w:pPr>
            <w:r w:rsidRPr="0044393D">
              <w:rPr>
                <w:rFonts w:ascii="Calibri" w:hAnsi="Calibri" w:cs="Calibri"/>
                <w:b/>
                <w:color w:val="000000"/>
                <w:sz w:val="22"/>
                <w:szCs w:val="22"/>
                <w:lang w:eastAsia="en-GB"/>
              </w:rPr>
              <w:lastRenderedPageBreak/>
              <w:t>TOTAL</w:t>
            </w:r>
          </w:p>
        </w:tc>
        <w:tc>
          <w:tcPr>
            <w:tcW w:w="1300" w:type="dxa"/>
            <w:tcBorders>
              <w:top w:val="single" w:sz="4" w:space="0" w:color="auto"/>
            </w:tcBorders>
            <w:shd w:val="clear" w:color="auto" w:fill="auto"/>
            <w:noWrap/>
            <w:vAlign w:val="bottom"/>
          </w:tcPr>
          <w:p w:rsidR="00623D05" w:rsidRPr="0044393D" w:rsidRDefault="00623D05" w:rsidP="0044393D">
            <w:pPr>
              <w:widowControl/>
              <w:suppressAutoHyphens w:val="0"/>
              <w:jc w:val="right"/>
              <w:rPr>
                <w:rFonts w:ascii="Calibri" w:hAnsi="Calibri" w:cs="Calibri"/>
                <w:b/>
                <w:color w:val="000000"/>
                <w:sz w:val="22"/>
                <w:szCs w:val="22"/>
                <w:lang w:eastAsia="en-GB"/>
              </w:rPr>
            </w:pPr>
            <w:r>
              <w:rPr>
                <w:rFonts w:ascii="Calibri" w:hAnsi="Calibri" w:cs="Calibri"/>
                <w:b/>
                <w:color w:val="000000"/>
                <w:sz w:val="22"/>
                <w:szCs w:val="22"/>
                <w:lang w:eastAsia="en-GB"/>
              </w:rPr>
              <w:t>64,812</w:t>
            </w:r>
            <w:r w:rsidRPr="0044393D">
              <w:rPr>
                <w:rFonts w:ascii="Calibri" w:hAnsi="Calibri" w:cs="Calibri"/>
                <w:b/>
                <w:color w:val="000000"/>
                <w:sz w:val="22"/>
                <w:szCs w:val="22"/>
                <w:lang w:eastAsia="en-GB"/>
              </w:rPr>
              <w:t xml:space="preserve"> </w:t>
            </w:r>
          </w:p>
        </w:tc>
        <w:tc>
          <w:tcPr>
            <w:tcW w:w="1300" w:type="dxa"/>
            <w:tcBorders>
              <w:top w:val="single" w:sz="4" w:space="0" w:color="auto"/>
            </w:tcBorders>
            <w:shd w:val="clear" w:color="auto" w:fill="D9D9D9" w:themeFill="background1" w:themeFillShade="D9"/>
            <w:noWrap/>
            <w:vAlign w:val="bottom"/>
          </w:tcPr>
          <w:p w:rsidR="00623D05" w:rsidRPr="00EB01D3" w:rsidRDefault="008715FF" w:rsidP="00D22C5C">
            <w:pPr>
              <w:widowControl/>
              <w:suppressAutoHyphens w:val="0"/>
              <w:jc w:val="right"/>
              <w:rPr>
                <w:rFonts w:ascii="Calibri" w:hAnsi="Calibri" w:cs="Calibri"/>
                <w:b/>
                <w:color w:val="000000"/>
                <w:sz w:val="22"/>
                <w:szCs w:val="22"/>
                <w:lang w:eastAsia="en-GB"/>
              </w:rPr>
            </w:pPr>
            <w:r w:rsidRPr="00EB01D3">
              <w:rPr>
                <w:rFonts w:ascii="Calibri" w:hAnsi="Calibri" w:cs="Calibri"/>
                <w:b/>
                <w:color w:val="000000"/>
                <w:sz w:val="22"/>
                <w:szCs w:val="22"/>
                <w:lang w:eastAsia="en-GB"/>
              </w:rPr>
              <w:t>75,</w:t>
            </w:r>
            <w:r w:rsidR="00D22C5C" w:rsidRPr="00EB01D3">
              <w:rPr>
                <w:rFonts w:ascii="Calibri" w:hAnsi="Calibri" w:cs="Calibri"/>
                <w:b/>
                <w:color w:val="000000"/>
                <w:sz w:val="22"/>
                <w:szCs w:val="22"/>
                <w:lang w:eastAsia="en-GB"/>
              </w:rPr>
              <w:t>3</w:t>
            </w:r>
            <w:r w:rsidRPr="00EB01D3">
              <w:rPr>
                <w:rFonts w:ascii="Calibri" w:hAnsi="Calibri" w:cs="Calibri"/>
                <w:b/>
                <w:color w:val="000000"/>
                <w:sz w:val="22"/>
                <w:szCs w:val="22"/>
                <w:lang w:eastAsia="en-GB"/>
              </w:rPr>
              <w:t>20</w:t>
            </w:r>
          </w:p>
        </w:tc>
      </w:tr>
    </w:tbl>
    <w:p w:rsidR="009B0AE3" w:rsidRDefault="009B0AE3" w:rsidP="006C7C33">
      <w:pPr>
        <w:tabs>
          <w:tab w:val="left" w:pos="0"/>
        </w:tabs>
        <w:autoSpaceDE w:val="0"/>
        <w:autoSpaceDN w:val="0"/>
        <w:adjustRightInd w:val="0"/>
        <w:rPr>
          <w:rFonts w:asciiTheme="minorHAnsi" w:hAnsiTheme="minorHAnsi" w:cstheme="minorHAnsi"/>
          <w:sz w:val="22"/>
          <w:szCs w:val="22"/>
        </w:rPr>
      </w:pPr>
    </w:p>
    <w:p w:rsidR="006C7C33" w:rsidRDefault="006C7C33" w:rsidP="006C7C33">
      <w:pPr>
        <w:tabs>
          <w:tab w:val="left" w:pos="0"/>
        </w:tabs>
        <w:autoSpaceDE w:val="0"/>
        <w:autoSpaceDN w:val="0"/>
        <w:adjustRightInd w:val="0"/>
        <w:rPr>
          <w:rFonts w:asciiTheme="minorHAnsi" w:hAnsiTheme="minorHAnsi" w:cstheme="minorHAnsi"/>
          <w:sz w:val="22"/>
          <w:szCs w:val="22"/>
        </w:rPr>
      </w:pPr>
      <w:r w:rsidRPr="0068094B">
        <w:rPr>
          <w:rFonts w:asciiTheme="minorHAnsi" w:hAnsiTheme="minorHAnsi" w:cstheme="minorHAnsi"/>
          <w:sz w:val="22"/>
          <w:szCs w:val="22"/>
        </w:rPr>
        <w:t>Recent experience has shown it is very rare for</w:t>
      </w:r>
      <w:r w:rsidR="00AE7ABC">
        <w:rPr>
          <w:rFonts w:asciiTheme="minorHAnsi" w:hAnsiTheme="minorHAnsi" w:cstheme="minorHAnsi"/>
          <w:sz w:val="22"/>
          <w:szCs w:val="22"/>
        </w:rPr>
        <w:t xml:space="preserve"> these</w:t>
      </w:r>
      <w:r w:rsidRPr="0068094B">
        <w:rPr>
          <w:rFonts w:asciiTheme="minorHAnsi" w:hAnsiTheme="minorHAnsi" w:cstheme="minorHAnsi"/>
          <w:sz w:val="22"/>
          <w:szCs w:val="22"/>
        </w:rPr>
        <w:t xml:space="preserve"> entities to be unable to meet their commitments. </w:t>
      </w:r>
    </w:p>
    <w:p w:rsidR="00235E09" w:rsidRDefault="00235E09" w:rsidP="006C7C33">
      <w:pPr>
        <w:tabs>
          <w:tab w:val="left" w:pos="0"/>
        </w:tabs>
        <w:autoSpaceDE w:val="0"/>
        <w:autoSpaceDN w:val="0"/>
        <w:adjustRightInd w:val="0"/>
        <w:rPr>
          <w:rFonts w:asciiTheme="minorHAnsi" w:hAnsiTheme="minorHAnsi" w:cstheme="minorHAnsi"/>
          <w:sz w:val="22"/>
          <w:szCs w:val="22"/>
        </w:rPr>
      </w:pPr>
    </w:p>
    <w:p w:rsidR="00235E09" w:rsidRPr="0068094B" w:rsidRDefault="00235E09" w:rsidP="006C7C33">
      <w:pPr>
        <w:tabs>
          <w:tab w:val="left" w:pos="0"/>
        </w:tabs>
        <w:autoSpaceDE w:val="0"/>
        <w:autoSpaceDN w:val="0"/>
        <w:adjustRightInd w:val="0"/>
        <w:rPr>
          <w:rFonts w:asciiTheme="minorHAnsi" w:hAnsiTheme="minorHAnsi" w:cstheme="minorHAnsi"/>
          <w:sz w:val="22"/>
          <w:szCs w:val="22"/>
        </w:rPr>
      </w:pPr>
      <w:r w:rsidRPr="00235E09">
        <w:rPr>
          <w:rFonts w:asciiTheme="minorHAnsi" w:hAnsiTheme="minorHAnsi" w:cstheme="minorHAnsi"/>
          <w:sz w:val="22"/>
          <w:szCs w:val="22"/>
        </w:rPr>
        <w:t xml:space="preserve">Investments are determined to have suffered a significant increase in credit risk where they have </w:t>
      </w:r>
    </w:p>
    <w:p w:rsidR="006C7C33" w:rsidRPr="0068094B" w:rsidRDefault="006C7C33" w:rsidP="006C7C33">
      <w:pPr>
        <w:tabs>
          <w:tab w:val="left" w:pos="0"/>
        </w:tabs>
        <w:autoSpaceDE w:val="0"/>
        <w:autoSpaceDN w:val="0"/>
        <w:adjustRightInd w:val="0"/>
        <w:rPr>
          <w:rFonts w:asciiTheme="minorHAnsi" w:hAnsiTheme="minorHAnsi" w:cstheme="minorHAnsi"/>
          <w:sz w:val="22"/>
          <w:szCs w:val="22"/>
        </w:rPr>
      </w:pPr>
    </w:p>
    <w:p w:rsidR="006C7C33" w:rsidRPr="0068094B" w:rsidRDefault="006C7C33" w:rsidP="006C7C33">
      <w:pPr>
        <w:pStyle w:val="ListParagraph"/>
        <w:ind w:left="0"/>
        <w:rPr>
          <w:rFonts w:asciiTheme="minorHAnsi" w:hAnsiTheme="minorHAnsi" w:cstheme="minorHAnsi"/>
          <w:b/>
          <w:szCs w:val="22"/>
        </w:rPr>
      </w:pPr>
      <w:r w:rsidRPr="0068094B">
        <w:rPr>
          <w:rFonts w:asciiTheme="minorHAnsi" w:hAnsiTheme="minorHAnsi" w:cstheme="minorHAnsi"/>
          <w:b/>
          <w:szCs w:val="22"/>
        </w:rPr>
        <w:t>Credit Risk: Receivables</w:t>
      </w:r>
    </w:p>
    <w:p w:rsidR="00A649E4" w:rsidRDefault="00A649E4" w:rsidP="00A649E4">
      <w:pPr>
        <w:rPr>
          <w:rFonts w:asciiTheme="minorHAnsi" w:hAnsiTheme="minorHAnsi" w:cstheme="minorHAnsi"/>
          <w:color w:val="000000"/>
          <w:sz w:val="22"/>
          <w:szCs w:val="22"/>
          <w:lang w:eastAsia="en-GB"/>
        </w:rPr>
      </w:pPr>
    </w:p>
    <w:p w:rsidR="00A649E4" w:rsidRPr="00A649E4" w:rsidRDefault="00A649E4" w:rsidP="00A649E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The Council’s approach to impairment of receivables is disclosed in note 1.8, above.  </w:t>
      </w:r>
      <w:r w:rsidRPr="00A649E4">
        <w:rPr>
          <w:rFonts w:asciiTheme="minorHAnsi" w:hAnsiTheme="minorHAnsi" w:cstheme="minorHAnsi"/>
          <w:color w:val="000000"/>
          <w:sz w:val="22"/>
          <w:szCs w:val="22"/>
          <w:lang w:eastAsia="en-GB"/>
        </w:rPr>
        <w:t>The Council’s credit risk on lease receivables is mitigated by its legal ownership of the assets leased, which can be repossessed if the debtor defaults on the lease contract</w:t>
      </w:r>
      <w:r w:rsidR="00C84EDC">
        <w:rPr>
          <w:rFonts w:asciiTheme="minorHAnsi" w:hAnsiTheme="minorHAnsi" w:cstheme="minorHAnsi"/>
          <w:color w:val="000000"/>
          <w:sz w:val="22"/>
          <w:szCs w:val="22"/>
          <w:lang w:eastAsia="en-GB"/>
        </w:rPr>
        <w:t>.</w:t>
      </w:r>
    </w:p>
    <w:p w:rsidR="00A649E4" w:rsidRPr="00A649E4" w:rsidRDefault="00A649E4" w:rsidP="00A649E4">
      <w:pPr>
        <w:rPr>
          <w:rFonts w:asciiTheme="minorHAnsi" w:hAnsiTheme="minorHAnsi" w:cstheme="minorHAnsi"/>
          <w:color w:val="000000"/>
          <w:sz w:val="22"/>
          <w:szCs w:val="22"/>
          <w:lang w:eastAsia="en-GB"/>
        </w:rPr>
      </w:pPr>
    </w:p>
    <w:p w:rsidR="00A649E4" w:rsidRDefault="00A649E4" w:rsidP="00A649E4">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 xml:space="preserve">In calculating expected credit losses, the Council makes an assessment for specific instruments or class of instruments, or applies </w:t>
      </w:r>
      <w:r w:rsidRPr="007A4862">
        <w:rPr>
          <w:rFonts w:asciiTheme="minorHAnsi" w:hAnsiTheme="minorHAnsi" w:cstheme="minorHAnsi"/>
          <w:color w:val="000000"/>
          <w:szCs w:val="22"/>
          <w:lang w:eastAsia="en-GB"/>
        </w:rPr>
        <w:t xml:space="preserve">a loss matrix approach to calculating the expected credit loss where appropriate.  The loss factors </w:t>
      </w:r>
      <w:r w:rsidR="00762DB7" w:rsidRPr="007A4862">
        <w:rPr>
          <w:rFonts w:asciiTheme="minorHAnsi" w:hAnsiTheme="minorHAnsi" w:cstheme="minorHAnsi"/>
          <w:color w:val="000000"/>
          <w:szCs w:val="22"/>
          <w:lang w:eastAsia="en-GB"/>
        </w:rPr>
        <w:t>used in 2019-20</w:t>
      </w:r>
      <w:r w:rsidRPr="007A4862">
        <w:rPr>
          <w:rFonts w:asciiTheme="minorHAnsi" w:hAnsiTheme="minorHAnsi" w:cstheme="minorHAnsi"/>
          <w:color w:val="000000"/>
          <w:szCs w:val="22"/>
          <w:lang w:eastAsia="en-GB"/>
        </w:rPr>
        <w:t xml:space="preserve"> for this loss matrix approach are as follows:</w:t>
      </w:r>
      <w:r w:rsidR="00C84EDC">
        <w:rPr>
          <w:rFonts w:asciiTheme="minorHAnsi" w:hAnsiTheme="minorHAnsi" w:cstheme="minorHAnsi"/>
          <w:color w:val="000000"/>
          <w:szCs w:val="22"/>
          <w:lang w:eastAsia="en-GB"/>
        </w:rPr>
        <w:br/>
      </w:r>
    </w:p>
    <w:p w:rsidR="00A649E4" w:rsidRDefault="00C84EDC" w:rsidP="00C84EDC">
      <w:pPr>
        <w:pStyle w:val="ListParagraph"/>
        <w:tabs>
          <w:tab w:val="left" w:pos="1418"/>
          <w:tab w:val="left" w:pos="3544"/>
        </w:tabs>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sidR="001264A7">
        <w:rPr>
          <w:rFonts w:asciiTheme="minorHAnsi" w:hAnsiTheme="minorHAnsi" w:cstheme="minorHAnsi"/>
          <w:color w:val="000000"/>
          <w:szCs w:val="22"/>
          <w:lang w:eastAsia="en-GB"/>
        </w:rPr>
        <w:t>Age of debt</w:t>
      </w:r>
      <w:r w:rsidR="001264A7">
        <w:rPr>
          <w:rFonts w:asciiTheme="minorHAnsi" w:hAnsiTheme="minorHAnsi" w:cstheme="minorHAnsi"/>
          <w:color w:val="000000"/>
          <w:szCs w:val="22"/>
          <w:lang w:eastAsia="en-GB"/>
        </w:rPr>
        <w:tab/>
        <w:t>Loss assumed</w:t>
      </w:r>
    </w:p>
    <w:p w:rsidR="001264A7" w:rsidRDefault="001264A7" w:rsidP="00A649E4">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0-34 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4.2%</w:t>
      </w:r>
    </w:p>
    <w:p w:rsidR="001264A7" w:rsidRDefault="001264A7" w:rsidP="00A649E4">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35-72 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7.3%</w:t>
      </w:r>
    </w:p>
    <w:p w:rsidR="001264A7" w:rsidRDefault="001264A7" w:rsidP="001264A7">
      <w:pPr>
        <w:pStyle w:val="ListParagraph"/>
        <w:numPr>
          <w:ilvl w:val="1"/>
          <w:numId w:val="76"/>
        </w:numPr>
        <w:rPr>
          <w:rFonts w:asciiTheme="minorHAnsi" w:hAnsiTheme="minorHAnsi" w:cstheme="minorHAnsi"/>
          <w:color w:val="000000"/>
          <w:szCs w:val="22"/>
          <w:lang w:eastAsia="en-GB"/>
        </w:rPr>
      </w:pPr>
      <w:r>
        <w:rPr>
          <w:rFonts w:asciiTheme="minorHAnsi" w:hAnsiTheme="minorHAnsi" w:cstheme="minorHAnsi"/>
          <w:color w:val="000000"/>
          <w:szCs w:val="22"/>
          <w:lang w:eastAsia="en-GB"/>
        </w:rPr>
        <w:t>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23%</w:t>
      </w:r>
    </w:p>
    <w:p w:rsidR="001264A7" w:rsidRPr="001264A7" w:rsidRDefault="001264A7" w:rsidP="001264A7">
      <w:pPr>
        <w:ind w:left="1080" w:firstLine="360"/>
        <w:rPr>
          <w:rFonts w:asciiTheme="minorHAnsi" w:hAnsiTheme="minorHAnsi" w:cstheme="minorHAnsi"/>
          <w:color w:val="000000"/>
          <w:szCs w:val="22"/>
          <w:lang w:eastAsia="en-GB"/>
        </w:rPr>
      </w:pPr>
      <w:r>
        <w:rPr>
          <w:rFonts w:asciiTheme="minorHAnsi" w:hAnsiTheme="minorHAnsi" w:cstheme="minorHAnsi"/>
          <w:color w:val="000000"/>
          <w:szCs w:val="22"/>
          <w:lang w:eastAsia="en-GB"/>
        </w:rPr>
        <w:t>&gt;</w:t>
      </w:r>
      <w:r w:rsidRPr="001264A7">
        <w:rPr>
          <w:rFonts w:asciiTheme="minorHAnsi" w:hAnsiTheme="minorHAnsi" w:cstheme="minorHAnsi"/>
          <w:color w:val="000000"/>
          <w:szCs w:val="22"/>
          <w:lang w:eastAsia="en-GB"/>
        </w:rPr>
        <w:t>102 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54%</w:t>
      </w:r>
    </w:p>
    <w:p w:rsidR="00A649E4" w:rsidRDefault="00A649E4" w:rsidP="00A649E4">
      <w:pPr>
        <w:pStyle w:val="ListParagraph"/>
        <w:ind w:left="0"/>
        <w:rPr>
          <w:rFonts w:asciiTheme="minorHAnsi" w:hAnsiTheme="minorHAnsi" w:cstheme="minorHAnsi"/>
          <w:color w:val="000000"/>
          <w:szCs w:val="22"/>
          <w:lang w:eastAsia="en-GB"/>
        </w:rPr>
      </w:pPr>
    </w:p>
    <w:p w:rsidR="001264A7" w:rsidRPr="00A649E4" w:rsidRDefault="00A649E4" w:rsidP="00A649E4">
      <w:pPr>
        <w:pStyle w:val="ListParagraph"/>
        <w:ind w:left="0"/>
        <w:rPr>
          <w:rFonts w:asciiTheme="minorHAnsi" w:hAnsiTheme="minorHAnsi" w:cstheme="minorHAnsi"/>
          <w:szCs w:val="22"/>
        </w:rPr>
      </w:pPr>
      <w:r>
        <w:rPr>
          <w:rFonts w:asciiTheme="minorHAnsi" w:hAnsiTheme="minorHAnsi" w:cstheme="minorHAnsi"/>
          <w:szCs w:val="22"/>
        </w:rPr>
        <w:t>Loss allowances calculated using these factors are then multiplied by a factor to reflect</w:t>
      </w:r>
      <w:r w:rsidRPr="00A649E4">
        <w:rPr>
          <w:rFonts w:asciiTheme="minorHAnsi" w:hAnsiTheme="minorHAnsi" w:cstheme="minorHAnsi"/>
          <w:szCs w:val="22"/>
        </w:rPr>
        <w:t xml:space="preserve"> the current and forecast economic conditions</w:t>
      </w:r>
      <w:r>
        <w:rPr>
          <w:rFonts w:asciiTheme="minorHAnsi" w:hAnsiTheme="minorHAnsi" w:cstheme="minorHAnsi"/>
          <w:szCs w:val="22"/>
        </w:rPr>
        <w:t xml:space="preserve"> and overall collection performance.  </w:t>
      </w:r>
      <w:r w:rsidR="00762DB7">
        <w:rPr>
          <w:rFonts w:asciiTheme="minorHAnsi" w:hAnsiTheme="minorHAnsi" w:cstheme="minorHAnsi"/>
          <w:szCs w:val="22"/>
        </w:rPr>
        <w:t>For 2019-20 this factor was 2.00 (2018-19 = 1.33)</w:t>
      </w:r>
      <w:r>
        <w:rPr>
          <w:rFonts w:asciiTheme="minorHAnsi" w:hAnsiTheme="minorHAnsi" w:cstheme="minorHAnsi"/>
          <w:szCs w:val="22"/>
        </w:rPr>
        <w:t>.</w:t>
      </w:r>
    </w:p>
    <w:p w:rsidR="00BD0BC9" w:rsidRPr="0068094B" w:rsidRDefault="00BD0BC9" w:rsidP="006C7C33">
      <w:pPr>
        <w:pStyle w:val="ListParagraph"/>
        <w:ind w:left="0"/>
        <w:rPr>
          <w:rFonts w:asciiTheme="minorHAnsi" w:hAnsiTheme="minorHAnsi" w:cstheme="minorHAnsi"/>
          <w:b/>
          <w:szCs w:val="22"/>
        </w:rPr>
      </w:pPr>
    </w:p>
    <w:p w:rsidR="006C7C33" w:rsidRPr="0068094B" w:rsidRDefault="006C7C33" w:rsidP="006C7C33">
      <w:pPr>
        <w:pStyle w:val="ListParagraph"/>
        <w:ind w:left="0"/>
        <w:rPr>
          <w:rFonts w:asciiTheme="minorHAnsi" w:hAnsiTheme="minorHAnsi" w:cstheme="minorHAnsi"/>
          <w:b/>
          <w:szCs w:val="22"/>
        </w:rPr>
      </w:pPr>
      <w:r w:rsidRPr="0068094B">
        <w:rPr>
          <w:rFonts w:asciiTheme="minorHAnsi" w:hAnsiTheme="minorHAnsi" w:cstheme="minorHAnsi"/>
          <w:b/>
          <w:szCs w:val="22"/>
        </w:rPr>
        <w:t>Liquidity Risk</w:t>
      </w:r>
    </w:p>
    <w:p w:rsidR="006C7C33" w:rsidRPr="0068094B" w:rsidRDefault="006C7C33" w:rsidP="006C7C3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rsidR="006C7C33" w:rsidRPr="0068094B" w:rsidRDefault="006C7C33" w:rsidP="006C7C33">
      <w:pPr>
        <w:pStyle w:val="NumberedAnnexParaCharChar"/>
        <w:numPr>
          <w:ilvl w:val="0"/>
          <w:numId w:val="0"/>
        </w:numPr>
        <w:spacing w:line="276" w:lineRule="auto"/>
        <w:ind w:right="28"/>
        <w:rPr>
          <w:rFonts w:asciiTheme="minorHAnsi" w:hAnsiTheme="minorHAnsi" w:cstheme="minorHAnsi"/>
          <w:color w:val="000000"/>
          <w:sz w:val="22"/>
          <w:szCs w:val="22"/>
        </w:rPr>
      </w:pPr>
      <w:r w:rsidRPr="0068094B">
        <w:rPr>
          <w:rFonts w:asciiTheme="minorHAnsi" w:hAnsiTheme="minorHAnsi" w:cstheme="minorHAnsi"/>
          <w:color w:val="000000"/>
          <w:sz w:val="22"/>
          <w:szCs w:val="22"/>
          <w:lang w:val="en-GB"/>
        </w:rPr>
        <w:t>The Council has ready access to borrowing at favourable rates from the Public Works Loan Board and other local authorities, and at higher rates from banks and building societies.  There is no perceived risk that the Council will be unable to raise finance to meet its commitments and the Council has no borrowing outstanding at the balance sheet date.</w:t>
      </w:r>
      <w:r w:rsidRPr="0068094B" w:rsidDel="00734878">
        <w:rPr>
          <w:rFonts w:asciiTheme="minorHAnsi" w:hAnsiTheme="minorHAnsi" w:cstheme="minorHAnsi"/>
          <w:color w:val="000000"/>
          <w:sz w:val="22"/>
          <w:szCs w:val="22"/>
        </w:rPr>
        <w:t xml:space="preserve"> </w:t>
      </w:r>
    </w:p>
    <w:p w:rsidR="00125BBA" w:rsidRPr="0068094B" w:rsidRDefault="00125BBA" w:rsidP="006C7C33">
      <w:pPr>
        <w:pStyle w:val="NumberedAnnexParaCharChar"/>
        <w:numPr>
          <w:ilvl w:val="0"/>
          <w:numId w:val="0"/>
        </w:numPr>
        <w:spacing w:line="276" w:lineRule="auto"/>
        <w:ind w:right="28"/>
        <w:rPr>
          <w:rFonts w:asciiTheme="minorHAnsi" w:hAnsiTheme="minorHAnsi" w:cstheme="minorHAnsi"/>
          <w:color w:val="000000"/>
          <w:sz w:val="22"/>
          <w:szCs w:val="22"/>
        </w:rPr>
      </w:pPr>
    </w:p>
    <w:p w:rsidR="006C7C33" w:rsidRPr="0068094B" w:rsidRDefault="006C7C33" w:rsidP="006C7C33">
      <w:pPr>
        <w:pStyle w:val="ListParagraph"/>
        <w:ind w:left="0"/>
        <w:rPr>
          <w:rFonts w:asciiTheme="minorHAnsi" w:hAnsiTheme="minorHAnsi" w:cstheme="minorHAnsi"/>
          <w:b/>
          <w:szCs w:val="22"/>
        </w:rPr>
      </w:pPr>
      <w:r w:rsidRPr="0068094B">
        <w:rPr>
          <w:rFonts w:asciiTheme="minorHAnsi" w:hAnsiTheme="minorHAnsi" w:cstheme="minorHAnsi"/>
          <w:b/>
          <w:szCs w:val="22"/>
        </w:rPr>
        <w:t>Market Risks: Interest Rate Risk</w:t>
      </w:r>
    </w:p>
    <w:p w:rsidR="006C7C33" w:rsidRPr="0068094B" w:rsidRDefault="006C7C33" w:rsidP="006C7C3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rsidR="00AE7ABC" w:rsidRDefault="006C7C33" w:rsidP="00ED3B24">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 xml:space="preserve">The Council is exposed to risk in terms of its exposure to interest rate movements on its investments, although the effects on the Council of such movements are not considered to be </w:t>
      </w:r>
      <w:r w:rsidR="00123172" w:rsidRPr="0068094B">
        <w:rPr>
          <w:rFonts w:asciiTheme="minorHAnsi" w:hAnsiTheme="minorHAnsi" w:cstheme="minorHAnsi"/>
          <w:color w:val="000000"/>
          <w:sz w:val="22"/>
          <w:szCs w:val="22"/>
          <w:lang w:val="en-GB"/>
        </w:rPr>
        <w:t xml:space="preserve">material </w:t>
      </w:r>
      <w:r w:rsidRPr="0068094B">
        <w:rPr>
          <w:rFonts w:asciiTheme="minorHAnsi" w:hAnsiTheme="minorHAnsi" w:cstheme="minorHAnsi"/>
          <w:color w:val="000000"/>
          <w:sz w:val="22"/>
          <w:szCs w:val="22"/>
          <w:lang w:val="en-GB"/>
        </w:rPr>
        <w:t>as the majority of sums invested are at fixed interest rates for short periods</w:t>
      </w:r>
      <w:r w:rsidR="00C84EDC">
        <w:rPr>
          <w:rFonts w:asciiTheme="minorHAnsi" w:hAnsiTheme="minorHAnsi" w:cstheme="minorHAnsi"/>
          <w:color w:val="000000"/>
          <w:sz w:val="22"/>
          <w:szCs w:val="22"/>
          <w:lang w:val="en-GB"/>
        </w:rPr>
        <w:t>.</w:t>
      </w:r>
    </w:p>
    <w:p w:rsidR="00AE7ABC" w:rsidRDefault="00AE7ABC" w:rsidP="00ED3B24">
      <w:pPr>
        <w:pStyle w:val="NumberedAnnexParaCharChar"/>
        <w:numPr>
          <w:ilvl w:val="0"/>
          <w:numId w:val="0"/>
        </w:numPr>
        <w:spacing w:line="276" w:lineRule="auto"/>
        <w:ind w:right="28"/>
        <w:rPr>
          <w:rFonts w:asciiTheme="minorHAnsi" w:hAnsiTheme="minorHAnsi" w:cstheme="minorHAnsi"/>
          <w:color w:val="000000"/>
          <w:sz w:val="22"/>
          <w:szCs w:val="22"/>
          <w:lang w:val="en-GB"/>
        </w:rPr>
      </w:pPr>
    </w:p>
    <w:p w:rsidR="00AE7ABC" w:rsidRDefault="00AE7ABC" w:rsidP="00ED3B24">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effect on the fair value of the Council’s investments </w:t>
      </w:r>
      <w:r w:rsidR="00054A38">
        <w:rPr>
          <w:rFonts w:asciiTheme="minorHAnsi" w:hAnsiTheme="minorHAnsi" w:cstheme="minorHAnsi"/>
          <w:color w:val="000000"/>
          <w:sz w:val="22"/>
          <w:szCs w:val="22"/>
          <w:lang w:val="en-GB"/>
        </w:rPr>
        <w:t xml:space="preserve">of a </w:t>
      </w:r>
      <w:r>
        <w:rPr>
          <w:rFonts w:asciiTheme="minorHAnsi" w:hAnsiTheme="minorHAnsi" w:cstheme="minorHAnsi"/>
          <w:color w:val="000000"/>
          <w:sz w:val="22"/>
          <w:szCs w:val="22"/>
          <w:lang w:val="en-GB"/>
        </w:rPr>
        <w:t>change in interest rates is shown below</w:t>
      </w:r>
      <w:r w:rsidR="00054A38">
        <w:rPr>
          <w:rFonts w:asciiTheme="minorHAnsi" w:hAnsiTheme="minorHAnsi" w:cstheme="minorHAnsi"/>
          <w:color w:val="000000"/>
          <w:sz w:val="22"/>
          <w:szCs w:val="22"/>
          <w:lang w:val="en-GB"/>
        </w:rPr>
        <w:t xml:space="preserve">. </w:t>
      </w:r>
    </w:p>
    <w:p w:rsidR="00AE7ABC" w:rsidRDefault="00AE7ABC" w:rsidP="00ED3B24">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W w:w="8044"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28"/>
        <w:gridCol w:w="1308"/>
        <w:gridCol w:w="1308"/>
      </w:tblGrid>
      <w:tr w:rsidR="00AE7ABC" w:rsidRPr="00AE7ABC" w:rsidTr="0044393D">
        <w:trPr>
          <w:trHeight w:val="300"/>
        </w:trPr>
        <w:tc>
          <w:tcPr>
            <w:tcW w:w="5428" w:type="dxa"/>
            <w:shd w:val="clear" w:color="000000" w:fill="D9D9D9"/>
            <w:noWrap/>
            <w:vAlign w:val="bottom"/>
            <w:hideMark/>
          </w:tcPr>
          <w:p w:rsidR="00AE7ABC" w:rsidRPr="00AE7ABC" w:rsidRDefault="00AE7ABC" w:rsidP="00AE7ABC">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Interest rate risk (effect of 1% increase in interest rates)</w:t>
            </w:r>
          </w:p>
        </w:tc>
        <w:tc>
          <w:tcPr>
            <w:tcW w:w="1308" w:type="dxa"/>
            <w:shd w:val="clear" w:color="000000" w:fill="D9D9D9"/>
            <w:noWrap/>
            <w:vAlign w:val="bottom"/>
            <w:hideMark/>
          </w:tcPr>
          <w:p w:rsidR="00AE7ABC" w:rsidRDefault="00AE7ABC" w:rsidP="00AE7ABC">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31</w:t>
            </w:r>
            <w:r w:rsidR="00454387">
              <w:rPr>
                <w:rFonts w:ascii="Calibri" w:hAnsi="Calibri" w:cs="Calibri"/>
                <w:color w:val="000000"/>
                <w:sz w:val="22"/>
                <w:szCs w:val="22"/>
                <w:lang w:eastAsia="en-GB"/>
              </w:rPr>
              <w:t xml:space="preserve"> March </w:t>
            </w:r>
            <w:r w:rsidR="00762DB7">
              <w:rPr>
                <w:rFonts w:ascii="Calibri" w:hAnsi="Calibri" w:cs="Calibri"/>
                <w:color w:val="000000"/>
                <w:sz w:val="22"/>
                <w:szCs w:val="22"/>
                <w:lang w:eastAsia="en-GB"/>
              </w:rPr>
              <w:t>2019</w:t>
            </w:r>
          </w:p>
          <w:p w:rsidR="00054A38" w:rsidRPr="00AE7ABC" w:rsidRDefault="00054A38" w:rsidP="00AE7ABC">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c>
          <w:tcPr>
            <w:tcW w:w="1308" w:type="dxa"/>
            <w:shd w:val="clear" w:color="000000" w:fill="D9D9D9"/>
            <w:noWrap/>
            <w:vAlign w:val="bottom"/>
            <w:hideMark/>
          </w:tcPr>
          <w:p w:rsidR="00AE7ABC" w:rsidRDefault="00AE7ABC" w:rsidP="00AE7ABC">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31</w:t>
            </w:r>
            <w:r w:rsidR="00454387">
              <w:rPr>
                <w:rFonts w:ascii="Calibri" w:hAnsi="Calibri" w:cs="Calibri"/>
                <w:color w:val="000000"/>
                <w:sz w:val="22"/>
                <w:szCs w:val="22"/>
                <w:lang w:eastAsia="en-GB"/>
              </w:rPr>
              <w:t xml:space="preserve"> March 2</w:t>
            </w:r>
            <w:r w:rsidR="00762DB7">
              <w:rPr>
                <w:rFonts w:ascii="Calibri" w:hAnsi="Calibri" w:cs="Calibri"/>
                <w:color w:val="000000"/>
                <w:sz w:val="22"/>
                <w:szCs w:val="22"/>
                <w:lang w:eastAsia="en-GB"/>
              </w:rPr>
              <w:t>020</w:t>
            </w:r>
          </w:p>
          <w:p w:rsidR="00054A38" w:rsidRPr="00AE7ABC" w:rsidRDefault="00054A38" w:rsidP="00AE7ABC">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r>
      <w:tr w:rsidR="00454387" w:rsidRPr="00AE7ABC" w:rsidTr="00454387">
        <w:trPr>
          <w:trHeight w:val="300"/>
        </w:trPr>
        <w:tc>
          <w:tcPr>
            <w:tcW w:w="5428" w:type="dxa"/>
            <w:shd w:val="clear" w:color="auto" w:fill="auto"/>
            <w:noWrap/>
            <w:vAlign w:val="bottom"/>
            <w:hideMark/>
          </w:tcPr>
          <w:p w:rsidR="00454387" w:rsidRPr="00AE7ABC" w:rsidRDefault="00454387" w:rsidP="00AE7ABC">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assets held at fair value</w:t>
            </w:r>
          </w:p>
        </w:tc>
        <w:tc>
          <w:tcPr>
            <w:tcW w:w="1308" w:type="dxa"/>
            <w:shd w:val="clear" w:color="auto" w:fill="auto"/>
            <w:noWrap/>
            <w:vAlign w:val="bottom"/>
          </w:tcPr>
          <w:p w:rsidR="00454387" w:rsidRPr="00AE7ABC" w:rsidRDefault="00454387" w:rsidP="00AE7ABC">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147</w:t>
            </w:r>
          </w:p>
        </w:tc>
        <w:tc>
          <w:tcPr>
            <w:tcW w:w="1308" w:type="dxa"/>
            <w:shd w:val="clear" w:color="auto" w:fill="auto"/>
            <w:noWrap/>
            <w:vAlign w:val="bottom"/>
          </w:tcPr>
          <w:p w:rsidR="00454387" w:rsidRPr="00AE7ABC" w:rsidRDefault="00762DB7" w:rsidP="00AE7ABC">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416</w:t>
            </w:r>
          </w:p>
        </w:tc>
      </w:tr>
      <w:tr w:rsidR="00454387" w:rsidRPr="00AE7ABC" w:rsidTr="00454387">
        <w:trPr>
          <w:trHeight w:val="300"/>
        </w:trPr>
        <w:tc>
          <w:tcPr>
            <w:tcW w:w="5428" w:type="dxa"/>
            <w:shd w:val="clear" w:color="auto" w:fill="auto"/>
            <w:noWrap/>
            <w:vAlign w:val="bottom"/>
            <w:hideMark/>
          </w:tcPr>
          <w:p w:rsidR="00454387" w:rsidRPr="00AE7ABC" w:rsidRDefault="00454387" w:rsidP="00AE7ABC">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loans and receivables</w:t>
            </w:r>
          </w:p>
        </w:tc>
        <w:tc>
          <w:tcPr>
            <w:tcW w:w="1308" w:type="dxa"/>
            <w:shd w:val="clear" w:color="auto" w:fill="auto"/>
            <w:noWrap/>
            <w:vAlign w:val="bottom"/>
          </w:tcPr>
          <w:p w:rsidR="00454387" w:rsidRPr="00AE7ABC" w:rsidRDefault="00454387" w:rsidP="00AE7ABC">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37</w:t>
            </w:r>
          </w:p>
        </w:tc>
        <w:tc>
          <w:tcPr>
            <w:tcW w:w="1308" w:type="dxa"/>
            <w:shd w:val="clear" w:color="auto" w:fill="auto"/>
            <w:noWrap/>
            <w:vAlign w:val="bottom"/>
          </w:tcPr>
          <w:p w:rsidR="00454387" w:rsidRPr="00AE7ABC" w:rsidRDefault="00762DB7" w:rsidP="00AE7ABC">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r>
      <w:tr w:rsidR="00454387" w:rsidRPr="00AE7ABC" w:rsidTr="00454387">
        <w:trPr>
          <w:trHeight w:val="300"/>
        </w:trPr>
        <w:tc>
          <w:tcPr>
            <w:tcW w:w="5428" w:type="dxa"/>
            <w:shd w:val="clear" w:color="auto" w:fill="auto"/>
            <w:noWrap/>
            <w:vAlign w:val="bottom"/>
            <w:hideMark/>
          </w:tcPr>
          <w:p w:rsidR="00454387" w:rsidRPr="00AE7ABC" w:rsidRDefault="00454387" w:rsidP="00AE7ABC">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lease receivables</w:t>
            </w:r>
          </w:p>
        </w:tc>
        <w:tc>
          <w:tcPr>
            <w:tcW w:w="1308" w:type="dxa"/>
            <w:shd w:val="clear" w:color="auto" w:fill="auto"/>
            <w:noWrap/>
            <w:vAlign w:val="bottom"/>
          </w:tcPr>
          <w:p w:rsidR="00454387" w:rsidRPr="00AE7ABC" w:rsidRDefault="00454387" w:rsidP="00AE7ABC">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280</w:t>
            </w:r>
          </w:p>
        </w:tc>
        <w:tc>
          <w:tcPr>
            <w:tcW w:w="1308" w:type="dxa"/>
            <w:shd w:val="clear" w:color="auto" w:fill="auto"/>
            <w:noWrap/>
            <w:vAlign w:val="bottom"/>
          </w:tcPr>
          <w:p w:rsidR="00454387" w:rsidRPr="00AE7ABC" w:rsidRDefault="00762DB7" w:rsidP="00AE7ABC">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465</w:t>
            </w:r>
          </w:p>
        </w:tc>
      </w:tr>
    </w:tbl>
    <w:p w:rsidR="00AE7ABC" w:rsidRPr="0044393D" w:rsidRDefault="00AE7ABC" w:rsidP="00ED3B24">
      <w:pPr>
        <w:pStyle w:val="NumberedAnnexParaCharChar"/>
        <w:numPr>
          <w:ilvl w:val="0"/>
          <w:numId w:val="0"/>
        </w:numPr>
        <w:spacing w:line="276" w:lineRule="auto"/>
        <w:ind w:right="28"/>
        <w:rPr>
          <w:rFonts w:asciiTheme="minorHAnsi" w:hAnsiTheme="minorHAnsi" w:cstheme="minorHAnsi"/>
          <w:color w:val="000000"/>
          <w:sz w:val="22"/>
          <w:szCs w:val="22"/>
          <w:lang w:val="en-GB"/>
        </w:rPr>
      </w:pPr>
    </w:p>
    <w:p w:rsidR="00C84EDC" w:rsidRDefault="00054A38" w:rsidP="006C7C33">
      <w:pPr>
        <w:pStyle w:val="ListParagraph"/>
        <w:ind w:left="0"/>
        <w:rPr>
          <w:rFonts w:asciiTheme="minorHAnsi" w:hAnsiTheme="minorHAnsi" w:cstheme="minorHAnsi"/>
          <w:color w:val="000000"/>
          <w:szCs w:val="22"/>
        </w:rPr>
      </w:pPr>
      <w:r>
        <w:rPr>
          <w:rFonts w:asciiTheme="minorHAnsi" w:hAnsiTheme="minorHAnsi" w:cstheme="minorHAnsi"/>
          <w:color w:val="000000"/>
          <w:szCs w:val="22"/>
        </w:rPr>
        <w:t>A fall in interest rates would have an equal and opposite effect.</w:t>
      </w:r>
    </w:p>
    <w:p w:rsidR="00C84EDC" w:rsidRDefault="00C84EDC">
      <w:pPr>
        <w:widowControl/>
        <w:suppressAutoHyphens w:val="0"/>
        <w:rPr>
          <w:rFonts w:asciiTheme="minorHAnsi" w:hAnsiTheme="minorHAnsi" w:cstheme="minorHAnsi"/>
          <w:color w:val="000000"/>
          <w:sz w:val="22"/>
          <w:szCs w:val="22"/>
        </w:rPr>
      </w:pPr>
      <w:r>
        <w:rPr>
          <w:rFonts w:asciiTheme="minorHAnsi" w:hAnsiTheme="minorHAnsi" w:cstheme="minorHAnsi"/>
          <w:color w:val="000000"/>
          <w:szCs w:val="22"/>
        </w:rPr>
        <w:br w:type="page"/>
      </w:r>
    </w:p>
    <w:p w:rsidR="00EB01D3" w:rsidRPr="00C84EDC" w:rsidRDefault="00EB01D3" w:rsidP="006C7C33">
      <w:pPr>
        <w:pStyle w:val="ListParagraph"/>
        <w:ind w:left="0"/>
        <w:rPr>
          <w:rFonts w:asciiTheme="minorHAnsi" w:hAnsiTheme="minorHAnsi" w:cstheme="minorHAnsi"/>
          <w:color w:val="000000"/>
          <w:szCs w:val="22"/>
        </w:rPr>
      </w:pPr>
    </w:p>
    <w:p w:rsidR="006C7C33" w:rsidRPr="007A4862" w:rsidRDefault="006C7C33" w:rsidP="006C7C33">
      <w:pPr>
        <w:pStyle w:val="ListParagraph"/>
        <w:ind w:left="0"/>
        <w:rPr>
          <w:rFonts w:asciiTheme="minorHAnsi" w:hAnsiTheme="minorHAnsi" w:cstheme="minorHAnsi"/>
          <w:b/>
          <w:szCs w:val="22"/>
        </w:rPr>
      </w:pPr>
      <w:r w:rsidRPr="007A4862">
        <w:rPr>
          <w:rFonts w:asciiTheme="minorHAnsi" w:hAnsiTheme="minorHAnsi" w:cstheme="minorHAnsi"/>
          <w:b/>
          <w:szCs w:val="22"/>
        </w:rPr>
        <w:t>Market Risks: Price Risk</w:t>
      </w:r>
    </w:p>
    <w:p w:rsidR="00091315" w:rsidRPr="007A4862" w:rsidRDefault="00091315" w:rsidP="006C7C33">
      <w:pPr>
        <w:pStyle w:val="ListParagraph"/>
        <w:ind w:left="0"/>
        <w:rPr>
          <w:rFonts w:asciiTheme="minorHAnsi" w:hAnsiTheme="minorHAnsi" w:cstheme="minorHAnsi"/>
          <w:b/>
          <w:szCs w:val="22"/>
        </w:rPr>
      </w:pPr>
    </w:p>
    <w:p w:rsidR="00F12DC6" w:rsidRPr="007A4862" w:rsidRDefault="002913E3" w:rsidP="002913E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The Council’s investment</w:t>
      </w:r>
      <w:r w:rsidR="00F12DC6" w:rsidRPr="007A4862">
        <w:rPr>
          <w:rFonts w:asciiTheme="minorHAnsi" w:hAnsiTheme="minorHAnsi" w:cstheme="minorHAnsi"/>
          <w:color w:val="000000"/>
          <w:sz w:val="22"/>
          <w:szCs w:val="22"/>
          <w:lang w:val="en-GB"/>
        </w:rPr>
        <w:t>s</w:t>
      </w:r>
      <w:r w:rsidR="003C0655" w:rsidRPr="007A4862">
        <w:rPr>
          <w:rFonts w:asciiTheme="minorHAnsi" w:hAnsiTheme="minorHAnsi" w:cstheme="minorHAnsi"/>
          <w:color w:val="000000"/>
          <w:sz w:val="22"/>
          <w:szCs w:val="22"/>
          <w:lang w:val="en-GB"/>
        </w:rPr>
        <w:t xml:space="preserve"> in </w:t>
      </w:r>
      <w:r w:rsidRPr="007A4862">
        <w:rPr>
          <w:rFonts w:asciiTheme="minorHAnsi" w:hAnsiTheme="minorHAnsi" w:cstheme="minorHAnsi"/>
          <w:color w:val="000000"/>
          <w:sz w:val="22"/>
          <w:szCs w:val="22"/>
          <w:lang w:val="en-GB"/>
        </w:rPr>
        <w:t xml:space="preserve">pooled </w:t>
      </w:r>
      <w:r w:rsidR="003C0655" w:rsidRPr="007A4862">
        <w:rPr>
          <w:rFonts w:asciiTheme="minorHAnsi" w:hAnsiTheme="minorHAnsi" w:cstheme="minorHAnsi"/>
          <w:color w:val="000000"/>
          <w:sz w:val="22"/>
          <w:szCs w:val="22"/>
          <w:lang w:val="en-GB"/>
        </w:rPr>
        <w:t xml:space="preserve">investment </w:t>
      </w:r>
      <w:r w:rsidRPr="007A4862">
        <w:rPr>
          <w:rFonts w:asciiTheme="minorHAnsi" w:hAnsiTheme="minorHAnsi" w:cstheme="minorHAnsi"/>
          <w:color w:val="000000"/>
          <w:sz w:val="22"/>
          <w:szCs w:val="22"/>
          <w:lang w:val="en-GB"/>
        </w:rPr>
        <w:t>fund</w:t>
      </w:r>
      <w:r w:rsidR="003C0655" w:rsidRPr="007A4862">
        <w:rPr>
          <w:rFonts w:asciiTheme="minorHAnsi" w:hAnsiTheme="minorHAnsi" w:cstheme="minorHAnsi"/>
          <w:color w:val="000000"/>
          <w:sz w:val="22"/>
          <w:szCs w:val="22"/>
          <w:lang w:val="en-GB"/>
        </w:rPr>
        <w:t>s are</w:t>
      </w:r>
      <w:r w:rsidRPr="007A4862">
        <w:rPr>
          <w:rFonts w:asciiTheme="minorHAnsi" w:hAnsiTheme="minorHAnsi" w:cstheme="minorHAnsi"/>
          <w:color w:val="000000"/>
          <w:sz w:val="22"/>
          <w:szCs w:val="22"/>
          <w:lang w:val="en-GB"/>
        </w:rPr>
        <w:t xml:space="preserve"> subject to the risk of </w:t>
      </w:r>
      <w:r w:rsidR="00F12DC6" w:rsidRPr="007A4862">
        <w:rPr>
          <w:rFonts w:asciiTheme="minorHAnsi" w:hAnsiTheme="minorHAnsi" w:cstheme="minorHAnsi"/>
          <w:color w:val="000000"/>
          <w:sz w:val="22"/>
          <w:szCs w:val="22"/>
          <w:lang w:val="en-GB"/>
        </w:rPr>
        <w:t xml:space="preserve">changes in </w:t>
      </w:r>
      <w:r w:rsidRPr="007A4862">
        <w:rPr>
          <w:rFonts w:asciiTheme="minorHAnsi" w:hAnsiTheme="minorHAnsi" w:cstheme="minorHAnsi"/>
          <w:color w:val="000000"/>
          <w:sz w:val="22"/>
          <w:szCs w:val="22"/>
          <w:lang w:val="en-GB"/>
        </w:rPr>
        <w:t>commercial property</w:t>
      </w:r>
      <w:r w:rsidR="00F12DC6" w:rsidRPr="007A4862">
        <w:rPr>
          <w:rFonts w:asciiTheme="minorHAnsi" w:hAnsiTheme="minorHAnsi" w:cstheme="minorHAnsi"/>
          <w:color w:val="000000"/>
          <w:sz w:val="22"/>
          <w:szCs w:val="22"/>
          <w:lang w:val="en-GB"/>
        </w:rPr>
        <w:t xml:space="preserve"> and equity prices together with a general risk relating to interest rates. The impact of these risks is shown in the table below</w:t>
      </w:r>
      <w:r w:rsidR="008C462D" w:rsidRPr="007A4862">
        <w:rPr>
          <w:rFonts w:asciiTheme="minorHAnsi" w:hAnsiTheme="minorHAnsi" w:cstheme="minorHAnsi"/>
          <w:color w:val="000000"/>
          <w:sz w:val="22"/>
          <w:szCs w:val="22"/>
          <w:lang w:val="en-GB"/>
        </w:rPr>
        <w:t>:</w:t>
      </w:r>
    </w:p>
    <w:p w:rsidR="005E540C" w:rsidRPr="007A4862" w:rsidRDefault="005E540C" w:rsidP="002913E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Style w:val="TableGrid"/>
        <w:tblW w:w="0" w:type="auto"/>
        <w:tblLook w:val="04A0" w:firstRow="1" w:lastRow="0" w:firstColumn="1" w:lastColumn="0" w:noHBand="0" w:noVBand="1"/>
        <w:tblCaption w:val="Market Risks: Price Risk"/>
      </w:tblPr>
      <w:tblGrid>
        <w:gridCol w:w="2376"/>
        <w:gridCol w:w="1418"/>
        <w:gridCol w:w="1559"/>
        <w:gridCol w:w="1701"/>
        <w:gridCol w:w="1701"/>
      </w:tblGrid>
      <w:tr w:rsidR="005E540C" w:rsidRPr="007A4862" w:rsidTr="003B5F7F">
        <w:trPr>
          <w:tblHeader/>
        </w:trPr>
        <w:tc>
          <w:tcPr>
            <w:tcW w:w="2376" w:type="dxa"/>
            <w:tcBorders>
              <w:bottom w:val="nil"/>
            </w:tcBorders>
            <w:shd w:val="clear" w:color="auto" w:fill="D9D9D9" w:themeFill="background1" w:themeFillShade="D9"/>
          </w:tcPr>
          <w:p w:rsidR="005E540C" w:rsidRPr="007A4862" w:rsidRDefault="005E540C" w:rsidP="002913E3">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418" w:type="dxa"/>
            <w:tcBorders>
              <w:bottom w:val="nil"/>
            </w:tcBorders>
            <w:shd w:val="clear" w:color="auto" w:fill="D9D9D9" w:themeFill="background1" w:themeFillShade="D9"/>
            <w:vAlign w:val="center"/>
          </w:tcPr>
          <w:p w:rsidR="005E540C" w:rsidRPr="007A4862" w:rsidRDefault="005E540C"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Fair value</w:t>
            </w:r>
          </w:p>
          <w:p w:rsidR="005E540C" w:rsidRPr="007A4862" w:rsidRDefault="005E540C"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c>
          <w:tcPr>
            <w:tcW w:w="1559" w:type="dxa"/>
            <w:tcBorders>
              <w:bottom w:val="nil"/>
            </w:tcBorders>
            <w:shd w:val="clear" w:color="auto" w:fill="D9D9D9" w:themeFill="background1" w:themeFillShade="D9"/>
            <w:vAlign w:val="center"/>
          </w:tcPr>
          <w:p w:rsidR="005E540C" w:rsidRPr="007A4862" w:rsidRDefault="005E540C"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1% rise in</w:t>
            </w:r>
          </w:p>
          <w:p w:rsidR="005E540C" w:rsidRPr="007A4862" w:rsidRDefault="005E540C"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interest rates</w:t>
            </w:r>
          </w:p>
        </w:tc>
        <w:tc>
          <w:tcPr>
            <w:tcW w:w="1701" w:type="dxa"/>
            <w:tcBorders>
              <w:bottom w:val="nil"/>
            </w:tcBorders>
            <w:shd w:val="clear" w:color="auto" w:fill="D9D9D9" w:themeFill="background1" w:themeFillShade="D9"/>
            <w:vAlign w:val="center"/>
          </w:tcPr>
          <w:p w:rsidR="005E540C" w:rsidRPr="007A4862" w:rsidRDefault="005E540C"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5% equity</w:t>
            </w:r>
          </w:p>
          <w:p w:rsidR="005E540C" w:rsidRPr="007A4862" w:rsidRDefault="00664E61"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p</w:t>
            </w:r>
            <w:r w:rsidR="005E540C" w:rsidRPr="007A4862">
              <w:rPr>
                <w:rFonts w:asciiTheme="minorHAnsi" w:hAnsiTheme="minorHAnsi" w:cstheme="minorHAnsi"/>
                <w:b/>
                <w:color w:val="000000"/>
                <w:sz w:val="22"/>
                <w:szCs w:val="22"/>
                <w:lang w:val="en-GB"/>
              </w:rPr>
              <w:t>rice fall</w:t>
            </w:r>
          </w:p>
        </w:tc>
        <w:tc>
          <w:tcPr>
            <w:tcW w:w="1701" w:type="dxa"/>
            <w:tcBorders>
              <w:bottom w:val="nil"/>
            </w:tcBorders>
            <w:shd w:val="clear" w:color="auto" w:fill="D9D9D9" w:themeFill="background1" w:themeFillShade="D9"/>
            <w:vAlign w:val="center"/>
          </w:tcPr>
          <w:p w:rsidR="005E540C" w:rsidRPr="007A4862" w:rsidRDefault="005E540C"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 xml:space="preserve">5% </w:t>
            </w:r>
            <w:r w:rsidR="00664E61" w:rsidRPr="007A4862">
              <w:rPr>
                <w:rFonts w:asciiTheme="minorHAnsi" w:hAnsiTheme="minorHAnsi" w:cstheme="minorHAnsi"/>
                <w:b/>
                <w:color w:val="000000"/>
                <w:sz w:val="22"/>
                <w:szCs w:val="22"/>
                <w:lang w:val="en-GB"/>
              </w:rPr>
              <w:t>property</w:t>
            </w:r>
          </w:p>
          <w:p w:rsidR="00664E61" w:rsidRPr="007A4862" w:rsidRDefault="00664E61"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price fall</w:t>
            </w:r>
          </w:p>
        </w:tc>
      </w:tr>
      <w:tr w:rsidR="00664E61" w:rsidRPr="007A4862" w:rsidTr="005C58F0">
        <w:tc>
          <w:tcPr>
            <w:tcW w:w="2376" w:type="dxa"/>
            <w:tcBorders>
              <w:top w:val="nil"/>
            </w:tcBorders>
            <w:shd w:val="clear" w:color="auto" w:fill="D9D9D9" w:themeFill="background1" w:themeFillShade="D9"/>
          </w:tcPr>
          <w:p w:rsidR="00664E61" w:rsidRPr="007A4862" w:rsidRDefault="005C58F0" w:rsidP="002913E3">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Fund</w:t>
            </w:r>
          </w:p>
        </w:tc>
        <w:tc>
          <w:tcPr>
            <w:tcW w:w="1418" w:type="dxa"/>
            <w:tcBorders>
              <w:top w:val="nil"/>
            </w:tcBorders>
            <w:shd w:val="clear" w:color="auto" w:fill="D9D9D9" w:themeFill="background1" w:themeFillShade="D9"/>
            <w:vAlign w:val="center"/>
          </w:tcPr>
          <w:p w:rsidR="00664E61" w:rsidRPr="007A4862" w:rsidRDefault="00664E61"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£000</w:t>
            </w:r>
          </w:p>
        </w:tc>
        <w:tc>
          <w:tcPr>
            <w:tcW w:w="1559" w:type="dxa"/>
            <w:tcBorders>
              <w:top w:val="nil"/>
            </w:tcBorders>
            <w:shd w:val="clear" w:color="auto" w:fill="D9D9D9" w:themeFill="background1" w:themeFillShade="D9"/>
            <w:vAlign w:val="center"/>
          </w:tcPr>
          <w:p w:rsidR="00664E61" w:rsidRPr="007A4862" w:rsidRDefault="00664E61"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c>
          <w:tcPr>
            <w:tcW w:w="1701" w:type="dxa"/>
            <w:tcBorders>
              <w:top w:val="nil"/>
            </w:tcBorders>
            <w:shd w:val="clear" w:color="auto" w:fill="D9D9D9" w:themeFill="background1" w:themeFillShade="D9"/>
            <w:vAlign w:val="center"/>
          </w:tcPr>
          <w:p w:rsidR="00664E61" w:rsidRPr="007A4862" w:rsidRDefault="00664E61"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c>
          <w:tcPr>
            <w:tcW w:w="1701" w:type="dxa"/>
            <w:tcBorders>
              <w:top w:val="nil"/>
            </w:tcBorders>
            <w:shd w:val="clear" w:color="auto" w:fill="D9D9D9" w:themeFill="background1" w:themeFillShade="D9"/>
            <w:vAlign w:val="center"/>
          </w:tcPr>
          <w:p w:rsidR="00664E61" w:rsidRPr="007A4862" w:rsidRDefault="00664E61" w:rsidP="00664E61">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r>
      <w:tr w:rsidR="00664E61" w:rsidRPr="007A4862" w:rsidTr="0044393D">
        <w:trPr>
          <w:trHeight w:val="349"/>
        </w:trPr>
        <w:tc>
          <w:tcPr>
            <w:tcW w:w="2376" w:type="dxa"/>
            <w:vAlign w:val="center"/>
          </w:tcPr>
          <w:p w:rsidR="00664E61" w:rsidRPr="007A4862" w:rsidRDefault="00664E61" w:rsidP="00664E61">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CCLA Property Fund</w:t>
            </w:r>
          </w:p>
        </w:tc>
        <w:tc>
          <w:tcPr>
            <w:tcW w:w="1418" w:type="dxa"/>
            <w:vAlign w:val="center"/>
          </w:tcPr>
          <w:p w:rsidR="00664E61" w:rsidRPr="007A4862" w:rsidRDefault="00664E61" w:rsidP="0002299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9,</w:t>
            </w:r>
            <w:r w:rsidR="0002299E" w:rsidRPr="007A4862">
              <w:rPr>
                <w:rFonts w:asciiTheme="minorHAnsi" w:hAnsiTheme="minorHAnsi" w:cstheme="minorHAnsi"/>
                <w:color w:val="000000"/>
                <w:sz w:val="22"/>
                <w:szCs w:val="22"/>
                <w:lang w:val="en-GB"/>
              </w:rPr>
              <w:t>515</w:t>
            </w:r>
          </w:p>
        </w:tc>
        <w:tc>
          <w:tcPr>
            <w:tcW w:w="1559" w:type="dxa"/>
            <w:vAlign w:val="center"/>
          </w:tcPr>
          <w:p w:rsidR="00664E61" w:rsidRPr="007A4862" w:rsidRDefault="00054A38"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w:t>
            </w:r>
          </w:p>
        </w:tc>
        <w:tc>
          <w:tcPr>
            <w:tcW w:w="1701" w:type="dxa"/>
            <w:vAlign w:val="center"/>
          </w:tcPr>
          <w:p w:rsidR="00664E61" w:rsidRPr="007A4862" w:rsidRDefault="00054A38"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w:t>
            </w:r>
          </w:p>
        </w:tc>
        <w:tc>
          <w:tcPr>
            <w:tcW w:w="1701" w:type="dxa"/>
            <w:vAlign w:val="center"/>
          </w:tcPr>
          <w:p w:rsidR="00664E61" w:rsidRPr="007A4862" w:rsidRDefault="0002299E"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(463)</w:t>
            </w:r>
          </w:p>
        </w:tc>
      </w:tr>
      <w:tr w:rsidR="00664E61" w:rsidRPr="007A4862" w:rsidTr="0044393D">
        <w:trPr>
          <w:trHeight w:val="411"/>
        </w:trPr>
        <w:tc>
          <w:tcPr>
            <w:tcW w:w="2376" w:type="dxa"/>
            <w:vAlign w:val="center"/>
          </w:tcPr>
          <w:p w:rsidR="00664E61" w:rsidRPr="007A4862" w:rsidRDefault="00664E61" w:rsidP="00664E61">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Pooled Funds</w:t>
            </w:r>
          </w:p>
        </w:tc>
        <w:tc>
          <w:tcPr>
            <w:tcW w:w="1418" w:type="dxa"/>
            <w:vAlign w:val="center"/>
          </w:tcPr>
          <w:p w:rsidR="00664E61" w:rsidRPr="007A4862" w:rsidRDefault="0002299E"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20,235</w:t>
            </w:r>
          </w:p>
        </w:tc>
        <w:tc>
          <w:tcPr>
            <w:tcW w:w="1559" w:type="dxa"/>
            <w:vAlign w:val="center"/>
          </w:tcPr>
          <w:p w:rsidR="00664E61" w:rsidRPr="007A4862" w:rsidRDefault="0002299E"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(409)</w:t>
            </w:r>
          </w:p>
        </w:tc>
        <w:tc>
          <w:tcPr>
            <w:tcW w:w="1701" w:type="dxa"/>
            <w:vAlign w:val="center"/>
          </w:tcPr>
          <w:p w:rsidR="00664E61" w:rsidRPr="007A4862" w:rsidRDefault="0002299E"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(288)</w:t>
            </w:r>
          </w:p>
        </w:tc>
        <w:tc>
          <w:tcPr>
            <w:tcW w:w="1701" w:type="dxa"/>
            <w:vAlign w:val="center"/>
          </w:tcPr>
          <w:p w:rsidR="00664E61" w:rsidRPr="007A4862" w:rsidRDefault="0002299E"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(28)</w:t>
            </w:r>
          </w:p>
        </w:tc>
      </w:tr>
      <w:tr w:rsidR="00054A38" w:rsidTr="0044393D">
        <w:trPr>
          <w:trHeight w:val="309"/>
        </w:trPr>
        <w:tc>
          <w:tcPr>
            <w:tcW w:w="2376" w:type="dxa"/>
            <w:vAlign w:val="center"/>
          </w:tcPr>
          <w:p w:rsidR="00054A38" w:rsidRPr="007A4862" w:rsidRDefault="00054A38" w:rsidP="00664E61">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Money Market Funds</w:t>
            </w:r>
          </w:p>
        </w:tc>
        <w:tc>
          <w:tcPr>
            <w:tcW w:w="1418" w:type="dxa"/>
            <w:vAlign w:val="center"/>
          </w:tcPr>
          <w:p w:rsidR="00054A38" w:rsidRPr="007A4862" w:rsidRDefault="0002299E"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6,050</w:t>
            </w:r>
          </w:p>
        </w:tc>
        <w:tc>
          <w:tcPr>
            <w:tcW w:w="1559" w:type="dxa"/>
            <w:vAlign w:val="center"/>
          </w:tcPr>
          <w:p w:rsidR="00054A38" w:rsidRPr="007A4862" w:rsidRDefault="0002299E"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(7)</w:t>
            </w:r>
          </w:p>
        </w:tc>
        <w:tc>
          <w:tcPr>
            <w:tcW w:w="1701" w:type="dxa"/>
            <w:vAlign w:val="center"/>
          </w:tcPr>
          <w:p w:rsidR="00054A38" w:rsidRPr="007A4862" w:rsidRDefault="00054A38"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w:t>
            </w:r>
          </w:p>
        </w:tc>
        <w:tc>
          <w:tcPr>
            <w:tcW w:w="1701" w:type="dxa"/>
            <w:vAlign w:val="center"/>
          </w:tcPr>
          <w:p w:rsidR="00054A38" w:rsidRPr="007A4862" w:rsidRDefault="00054A38" w:rsidP="00664E61">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w:t>
            </w:r>
          </w:p>
        </w:tc>
      </w:tr>
    </w:tbl>
    <w:p w:rsidR="00B469C7" w:rsidRDefault="00B469C7" w:rsidP="006C7C33">
      <w:pPr>
        <w:pStyle w:val="ListParagraph"/>
        <w:ind w:left="0"/>
        <w:rPr>
          <w:rFonts w:asciiTheme="minorHAnsi" w:hAnsiTheme="minorHAnsi" w:cstheme="minorHAnsi"/>
          <w:b/>
          <w:szCs w:val="22"/>
        </w:rPr>
      </w:pPr>
    </w:p>
    <w:p w:rsidR="006C7C33" w:rsidRPr="0068094B" w:rsidRDefault="006C7C33" w:rsidP="006C7C33">
      <w:pPr>
        <w:pStyle w:val="ListParagraph"/>
        <w:ind w:left="0"/>
        <w:rPr>
          <w:rFonts w:asciiTheme="minorHAnsi" w:hAnsiTheme="minorHAnsi" w:cstheme="minorHAnsi"/>
          <w:b/>
          <w:szCs w:val="22"/>
        </w:rPr>
      </w:pPr>
      <w:r w:rsidRPr="0068094B">
        <w:rPr>
          <w:rFonts w:asciiTheme="minorHAnsi" w:hAnsiTheme="minorHAnsi" w:cstheme="minorHAnsi"/>
          <w:b/>
          <w:szCs w:val="22"/>
        </w:rPr>
        <w:t>Market Risks: Foreign Exchange Risk</w:t>
      </w:r>
    </w:p>
    <w:p w:rsidR="00AA6175" w:rsidRDefault="006C7C33" w:rsidP="006C7C3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The Council is not currently exposed to exchange risk as all investments are denominated in £</w:t>
      </w:r>
    </w:p>
    <w:p w:rsidR="00C84EDC" w:rsidRDefault="006C7C33" w:rsidP="00C84EDC">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Sterling.</w:t>
      </w:r>
    </w:p>
    <w:p w:rsidR="00C84EDC" w:rsidRDefault="00C84EDC">
      <w:pPr>
        <w:widowControl/>
        <w:suppressAutoHyphens w:val="0"/>
        <w:rPr>
          <w:rFonts w:asciiTheme="minorHAnsi" w:hAnsiTheme="minorHAnsi" w:cstheme="minorHAnsi"/>
          <w:color w:val="000000"/>
          <w:sz w:val="22"/>
          <w:szCs w:val="22"/>
          <w:lang w:eastAsia="en-GB"/>
        </w:rPr>
      </w:pPr>
      <w:r>
        <w:rPr>
          <w:rFonts w:asciiTheme="minorHAnsi" w:hAnsiTheme="minorHAnsi" w:cstheme="minorHAnsi"/>
          <w:color w:val="000000"/>
          <w:sz w:val="22"/>
          <w:szCs w:val="22"/>
        </w:rPr>
        <w:br w:type="page"/>
      </w:r>
    </w:p>
    <w:p w:rsidR="001264A7" w:rsidRPr="00C84EDC" w:rsidRDefault="001264A7" w:rsidP="00C84EDC">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W w:w="10773" w:type="dxa"/>
        <w:tblInd w:w="-176" w:type="dxa"/>
        <w:tblLayout w:type="fixed"/>
        <w:tblLook w:val="0000" w:firstRow="0" w:lastRow="0" w:firstColumn="0" w:lastColumn="0" w:noHBand="0" w:noVBand="0"/>
      </w:tblPr>
      <w:tblGrid>
        <w:gridCol w:w="3119"/>
        <w:gridCol w:w="425"/>
        <w:gridCol w:w="4819"/>
        <w:gridCol w:w="1134"/>
        <w:gridCol w:w="1276"/>
      </w:tblGrid>
      <w:tr w:rsidR="00595C10" w:rsidRPr="0068094B" w:rsidTr="00EF6CEB">
        <w:trPr>
          <w:trHeight w:val="335"/>
        </w:trPr>
        <w:tc>
          <w:tcPr>
            <w:tcW w:w="3119" w:type="dxa"/>
            <w:vAlign w:val="center"/>
          </w:tcPr>
          <w:p w:rsidR="00EF6CEB" w:rsidRPr="00870ED5" w:rsidRDefault="00EF6CEB" w:rsidP="00EF6CEB">
            <w:pPr>
              <w:widowControl/>
              <w:suppressAutoHyphens w:val="0"/>
              <w:rPr>
                <w:rFonts w:asciiTheme="minorHAnsi" w:hAnsiTheme="minorHAnsi" w:cstheme="minorHAnsi"/>
                <w:b/>
                <w:szCs w:val="24"/>
              </w:rPr>
            </w:pPr>
            <w:r w:rsidRPr="00870ED5">
              <w:rPr>
                <w:rFonts w:asciiTheme="minorHAnsi" w:hAnsiTheme="minorHAnsi" w:cstheme="minorHAnsi"/>
                <w:b/>
                <w:szCs w:val="24"/>
              </w:rPr>
              <w:t>Collection Fund Statement</w:t>
            </w:r>
          </w:p>
          <w:p w:rsidR="00595C10" w:rsidRPr="0068094B" w:rsidRDefault="00595C10" w:rsidP="00870ED5">
            <w:pPr>
              <w:pStyle w:val="Header"/>
              <w:tabs>
                <w:tab w:val="clear" w:pos="4320"/>
                <w:tab w:val="clear" w:pos="8640"/>
              </w:tabs>
              <w:snapToGrid w:val="0"/>
              <w:rPr>
                <w:rFonts w:asciiTheme="minorHAnsi" w:hAnsiTheme="minorHAnsi" w:cstheme="minorHAnsi"/>
                <w:b/>
                <w:bCs/>
                <w:sz w:val="22"/>
                <w:szCs w:val="22"/>
              </w:rPr>
            </w:pPr>
          </w:p>
        </w:tc>
        <w:tc>
          <w:tcPr>
            <w:tcW w:w="425" w:type="dxa"/>
            <w:vAlign w:val="center"/>
          </w:tcPr>
          <w:p w:rsidR="00595C10" w:rsidRPr="0068094B"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rsidR="00595C10" w:rsidRPr="0068094B"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rsidR="00595C10" w:rsidRPr="0068094B" w:rsidRDefault="00595C10" w:rsidP="00A80F05">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auto"/>
            <w:vAlign w:val="center"/>
          </w:tcPr>
          <w:p w:rsidR="00595C10" w:rsidRPr="0068094B" w:rsidRDefault="00595C10" w:rsidP="00A80F05">
            <w:pPr>
              <w:pStyle w:val="Header"/>
              <w:tabs>
                <w:tab w:val="clear" w:pos="4320"/>
                <w:tab w:val="clear" w:pos="8640"/>
              </w:tabs>
              <w:snapToGrid w:val="0"/>
              <w:jc w:val="right"/>
              <w:rPr>
                <w:rFonts w:asciiTheme="minorHAnsi" w:hAnsiTheme="minorHAnsi" w:cstheme="minorHAnsi"/>
                <w:b/>
                <w:bCs/>
                <w:sz w:val="22"/>
                <w:szCs w:val="22"/>
              </w:rPr>
            </w:pPr>
          </w:p>
        </w:tc>
      </w:tr>
    </w:tbl>
    <w:p w:rsidR="00183652" w:rsidRPr="0068094B" w:rsidRDefault="00183652">
      <w:pPr>
        <w:rPr>
          <w:rFonts w:asciiTheme="minorHAnsi" w:hAnsiTheme="minorHAnsi" w:cstheme="minorHAnsi"/>
          <w:b/>
          <w:bCs/>
          <w:sz w:val="22"/>
          <w:szCs w:val="22"/>
        </w:rPr>
      </w:pPr>
    </w:p>
    <w:p w:rsidR="00183652" w:rsidRPr="0068094B" w:rsidRDefault="00183652">
      <w:pPr>
        <w:rPr>
          <w:rFonts w:asciiTheme="minorHAnsi" w:hAnsiTheme="minorHAnsi" w:cstheme="minorHAnsi"/>
          <w:b/>
          <w:bCs/>
          <w:sz w:val="22"/>
          <w:szCs w:val="22"/>
        </w:rPr>
      </w:pPr>
    </w:p>
    <w:p w:rsidR="00EF6CEB" w:rsidRDefault="00EF6CEB" w:rsidP="00CC1EE5">
      <w:pPr>
        <w:pStyle w:val="FootnoteText"/>
        <w:jc w:val="both"/>
        <w:rPr>
          <w:rFonts w:asciiTheme="minorHAnsi" w:hAnsiTheme="minorHAnsi" w:cstheme="minorHAnsi"/>
          <w:sz w:val="22"/>
          <w:szCs w:val="22"/>
        </w:rPr>
      </w:pPr>
    </w:p>
    <w:p w:rsidR="00183652" w:rsidRDefault="004A6511" w:rsidP="00CC1EE5">
      <w:pPr>
        <w:pStyle w:val="FootnoteText"/>
        <w:jc w:val="both"/>
        <w:rPr>
          <w:rFonts w:asciiTheme="minorHAnsi" w:hAnsiTheme="minorHAnsi" w:cstheme="minorHAnsi"/>
          <w:sz w:val="22"/>
          <w:szCs w:val="22"/>
        </w:rPr>
      </w:pPr>
      <w:r w:rsidRPr="0068094B">
        <w:rPr>
          <w:rFonts w:asciiTheme="minorHAnsi" w:hAnsiTheme="minorHAnsi" w:cstheme="minorHAnsi"/>
          <w:sz w:val="22"/>
          <w:szCs w:val="22"/>
        </w:rPr>
        <w:t xml:space="preserve">The Collection Fund (England) is an agent’s statement that reflects the statutory obligation for billing authorities to maintain a separate Collection Fund. The statement shows the transactions of the billing authority in relation to the collection from taxpayers </w:t>
      </w:r>
      <w:r w:rsidR="00E525C0" w:rsidRPr="0068094B">
        <w:rPr>
          <w:rFonts w:asciiTheme="minorHAnsi" w:hAnsiTheme="minorHAnsi" w:cstheme="minorHAnsi"/>
          <w:sz w:val="22"/>
          <w:szCs w:val="22"/>
        </w:rPr>
        <w:t xml:space="preserve">of </w:t>
      </w:r>
      <w:r w:rsidR="00E16274" w:rsidRPr="0068094B">
        <w:rPr>
          <w:rFonts w:asciiTheme="minorHAnsi" w:hAnsiTheme="minorHAnsi" w:cstheme="minorHAnsi"/>
          <w:sz w:val="22"/>
          <w:szCs w:val="22"/>
        </w:rPr>
        <w:t>Council</w:t>
      </w:r>
      <w:r w:rsidR="00E525C0" w:rsidRPr="0068094B">
        <w:rPr>
          <w:rFonts w:asciiTheme="minorHAnsi" w:hAnsiTheme="minorHAnsi" w:cstheme="minorHAnsi"/>
          <w:sz w:val="22"/>
          <w:szCs w:val="22"/>
        </w:rPr>
        <w:t xml:space="preserve"> tax and national non-domestic rates </w:t>
      </w:r>
      <w:r w:rsidRPr="0068094B">
        <w:rPr>
          <w:rFonts w:asciiTheme="minorHAnsi" w:hAnsiTheme="minorHAnsi" w:cstheme="minorHAnsi"/>
          <w:sz w:val="22"/>
          <w:szCs w:val="22"/>
        </w:rPr>
        <w:t xml:space="preserve">and </w:t>
      </w:r>
      <w:r w:rsidR="00E525C0" w:rsidRPr="0068094B">
        <w:rPr>
          <w:rFonts w:asciiTheme="minorHAnsi" w:hAnsiTheme="minorHAnsi" w:cstheme="minorHAnsi"/>
          <w:sz w:val="22"/>
          <w:szCs w:val="22"/>
        </w:rPr>
        <w:t xml:space="preserve">its </w:t>
      </w:r>
      <w:r w:rsidRPr="0068094B">
        <w:rPr>
          <w:rFonts w:asciiTheme="minorHAnsi" w:hAnsiTheme="minorHAnsi" w:cstheme="minorHAnsi"/>
          <w:sz w:val="22"/>
          <w:szCs w:val="22"/>
        </w:rPr>
        <w:t>distribution to local authorities and the Government</w:t>
      </w:r>
      <w:r w:rsidR="00C84EDC">
        <w:rPr>
          <w:rFonts w:asciiTheme="minorHAnsi" w:hAnsiTheme="minorHAnsi" w:cstheme="minorHAnsi"/>
          <w:sz w:val="22"/>
          <w:szCs w:val="22"/>
        </w:rPr>
        <w:t>.</w:t>
      </w:r>
    </w:p>
    <w:p w:rsidR="00EF6CEB" w:rsidRPr="0068094B" w:rsidRDefault="00EF6CEB" w:rsidP="00CC1EE5">
      <w:pPr>
        <w:pStyle w:val="FootnoteText"/>
        <w:jc w:val="both"/>
        <w:rPr>
          <w:rFonts w:asciiTheme="minorHAnsi" w:hAnsiTheme="minorHAnsi" w:cstheme="minorHAnsi"/>
          <w:sz w:val="22"/>
          <w:szCs w:val="22"/>
        </w:rPr>
      </w:pPr>
    </w:p>
    <w:p w:rsidR="00284D76" w:rsidRPr="0068094B" w:rsidRDefault="00284D76" w:rsidP="00CC1EE5">
      <w:pPr>
        <w:pStyle w:val="FootnoteText"/>
        <w:jc w:val="both"/>
        <w:rPr>
          <w:rFonts w:asciiTheme="minorHAnsi" w:hAnsiTheme="minorHAnsi" w:cstheme="minorHAnsi"/>
          <w:sz w:val="22"/>
          <w:szCs w:val="22"/>
        </w:rPr>
      </w:pPr>
    </w:p>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llection Fund Statement"/>
      </w:tblPr>
      <w:tblGrid>
        <w:gridCol w:w="567"/>
        <w:gridCol w:w="3828"/>
        <w:gridCol w:w="993"/>
        <w:gridCol w:w="992"/>
        <w:gridCol w:w="992"/>
        <w:gridCol w:w="284"/>
        <w:gridCol w:w="992"/>
        <w:gridCol w:w="992"/>
        <w:gridCol w:w="992"/>
      </w:tblGrid>
      <w:tr w:rsidR="001F2AE9" w:rsidRPr="0068094B" w:rsidTr="003B5F7F">
        <w:trPr>
          <w:gridBefore w:val="1"/>
          <w:wBefore w:w="567" w:type="dxa"/>
          <w:trHeight w:val="284"/>
          <w:tblHeader/>
        </w:trPr>
        <w:tc>
          <w:tcPr>
            <w:tcW w:w="3828" w:type="dxa"/>
          </w:tcPr>
          <w:p w:rsidR="001F2AE9" w:rsidRPr="0068094B" w:rsidRDefault="001F2AE9" w:rsidP="00A120D8">
            <w:pPr>
              <w:jc w:val="both"/>
              <w:rPr>
                <w:rFonts w:asciiTheme="minorHAnsi" w:hAnsiTheme="minorHAnsi" w:cstheme="minorHAnsi"/>
                <w:b/>
                <w:bCs/>
                <w:sz w:val="22"/>
                <w:szCs w:val="22"/>
              </w:rPr>
            </w:pPr>
          </w:p>
        </w:tc>
        <w:tc>
          <w:tcPr>
            <w:tcW w:w="2977" w:type="dxa"/>
            <w:gridSpan w:val="3"/>
            <w:tcBorders>
              <w:bottom w:val="single" w:sz="4" w:space="0" w:color="auto"/>
            </w:tcBorders>
            <w:shd w:val="clear" w:color="auto" w:fill="FFFFFF" w:themeFill="background1"/>
            <w:vAlign w:val="center"/>
          </w:tcPr>
          <w:p w:rsidR="001F2AE9" w:rsidRPr="0068094B" w:rsidRDefault="00D734E0" w:rsidP="00B469C7">
            <w:pPr>
              <w:jc w:val="center"/>
              <w:rPr>
                <w:rFonts w:asciiTheme="minorHAnsi" w:hAnsiTheme="minorHAnsi" w:cstheme="minorHAnsi"/>
                <w:b/>
                <w:bCs/>
                <w:sz w:val="22"/>
                <w:szCs w:val="22"/>
              </w:rPr>
            </w:pPr>
            <w:r>
              <w:rPr>
                <w:rFonts w:asciiTheme="minorHAnsi" w:hAnsiTheme="minorHAnsi" w:cstheme="minorHAnsi"/>
                <w:b/>
                <w:bCs/>
                <w:sz w:val="22"/>
                <w:szCs w:val="22"/>
              </w:rPr>
              <w:t>Year to 31</w:t>
            </w:r>
            <w:r w:rsidR="00870ED5">
              <w:rPr>
                <w:rFonts w:asciiTheme="minorHAnsi" w:hAnsiTheme="minorHAnsi" w:cstheme="minorHAnsi"/>
                <w:b/>
                <w:bCs/>
                <w:sz w:val="22"/>
                <w:szCs w:val="22"/>
              </w:rPr>
              <w:t xml:space="preserve"> March </w:t>
            </w:r>
            <w:r>
              <w:rPr>
                <w:rFonts w:asciiTheme="minorHAnsi" w:hAnsiTheme="minorHAnsi" w:cstheme="minorHAnsi"/>
                <w:b/>
                <w:bCs/>
                <w:sz w:val="22"/>
                <w:szCs w:val="22"/>
              </w:rPr>
              <w:t>201</w:t>
            </w:r>
            <w:r w:rsidR="00B469C7">
              <w:rPr>
                <w:rFonts w:asciiTheme="minorHAnsi" w:hAnsiTheme="minorHAnsi" w:cstheme="minorHAnsi"/>
                <w:b/>
                <w:bCs/>
                <w:sz w:val="22"/>
                <w:szCs w:val="22"/>
              </w:rPr>
              <w:t>9</w:t>
            </w:r>
          </w:p>
        </w:tc>
        <w:tc>
          <w:tcPr>
            <w:tcW w:w="284" w:type="dxa"/>
          </w:tcPr>
          <w:p w:rsidR="001F2AE9" w:rsidRPr="0068094B" w:rsidRDefault="001F2AE9" w:rsidP="00A120D8">
            <w:pPr>
              <w:jc w:val="both"/>
              <w:rPr>
                <w:rFonts w:asciiTheme="minorHAnsi" w:hAnsiTheme="minorHAnsi" w:cstheme="minorHAnsi"/>
                <w:b/>
                <w:bCs/>
                <w:sz w:val="22"/>
                <w:szCs w:val="22"/>
              </w:rPr>
            </w:pPr>
          </w:p>
        </w:tc>
        <w:tc>
          <w:tcPr>
            <w:tcW w:w="2976" w:type="dxa"/>
            <w:gridSpan w:val="3"/>
            <w:tcBorders>
              <w:bottom w:val="single" w:sz="4" w:space="0" w:color="auto"/>
            </w:tcBorders>
            <w:shd w:val="clear" w:color="auto" w:fill="FFFFFF" w:themeFill="background1"/>
            <w:vAlign w:val="center"/>
          </w:tcPr>
          <w:p w:rsidR="001F2AE9" w:rsidRPr="0068094B" w:rsidRDefault="00D734E0" w:rsidP="00B469C7">
            <w:pPr>
              <w:jc w:val="center"/>
              <w:rPr>
                <w:rFonts w:asciiTheme="minorHAnsi" w:hAnsiTheme="minorHAnsi" w:cstheme="minorHAnsi"/>
                <w:b/>
                <w:bCs/>
                <w:sz w:val="22"/>
                <w:szCs w:val="22"/>
              </w:rPr>
            </w:pPr>
            <w:r>
              <w:rPr>
                <w:rFonts w:asciiTheme="minorHAnsi" w:hAnsiTheme="minorHAnsi" w:cstheme="minorHAnsi"/>
                <w:b/>
                <w:bCs/>
                <w:sz w:val="22"/>
                <w:szCs w:val="22"/>
              </w:rPr>
              <w:t>Year to 31</w:t>
            </w:r>
            <w:r w:rsidR="00870ED5">
              <w:rPr>
                <w:rFonts w:asciiTheme="minorHAnsi" w:hAnsiTheme="minorHAnsi" w:cstheme="minorHAnsi"/>
                <w:b/>
                <w:bCs/>
                <w:sz w:val="22"/>
                <w:szCs w:val="22"/>
              </w:rPr>
              <w:t xml:space="preserve"> March </w:t>
            </w:r>
            <w:r>
              <w:rPr>
                <w:rFonts w:asciiTheme="minorHAnsi" w:hAnsiTheme="minorHAnsi" w:cstheme="minorHAnsi"/>
                <w:b/>
                <w:bCs/>
                <w:sz w:val="22"/>
                <w:szCs w:val="22"/>
              </w:rPr>
              <w:t>20</w:t>
            </w:r>
            <w:r w:rsidR="00B469C7">
              <w:rPr>
                <w:rFonts w:asciiTheme="minorHAnsi" w:hAnsiTheme="minorHAnsi" w:cstheme="minorHAnsi"/>
                <w:b/>
                <w:bCs/>
                <w:sz w:val="22"/>
                <w:szCs w:val="22"/>
              </w:rPr>
              <w:t>20</w:t>
            </w:r>
          </w:p>
        </w:tc>
      </w:tr>
      <w:tr w:rsidR="001F2AE9" w:rsidRPr="0068094B" w:rsidTr="00284D76">
        <w:trPr>
          <w:trHeight w:val="85"/>
        </w:trPr>
        <w:tc>
          <w:tcPr>
            <w:tcW w:w="4395" w:type="dxa"/>
            <w:gridSpan w:val="2"/>
            <w:vAlign w:val="center"/>
          </w:tcPr>
          <w:p w:rsidR="001F2AE9" w:rsidRPr="0068094B" w:rsidRDefault="001F2AE9" w:rsidP="00D734E0">
            <w:pPr>
              <w:rPr>
                <w:rFonts w:asciiTheme="minorHAnsi" w:hAnsiTheme="minorHAnsi" w:cstheme="minorHAnsi"/>
                <w:b/>
                <w:bCs/>
                <w:sz w:val="22"/>
                <w:szCs w:val="22"/>
              </w:rPr>
            </w:pPr>
            <w:r w:rsidRPr="0068094B">
              <w:rPr>
                <w:rFonts w:asciiTheme="minorHAnsi" w:hAnsiTheme="minorHAnsi" w:cstheme="minorHAnsi"/>
                <w:b/>
                <w:bCs/>
                <w:sz w:val="22"/>
                <w:szCs w:val="22"/>
              </w:rPr>
              <w:t xml:space="preserve">Collection Fund </w:t>
            </w:r>
            <w:r w:rsidR="0072738E" w:rsidRPr="0068094B">
              <w:rPr>
                <w:rFonts w:asciiTheme="minorHAnsi" w:hAnsiTheme="minorHAnsi" w:cstheme="minorHAnsi"/>
                <w:b/>
                <w:bCs/>
                <w:sz w:val="22"/>
                <w:szCs w:val="22"/>
              </w:rPr>
              <w:t xml:space="preserve">Income and Expenditure Account </w:t>
            </w:r>
          </w:p>
        </w:tc>
        <w:tc>
          <w:tcPr>
            <w:tcW w:w="993" w:type="dxa"/>
            <w:tcBorders>
              <w:top w:val="single" w:sz="4" w:space="0" w:color="auto"/>
            </w:tcBorders>
            <w:vAlign w:val="center"/>
          </w:tcPr>
          <w:p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Business</w:t>
            </w:r>
          </w:p>
          <w:p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Rates</w:t>
            </w:r>
          </w:p>
        </w:tc>
        <w:tc>
          <w:tcPr>
            <w:tcW w:w="992" w:type="dxa"/>
            <w:tcBorders>
              <w:top w:val="single" w:sz="4" w:space="0" w:color="auto"/>
            </w:tcBorders>
            <w:vAlign w:val="center"/>
          </w:tcPr>
          <w:p w:rsidR="001F2AE9" w:rsidRPr="00D734E0" w:rsidRDefault="00E16274" w:rsidP="00813FD3">
            <w:pPr>
              <w:jc w:val="right"/>
              <w:rPr>
                <w:rFonts w:asciiTheme="minorHAnsi" w:hAnsiTheme="minorHAnsi" w:cstheme="minorHAnsi"/>
                <w:b/>
                <w:bCs/>
                <w:sz w:val="20"/>
              </w:rPr>
            </w:pPr>
            <w:r w:rsidRPr="00D734E0">
              <w:rPr>
                <w:rFonts w:asciiTheme="minorHAnsi" w:hAnsiTheme="minorHAnsi" w:cstheme="minorHAnsi"/>
                <w:b/>
                <w:bCs/>
                <w:sz w:val="20"/>
              </w:rPr>
              <w:t>Council</w:t>
            </w:r>
          </w:p>
          <w:p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Tax</w:t>
            </w:r>
          </w:p>
        </w:tc>
        <w:tc>
          <w:tcPr>
            <w:tcW w:w="992" w:type="dxa"/>
            <w:tcBorders>
              <w:top w:val="single" w:sz="4" w:space="0" w:color="auto"/>
            </w:tcBorders>
            <w:vAlign w:val="center"/>
          </w:tcPr>
          <w:p w:rsidR="001F2AE9" w:rsidRPr="0068094B" w:rsidRDefault="001F2AE9" w:rsidP="00813FD3">
            <w:pPr>
              <w:jc w:val="right"/>
              <w:rPr>
                <w:rFonts w:asciiTheme="minorHAnsi" w:hAnsiTheme="minorHAnsi" w:cstheme="minorHAnsi"/>
                <w:b/>
                <w:bCs/>
                <w:sz w:val="22"/>
                <w:szCs w:val="22"/>
              </w:rPr>
            </w:pPr>
            <w:r w:rsidRPr="0068094B">
              <w:rPr>
                <w:rFonts w:asciiTheme="minorHAnsi" w:hAnsiTheme="minorHAnsi" w:cstheme="minorHAnsi"/>
                <w:b/>
                <w:bCs/>
                <w:sz w:val="22"/>
                <w:szCs w:val="22"/>
              </w:rPr>
              <w:t>Total</w:t>
            </w:r>
          </w:p>
        </w:tc>
        <w:tc>
          <w:tcPr>
            <w:tcW w:w="284" w:type="dxa"/>
          </w:tcPr>
          <w:p w:rsidR="001F2AE9" w:rsidRPr="0068094B"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Business</w:t>
            </w:r>
          </w:p>
          <w:p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Rates</w:t>
            </w:r>
          </w:p>
        </w:tc>
        <w:tc>
          <w:tcPr>
            <w:tcW w:w="992" w:type="dxa"/>
            <w:tcBorders>
              <w:top w:val="single" w:sz="4" w:space="0" w:color="auto"/>
            </w:tcBorders>
            <w:vAlign w:val="center"/>
          </w:tcPr>
          <w:p w:rsidR="001F2AE9" w:rsidRPr="00D734E0" w:rsidRDefault="00E16274" w:rsidP="00813FD3">
            <w:pPr>
              <w:jc w:val="right"/>
              <w:rPr>
                <w:rFonts w:asciiTheme="minorHAnsi" w:hAnsiTheme="minorHAnsi" w:cstheme="minorHAnsi"/>
                <w:b/>
                <w:bCs/>
                <w:sz w:val="20"/>
              </w:rPr>
            </w:pPr>
            <w:r w:rsidRPr="00D734E0">
              <w:rPr>
                <w:rFonts w:asciiTheme="minorHAnsi" w:hAnsiTheme="minorHAnsi" w:cstheme="minorHAnsi"/>
                <w:b/>
                <w:bCs/>
                <w:sz w:val="20"/>
              </w:rPr>
              <w:t>Council</w:t>
            </w:r>
          </w:p>
          <w:p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Tax</w:t>
            </w:r>
          </w:p>
        </w:tc>
        <w:tc>
          <w:tcPr>
            <w:tcW w:w="992" w:type="dxa"/>
            <w:tcBorders>
              <w:top w:val="single" w:sz="4" w:space="0" w:color="auto"/>
            </w:tcBorders>
            <w:vAlign w:val="center"/>
          </w:tcPr>
          <w:p w:rsidR="001F2AE9" w:rsidRPr="0068094B" w:rsidRDefault="001F2AE9" w:rsidP="00813FD3">
            <w:pPr>
              <w:jc w:val="right"/>
              <w:rPr>
                <w:rFonts w:asciiTheme="minorHAnsi" w:hAnsiTheme="minorHAnsi" w:cstheme="minorHAnsi"/>
                <w:b/>
                <w:bCs/>
                <w:sz w:val="22"/>
                <w:szCs w:val="22"/>
              </w:rPr>
            </w:pPr>
            <w:r w:rsidRPr="0068094B">
              <w:rPr>
                <w:rFonts w:asciiTheme="minorHAnsi" w:hAnsiTheme="minorHAnsi" w:cstheme="minorHAnsi"/>
                <w:b/>
                <w:bCs/>
                <w:sz w:val="22"/>
                <w:szCs w:val="22"/>
              </w:rPr>
              <w:t>Total</w:t>
            </w:r>
          </w:p>
        </w:tc>
      </w:tr>
      <w:tr w:rsidR="001F2AE9" w:rsidRPr="0068094B" w:rsidTr="00284D76">
        <w:trPr>
          <w:trHeight w:val="95"/>
        </w:trPr>
        <w:tc>
          <w:tcPr>
            <w:tcW w:w="4395" w:type="dxa"/>
            <w:gridSpan w:val="2"/>
          </w:tcPr>
          <w:p w:rsidR="001F2AE9" w:rsidRPr="0068094B" w:rsidRDefault="001F2AE9" w:rsidP="00A120D8">
            <w:pPr>
              <w:jc w:val="both"/>
              <w:rPr>
                <w:rFonts w:asciiTheme="minorHAnsi" w:hAnsiTheme="minorHAnsi" w:cstheme="minorHAnsi"/>
                <w:b/>
                <w:bCs/>
                <w:sz w:val="22"/>
                <w:szCs w:val="22"/>
              </w:rPr>
            </w:pPr>
          </w:p>
        </w:tc>
        <w:tc>
          <w:tcPr>
            <w:tcW w:w="993" w:type="dxa"/>
            <w:tcBorders>
              <w:bottom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284" w:type="dxa"/>
          </w:tcPr>
          <w:p w:rsidR="001F2AE9" w:rsidRPr="0068094B" w:rsidRDefault="001F2AE9" w:rsidP="00A120D8">
            <w:pPr>
              <w:jc w:val="both"/>
              <w:rPr>
                <w:rFonts w:asciiTheme="minorHAnsi" w:hAnsiTheme="minorHAnsi" w:cstheme="minorHAnsi"/>
                <w:b/>
                <w:bCs/>
                <w:sz w:val="22"/>
                <w:szCs w:val="22"/>
              </w:rPr>
            </w:pPr>
          </w:p>
        </w:tc>
        <w:tc>
          <w:tcPr>
            <w:tcW w:w="992" w:type="dxa"/>
            <w:tcBorders>
              <w:bottom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1F2AE9" w:rsidRPr="0068094B" w:rsidTr="00284D76">
        <w:trPr>
          <w:trHeight w:val="85"/>
        </w:trPr>
        <w:tc>
          <w:tcPr>
            <w:tcW w:w="4395" w:type="dxa"/>
            <w:gridSpan w:val="2"/>
            <w:vAlign w:val="center"/>
          </w:tcPr>
          <w:p w:rsidR="001F2AE9" w:rsidRPr="0068094B" w:rsidRDefault="001F2AE9" w:rsidP="00A120D8">
            <w:pPr>
              <w:rPr>
                <w:rFonts w:asciiTheme="minorHAnsi" w:hAnsiTheme="minorHAnsi" w:cstheme="minorHAnsi"/>
                <w:b/>
                <w:bCs/>
                <w:sz w:val="22"/>
                <w:szCs w:val="22"/>
                <w:u w:val="single"/>
              </w:rPr>
            </w:pPr>
            <w:r w:rsidRPr="0068094B">
              <w:rPr>
                <w:rFonts w:asciiTheme="minorHAnsi" w:hAnsiTheme="minorHAnsi" w:cstheme="minorHAnsi"/>
                <w:b/>
                <w:bCs/>
                <w:sz w:val="22"/>
                <w:szCs w:val="22"/>
                <w:u w:val="single"/>
              </w:rPr>
              <w:t>INCOME</w:t>
            </w:r>
          </w:p>
        </w:tc>
        <w:tc>
          <w:tcPr>
            <w:tcW w:w="993" w:type="dxa"/>
            <w:tcBorders>
              <w:top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p>
        </w:tc>
        <w:tc>
          <w:tcPr>
            <w:tcW w:w="284" w:type="dxa"/>
          </w:tcPr>
          <w:p w:rsidR="001F2AE9" w:rsidRPr="0068094B"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rsidR="001F2AE9" w:rsidRPr="0068094B" w:rsidRDefault="001F2AE9" w:rsidP="00A120D8">
            <w:pPr>
              <w:jc w:val="right"/>
              <w:rPr>
                <w:rFonts w:asciiTheme="minorHAnsi" w:hAnsiTheme="minorHAnsi" w:cstheme="minorHAnsi"/>
                <w:b/>
                <w:bCs/>
                <w:sz w:val="22"/>
                <w:szCs w:val="22"/>
              </w:rPr>
            </w:pP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Council Tax Receivable</w:t>
            </w:r>
          </w:p>
        </w:tc>
        <w:tc>
          <w:tcPr>
            <w:tcW w:w="993"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89,977</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89,977</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AA6175" w:rsidP="00106A8B">
            <w:pPr>
              <w:jc w:val="right"/>
              <w:rPr>
                <w:rFonts w:asciiTheme="minorHAnsi" w:hAnsiTheme="minorHAnsi" w:cstheme="minorHAnsi"/>
                <w:bCs/>
                <w:sz w:val="22"/>
                <w:szCs w:val="22"/>
              </w:rPr>
            </w:pPr>
            <w:r>
              <w:rPr>
                <w:rFonts w:asciiTheme="minorHAnsi" w:hAnsiTheme="minorHAnsi" w:cstheme="minorHAnsi"/>
                <w:bCs/>
                <w:sz w:val="22"/>
                <w:szCs w:val="22"/>
              </w:rPr>
              <w:t>95,913</w:t>
            </w:r>
          </w:p>
        </w:tc>
        <w:tc>
          <w:tcPr>
            <w:tcW w:w="992" w:type="dxa"/>
            <w:shd w:val="clear" w:color="auto" w:fill="auto"/>
            <w:vAlign w:val="center"/>
          </w:tcPr>
          <w:p w:rsidR="00B469C7" w:rsidRPr="0068094B" w:rsidRDefault="00AA6175" w:rsidP="00A120D8">
            <w:pPr>
              <w:jc w:val="right"/>
              <w:rPr>
                <w:rFonts w:asciiTheme="minorHAnsi" w:hAnsiTheme="minorHAnsi" w:cstheme="minorHAnsi"/>
                <w:bCs/>
                <w:sz w:val="22"/>
                <w:szCs w:val="22"/>
              </w:rPr>
            </w:pPr>
            <w:r>
              <w:rPr>
                <w:rFonts w:asciiTheme="minorHAnsi" w:hAnsiTheme="minorHAnsi" w:cstheme="minorHAnsi"/>
                <w:bCs/>
                <w:sz w:val="22"/>
                <w:szCs w:val="22"/>
              </w:rPr>
              <w:t>95,913</w:t>
            </w:r>
          </w:p>
        </w:tc>
      </w:tr>
      <w:tr w:rsidR="00B469C7" w:rsidRPr="0068094B" w:rsidTr="00284D76">
        <w:trPr>
          <w:trHeight w:val="481"/>
        </w:trPr>
        <w:tc>
          <w:tcPr>
            <w:tcW w:w="4395" w:type="dxa"/>
            <w:gridSpan w:val="2"/>
            <w:vAlign w:val="center"/>
          </w:tcPr>
          <w:p w:rsidR="00B469C7" w:rsidRPr="0068094B" w:rsidRDefault="00B469C7" w:rsidP="00025FC7">
            <w:pPr>
              <w:rPr>
                <w:rFonts w:asciiTheme="minorHAnsi" w:hAnsiTheme="minorHAnsi" w:cstheme="minorHAnsi"/>
                <w:bCs/>
                <w:sz w:val="22"/>
                <w:szCs w:val="22"/>
              </w:rPr>
            </w:pPr>
            <w:r>
              <w:rPr>
                <w:rFonts w:asciiTheme="minorHAnsi" w:hAnsiTheme="minorHAnsi" w:cstheme="minorHAnsi"/>
                <w:bCs/>
                <w:sz w:val="22"/>
                <w:szCs w:val="22"/>
              </w:rPr>
              <w:t>Reliefs charged to the Council’s General Fund</w:t>
            </w:r>
          </w:p>
        </w:tc>
        <w:tc>
          <w:tcPr>
            <w:tcW w:w="993"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shd w:val="clear" w:color="auto" w:fill="FFFFFF" w:themeFill="background1"/>
            <w:vAlign w:val="center"/>
          </w:tcPr>
          <w:p w:rsidR="00B469C7"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6</w:t>
            </w:r>
          </w:p>
        </w:tc>
        <w:tc>
          <w:tcPr>
            <w:tcW w:w="992" w:type="dxa"/>
            <w:vAlign w:val="center"/>
          </w:tcPr>
          <w:p w:rsidR="00B469C7"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6</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shd w:val="clear" w:color="auto" w:fill="FFFFFF" w:themeFill="background1"/>
            <w:vAlign w:val="center"/>
          </w:tcPr>
          <w:p w:rsidR="00B469C7" w:rsidRPr="0068094B" w:rsidRDefault="00AA6175" w:rsidP="00A120D8">
            <w:pPr>
              <w:jc w:val="right"/>
              <w:rPr>
                <w:rFonts w:asciiTheme="minorHAnsi" w:hAnsiTheme="minorHAnsi" w:cstheme="minorHAnsi"/>
                <w:bCs/>
                <w:sz w:val="22"/>
                <w:szCs w:val="22"/>
              </w:rPr>
            </w:pPr>
            <w:r>
              <w:rPr>
                <w:rFonts w:asciiTheme="minorHAnsi" w:hAnsiTheme="minorHAnsi" w:cstheme="minorHAnsi"/>
                <w:bCs/>
                <w:sz w:val="22"/>
                <w:szCs w:val="22"/>
              </w:rPr>
              <w:t>2</w:t>
            </w:r>
          </w:p>
        </w:tc>
        <w:tc>
          <w:tcPr>
            <w:tcW w:w="992" w:type="dxa"/>
            <w:shd w:val="clear" w:color="auto" w:fill="FFFFFF" w:themeFill="background1"/>
            <w:vAlign w:val="center"/>
          </w:tcPr>
          <w:p w:rsidR="00B469C7" w:rsidRPr="0068094B" w:rsidRDefault="00AA6175" w:rsidP="0067731F">
            <w:pPr>
              <w:jc w:val="right"/>
              <w:rPr>
                <w:rFonts w:asciiTheme="minorHAnsi" w:hAnsiTheme="minorHAnsi" w:cstheme="minorHAnsi"/>
                <w:bCs/>
                <w:sz w:val="22"/>
                <w:szCs w:val="22"/>
              </w:rPr>
            </w:pPr>
            <w:r>
              <w:rPr>
                <w:rFonts w:asciiTheme="minorHAnsi" w:hAnsiTheme="minorHAnsi" w:cstheme="minorHAnsi"/>
                <w:bCs/>
                <w:sz w:val="22"/>
                <w:szCs w:val="22"/>
              </w:rPr>
              <w:t>2</w:t>
            </w:r>
          </w:p>
        </w:tc>
      </w:tr>
      <w:tr w:rsidR="00B469C7" w:rsidRPr="0068094B" w:rsidTr="00284D76">
        <w:trPr>
          <w:trHeight w:val="389"/>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Business Rates Receivable</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48,813</w:t>
            </w:r>
          </w:p>
        </w:tc>
        <w:tc>
          <w:tcPr>
            <w:tcW w:w="992"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48,813</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AA6175" w:rsidP="00F10087">
            <w:pPr>
              <w:jc w:val="right"/>
              <w:rPr>
                <w:rFonts w:asciiTheme="minorHAnsi" w:hAnsiTheme="minorHAnsi" w:cstheme="minorHAnsi"/>
                <w:bCs/>
                <w:sz w:val="22"/>
                <w:szCs w:val="22"/>
              </w:rPr>
            </w:pPr>
            <w:r>
              <w:rPr>
                <w:rFonts w:asciiTheme="minorHAnsi" w:hAnsiTheme="minorHAnsi" w:cstheme="minorHAnsi"/>
                <w:bCs/>
                <w:sz w:val="22"/>
                <w:szCs w:val="22"/>
              </w:rPr>
              <w:t>47,493</w:t>
            </w: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AA6175" w:rsidP="00F10087">
            <w:pPr>
              <w:jc w:val="right"/>
              <w:rPr>
                <w:rFonts w:asciiTheme="minorHAnsi" w:hAnsiTheme="minorHAnsi" w:cstheme="minorHAnsi"/>
                <w:bCs/>
                <w:sz w:val="22"/>
                <w:szCs w:val="22"/>
              </w:rPr>
            </w:pPr>
            <w:r>
              <w:rPr>
                <w:rFonts w:asciiTheme="minorHAnsi" w:hAnsiTheme="minorHAnsi" w:cstheme="minorHAnsi"/>
                <w:bCs/>
                <w:sz w:val="22"/>
                <w:szCs w:val="22"/>
              </w:rPr>
              <w:t>47,493</w:t>
            </w:r>
          </w:p>
        </w:tc>
      </w:tr>
      <w:tr w:rsidR="00B469C7" w:rsidRPr="0068094B" w:rsidTr="00284D76">
        <w:trPr>
          <w:trHeight w:val="389"/>
        </w:trPr>
        <w:tc>
          <w:tcPr>
            <w:tcW w:w="4395" w:type="dxa"/>
            <w:gridSpan w:val="2"/>
            <w:vAlign w:val="center"/>
          </w:tcPr>
          <w:p w:rsidR="00B469C7" w:rsidRPr="0068094B" w:rsidRDefault="00B469C7" w:rsidP="004B77AF">
            <w:pPr>
              <w:rPr>
                <w:rFonts w:asciiTheme="minorHAnsi" w:hAnsiTheme="minorHAnsi" w:cstheme="minorHAnsi"/>
                <w:bCs/>
                <w:sz w:val="22"/>
                <w:szCs w:val="22"/>
              </w:rPr>
            </w:pPr>
            <w:r>
              <w:rPr>
                <w:rFonts w:asciiTheme="minorHAnsi" w:hAnsiTheme="minorHAnsi" w:cstheme="minorHAnsi"/>
                <w:bCs/>
                <w:sz w:val="22"/>
                <w:szCs w:val="22"/>
              </w:rPr>
              <w:t>Transitional Protection payment due</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912</w:t>
            </w:r>
          </w:p>
        </w:tc>
        <w:tc>
          <w:tcPr>
            <w:tcW w:w="992"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912</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AA6175" w:rsidP="00A120D8">
            <w:pPr>
              <w:jc w:val="right"/>
              <w:rPr>
                <w:rFonts w:asciiTheme="minorHAnsi" w:hAnsiTheme="minorHAnsi" w:cstheme="minorHAnsi"/>
                <w:bCs/>
                <w:sz w:val="22"/>
                <w:szCs w:val="22"/>
              </w:rPr>
            </w:pPr>
            <w:r>
              <w:rPr>
                <w:rFonts w:asciiTheme="minorHAnsi" w:hAnsiTheme="minorHAnsi" w:cstheme="minorHAnsi"/>
                <w:bCs/>
                <w:sz w:val="22"/>
                <w:szCs w:val="22"/>
              </w:rPr>
              <w:t>553</w:t>
            </w: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AA6175" w:rsidP="0067731F">
            <w:pPr>
              <w:jc w:val="right"/>
              <w:rPr>
                <w:rFonts w:asciiTheme="minorHAnsi" w:hAnsiTheme="minorHAnsi" w:cstheme="minorHAnsi"/>
                <w:bCs/>
                <w:sz w:val="22"/>
                <w:szCs w:val="22"/>
              </w:rPr>
            </w:pPr>
            <w:r>
              <w:rPr>
                <w:rFonts w:asciiTheme="minorHAnsi" w:hAnsiTheme="minorHAnsi" w:cstheme="minorHAnsi"/>
                <w:bCs/>
                <w:sz w:val="22"/>
                <w:szCs w:val="22"/>
              </w:rPr>
              <w:t>553</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
                <w:bCs/>
                <w:sz w:val="22"/>
                <w:szCs w:val="22"/>
              </w:rPr>
            </w:pPr>
            <w:r w:rsidRPr="0068094B">
              <w:rPr>
                <w:rFonts w:asciiTheme="minorHAnsi" w:hAnsiTheme="minorHAnsi" w:cstheme="minorHAnsi"/>
                <w:b/>
                <w:bCs/>
                <w:sz w:val="22"/>
                <w:szCs w:val="22"/>
              </w:rPr>
              <w:t>Total Income</w:t>
            </w:r>
          </w:p>
        </w:tc>
        <w:tc>
          <w:tcPr>
            <w:tcW w:w="993" w:type="dxa"/>
            <w:tcBorders>
              <w:top w:val="single" w:sz="4" w:space="0" w:color="auto"/>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49,725</w:t>
            </w:r>
          </w:p>
        </w:tc>
        <w:tc>
          <w:tcPr>
            <w:tcW w:w="992" w:type="dxa"/>
            <w:tcBorders>
              <w:top w:val="single" w:sz="4" w:space="0" w:color="auto"/>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89,983</w:t>
            </w:r>
          </w:p>
        </w:tc>
        <w:tc>
          <w:tcPr>
            <w:tcW w:w="992" w:type="dxa"/>
            <w:tcBorders>
              <w:top w:val="single" w:sz="4" w:space="0" w:color="auto"/>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139,708</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top w:val="single" w:sz="4" w:space="0" w:color="auto"/>
              <w:bottom w:val="single" w:sz="4" w:space="0" w:color="auto"/>
            </w:tcBorders>
            <w:vAlign w:val="center"/>
          </w:tcPr>
          <w:p w:rsidR="00B469C7" w:rsidRPr="0068094B" w:rsidRDefault="00AA6175" w:rsidP="00A120D8">
            <w:pPr>
              <w:jc w:val="right"/>
              <w:rPr>
                <w:rFonts w:asciiTheme="minorHAnsi" w:hAnsiTheme="minorHAnsi" w:cstheme="minorHAnsi"/>
                <w:bCs/>
                <w:sz w:val="22"/>
                <w:szCs w:val="22"/>
              </w:rPr>
            </w:pPr>
            <w:r>
              <w:rPr>
                <w:rFonts w:asciiTheme="minorHAnsi" w:hAnsiTheme="minorHAnsi" w:cstheme="minorHAnsi"/>
                <w:bCs/>
                <w:sz w:val="22"/>
                <w:szCs w:val="22"/>
              </w:rPr>
              <w:t>48,046</w:t>
            </w:r>
          </w:p>
        </w:tc>
        <w:tc>
          <w:tcPr>
            <w:tcW w:w="992" w:type="dxa"/>
            <w:tcBorders>
              <w:top w:val="single" w:sz="4" w:space="0" w:color="auto"/>
              <w:bottom w:val="single" w:sz="4" w:space="0" w:color="auto"/>
            </w:tcBorders>
            <w:vAlign w:val="center"/>
          </w:tcPr>
          <w:p w:rsidR="00B469C7" w:rsidRPr="0068094B" w:rsidRDefault="00AA6175" w:rsidP="00A120D8">
            <w:pPr>
              <w:jc w:val="right"/>
              <w:rPr>
                <w:rFonts w:asciiTheme="minorHAnsi" w:hAnsiTheme="minorHAnsi" w:cstheme="minorHAnsi"/>
                <w:bCs/>
                <w:sz w:val="22"/>
                <w:szCs w:val="22"/>
              </w:rPr>
            </w:pPr>
            <w:r>
              <w:rPr>
                <w:rFonts w:asciiTheme="minorHAnsi" w:hAnsiTheme="minorHAnsi" w:cstheme="minorHAnsi"/>
                <w:bCs/>
                <w:sz w:val="22"/>
                <w:szCs w:val="22"/>
              </w:rPr>
              <w:t>95,915</w:t>
            </w:r>
          </w:p>
        </w:tc>
        <w:tc>
          <w:tcPr>
            <w:tcW w:w="992" w:type="dxa"/>
            <w:tcBorders>
              <w:top w:val="single" w:sz="4" w:space="0" w:color="auto"/>
              <w:bottom w:val="single" w:sz="4" w:space="0" w:color="auto"/>
            </w:tcBorders>
            <w:vAlign w:val="center"/>
          </w:tcPr>
          <w:p w:rsidR="00B469C7" w:rsidRPr="0068094B" w:rsidRDefault="00AA6175" w:rsidP="00A120D8">
            <w:pPr>
              <w:jc w:val="right"/>
              <w:rPr>
                <w:rFonts w:asciiTheme="minorHAnsi" w:hAnsiTheme="minorHAnsi" w:cstheme="minorHAnsi"/>
                <w:bCs/>
                <w:sz w:val="22"/>
                <w:szCs w:val="22"/>
              </w:rPr>
            </w:pPr>
            <w:r>
              <w:rPr>
                <w:rFonts w:asciiTheme="minorHAnsi" w:hAnsiTheme="minorHAnsi" w:cstheme="minorHAnsi"/>
                <w:bCs/>
                <w:sz w:val="22"/>
                <w:szCs w:val="22"/>
              </w:rPr>
              <w:t>143,961</w:t>
            </w:r>
          </w:p>
        </w:tc>
      </w:tr>
      <w:tr w:rsidR="00B469C7" w:rsidRPr="0068094B" w:rsidTr="00284D76">
        <w:trPr>
          <w:trHeight w:val="85"/>
        </w:trPr>
        <w:tc>
          <w:tcPr>
            <w:tcW w:w="4395" w:type="dxa"/>
            <w:gridSpan w:val="2"/>
            <w:vAlign w:val="center"/>
          </w:tcPr>
          <w:p w:rsidR="00B469C7" w:rsidRPr="0068094B" w:rsidRDefault="00B469C7" w:rsidP="00A120D8">
            <w:pPr>
              <w:rPr>
                <w:rFonts w:asciiTheme="minorHAnsi" w:hAnsiTheme="minorHAnsi" w:cstheme="minorHAnsi"/>
                <w:bCs/>
                <w:sz w:val="22"/>
                <w:szCs w:val="22"/>
              </w:rPr>
            </w:pPr>
          </w:p>
        </w:tc>
        <w:tc>
          <w:tcPr>
            <w:tcW w:w="993"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p>
        </w:tc>
        <w:tc>
          <w:tcPr>
            <w:tcW w:w="992"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p>
        </w:tc>
        <w:tc>
          <w:tcPr>
            <w:tcW w:w="992"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top w:val="single" w:sz="4" w:space="0" w:color="auto"/>
            </w:tcBorders>
            <w:vAlign w:val="center"/>
          </w:tcPr>
          <w:p w:rsidR="00B469C7" w:rsidRPr="0068094B" w:rsidRDefault="00B469C7" w:rsidP="00A120D8">
            <w:pPr>
              <w:jc w:val="right"/>
              <w:rPr>
                <w:rFonts w:asciiTheme="minorHAnsi" w:hAnsiTheme="minorHAnsi" w:cstheme="minorHAnsi"/>
                <w:bCs/>
                <w:sz w:val="22"/>
                <w:szCs w:val="22"/>
              </w:rPr>
            </w:pPr>
          </w:p>
        </w:tc>
        <w:tc>
          <w:tcPr>
            <w:tcW w:w="992" w:type="dxa"/>
            <w:tcBorders>
              <w:top w:val="single" w:sz="4" w:space="0" w:color="auto"/>
            </w:tcBorders>
            <w:vAlign w:val="center"/>
          </w:tcPr>
          <w:p w:rsidR="00B469C7" w:rsidRPr="0068094B" w:rsidRDefault="00B469C7" w:rsidP="00A120D8">
            <w:pPr>
              <w:jc w:val="right"/>
              <w:rPr>
                <w:rFonts w:asciiTheme="minorHAnsi" w:hAnsiTheme="minorHAnsi" w:cstheme="minorHAnsi"/>
                <w:bCs/>
                <w:sz w:val="22"/>
                <w:szCs w:val="22"/>
              </w:rPr>
            </w:pPr>
          </w:p>
        </w:tc>
        <w:tc>
          <w:tcPr>
            <w:tcW w:w="992" w:type="dxa"/>
            <w:tcBorders>
              <w:top w:val="single" w:sz="4" w:space="0" w:color="auto"/>
            </w:tcBorders>
            <w:vAlign w:val="center"/>
          </w:tcPr>
          <w:p w:rsidR="00B469C7" w:rsidRPr="0068094B" w:rsidRDefault="00B469C7" w:rsidP="00A120D8">
            <w:pPr>
              <w:jc w:val="right"/>
              <w:rPr>
                <w:rFonts w:asciiTheme="minorHAnsi" w:hAnsiTheme="minorHAnsi" w:cstheme="minorHAnsi"/>
                <w:bCs/>
                <w:sz w:val="22"/>
                <w:szCs w:val="22"/>
              </w:rPr>
            </w:pP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
                <w:bCs/>
                <w:sz w:val="22"/>
                <w:szCs w:val="22"/>
                <w:u w:val="single"/>
              </w:rPr>
            </w:pPr>
            <w:r w:rsidRPr="0068094B">
              <w:rPr>
                <w:rFonts w:asciiTheme="minorHAnsi" w:hAnsiTheme="minorHAnsi" w:cstheme="minorHAnsi"/>
                <w:b/>
                <w:bCs/>
                <w:sz w:val="22"/>
                <w:szCs w:val="22"/>
                <w:u w:val="single"/>
              </w:rPr>
              <w:t>EXPENDITURE</w:t>
            </w:r>
          </w:p>
        </w:tc>
        <w:tc>
          <w:tcPr>
            <w:tcW w:w="993" w:type="dxa"/>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
                <w:bCs/>
                <w:sz w:val="22"/>
                <w:szCs w:val="22"/>
              </w:rPr>
            </w:pPr>
            <w:r w:rsidRPr="0068094B">
              <w:rPr>
                <w:rFonts w:asciiTheme="minorHAnsi" w:hAnsiTheme="minorHAnsi" w:cstheme="minorHAnsi"/>
                <w:b/>
                <w:bCs/>
                <w:sz w:val="22"/>
                <w:szCs w:val="22"/>
              </w:rPr>
              <w:t>Apportionment of Previous Year Estimated Surplus / (Deficit)</w:t>
            </w:r>
          </w:p>
        </w:tc>
        <w:tc>
          <w:tcPr>
            <w:tcW w:w="993" w:type="dxa"/>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Central Government</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(1,132)</w:t>
            </w:r>
          </w:p>
        </w:tc>
        <w:tc>
          <w:tcPr>
            <w:tcW w:w="992"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(1,132)</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30</w:t>
            </w: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30</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West Sussex County Council</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(226)</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189</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(37)</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6</w:t>
            </w:r>
          </w:p>
        </w:tc>
        <w:tc>
          <w:tcPr>
            <w:tcW w:w="992" w:type="dxa"/>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(166)</w:t>
            </w:r>
          </w:p>
        </w:tc>
        <w:tc>
          <w:tcPr>
            <w:tcW w:w="992" w:type="dxa"/>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(160)</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Chichester District Council</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(906)</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32</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(874)</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1B46D5" w:rsidP="00CA1850">
            <w:pPr>
              <w:jc w:val="right"/>
              <w:rPr>
                <w:rFonts w:asciiTheme="minorHAnsi" w:hAnsiTheme="minorHAnsi" w:cstheme="minorHAnsi"/>
                <w:bCs/>
                <w:sz w:val="22"/>
                <w:szCs w:val="22"/>
              </w:rPr>
            </w:pPr>
            <w:r>
              <w:rPr>
                <w:rFonts w:asciiTheme="minorHAnsi" w:hAnsiTheme="minorHAnsi" w:cstheme="minorHAnsi"/>
                <w:bCs/>
                <w:sz w:val="22"/>
                <w:szCs w:val="22"/>
              </w:rPr>
              <w:t>24</w:t>
            </w:r>
          </w:p>
        </w:tc>
        <w:tc>
          <w:tcPr>
            <w:tcW w:w="992" w:type="dxa"/>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(27)</w:t>
            </w:r>
          </w:p>
        </w:tc>
        <w:tc>
          <w:tcPr>
            <w:tcW w:w="992" w:type="dxa"/>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(3)</w:t>
            </w:r>
          </w:p>
        </w:tc>
      </w:tr>
      <w:tr w:rsidR="00B469C7" w:rsidRPr="0068094B" w:rsidTr="00284D76">
        <w:trPr>
          <w:trHeight w:val="203"/>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tcBorders>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23</w:t>
            </w:r>
          </w:p>
        </w:tc>
        <w:tc>
          <w:tcPr>
            <w:tcW w:w="992" w:type="dxa"/>
            <w:tcBorders>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23</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tcBorders>
              <w:bottom w:val="single" w:sz="4" w:space="0" w:color="auto"/>
            </w:tcBorders>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(21)</w:t>
            </w:r>
          </w:p>
        </w:tc>
        <w:tc>
          <w:tcPr>
            <w:tcW w:w="992" w:type="dxa"/>
            <w:tcBorders>
              <w:bottom w:val="single" w:sz="4" w:space="0" w:color="auto"/>
            </w:tcBorders>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(21)</w:t>
            </w:r>
          </w:p>
        </w:tc>
      </w:tr>
      <w:tr w:rsidR="00B469C7" w:rsidRPr="0068094B" w:rsidTr="00284D76">
        <w:trPr>
          <w:trHeight w:val="85"/>
        </w:trPr>
        <w:tc>
          <w:tcPr>
            <w:tcW w:w="4395" w:type="dxa"/>
            <w:gridSpan w:val="2"/>
            <w:vAlign w:val="center"/>
          </w:tcPr>
          <w:p w:rsidR="00B469C7" w:rsidRPr="0068094B" w:rsidRDefault="00B469C7" w:rsidP="00A120D8">
            <w:pPr>
              <w:rPr>
                <w:rFonts w:asciiTheme="minorHAnsi" w:hAnsiTheme="minorHAnsi" w:cstheme="minorHAnsi"/>
                <w:bCs/>
                <w:sz w:val="22"/>
                <w:szCs w:val="22"/>
              </w:rPr>
            </w:pPr>
          </w:p>
        </w:tc>
        <w:tc>
          <w:tcPr>
            <w:tcW w:w="993"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(2,264)</w:t>
            </w:r>
          </w:p>
        </w:tc>
        <w:tc>
          <w:tcPr>
            <w:tcW w:w="992"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244</w:t>
            </w:r>
          </w:p>
        </w:tc>
        <w:tc>
          <w:tcPr>
            <w:tcW w:w="992"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(2,020)</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top w:val="single" w:sz="4" w:space="0" w:color="auto"/>
            </w:tcBorders>
            <w:vAlign w:val="center"/>
          </w:tcPr>
          <w:p w:rsidR="00B469C7" w:rsidRPr="0068094B" w:rsidRDefault="001B46D5" w:rsidP="00CA1850">
            <w:pPr>
              <w:jc w:val="right"/>
              <w:rPr>
                <w:rFonts w:asciiTheme="minorHAnsi" w:hAnsiTheme="minorHAnsi" w:cstheme="minorHAnsi"/>
                <w:bCs/>
                <w:sz w:val="22"/>
                <w:szCs w:val="22"/>
              </w:rPr>
            </w:pPr>
            <w:r>
              <w:rPr>
                <w:rFonts w:asciiTheme="minorHAnsi" w:hAnsiTheme="minorHAnsi" w:cstheme="minorHAnsi"/>
                <w:bCs/>
                <w:sz w:val="22"/>
                <w:szCs w:val="22"/>
              </w:rPr>
              <w:t>60</w:t>
            </w:r>
          </w:p>
        </w:tc>
        <w:tc>
          <w:tcPr>
            <w:tcW w:w="992" w:type="dxa"/>
            <w:tcBorders>
              <w:top w:val="single" w:sz="4" w:space="0" w:color="auto"/>
            </w:tcBorders>
            <w:vAlign w:val="center"/>
          </w:tcPr>
          <w:p w:rsidR="00B469C7" w:rsidRPr="0068094B" w:rsidRDefault="001B46D5" w:rsidP="00A120D8">
            <w:pPr>
              <w:jc w:val="right"/>
              <w:rPr>
                <w:rFonts w:asciiTheme="minorHAnsi" w:hAnsiTheme="minorHAnsi" w:cstheme="minorHAnsi"/>
                <w:bCs/>
                <w:sz w:val="22"/>
                <w:szCs w:val="22"/>
              </w:rPr>
            </w:pPr>
            <w:r>
              <w:rPr>
                <w:rFonts w:asciiTheme="minorHAnsi" w:hAnsiTheme="minorHAnsi" w:cstheme="minorHAnsi"/>
                <w:bCs/>
                <w:sz w:val="22"/>
                <w:szCs w:val="22"/>
              </w:rPr>
              <w:t>(214)</w:t>
            </w:r>
          </w:p>
        </w:tc>
        <w:tc>
          <w:tcPr>
            <w:tcW w:w="992" w:type="dxa"/>
            <w:tcBorders>
              <w:top w:val="single" w:sz="4" w:space="0" w:color="auto"/>
            </w:tcBorders>
            <w:vAlign w:val="center"/>
          </w:tcPr>
          <w:p w:rsidR="00B469C7" w:rsidRPr="0068094B" w:rsidRDefault="001B46D5" w:rsidP="00370988">
            <w:pPr>
              <w:jc w:val="right"/>
              <w:rPr>
                <w:rFonts w:asciiTheme="minorHAnsi" w:hAnsiTheme="minorHAnsi" w:cstheme="minorHAnsi"/>
                <w:bCs/>
                <w:sz w:val="22"/>
                <w:szCs w:val="22"/>
              </w:rPr>
            </w:pPr>
            <w:r>
              <w:rPr>
                <w:rFonts w:asciiTheme="minorHAnsi" w:hAnsiTheme="minorHAnsi" w:cstheme="minorHAnsi"/>
                <w:bCs/>
                <w:sz w:val="22"/>
                <w:szCs w:val="22"/>
              </w:rPr>
              <w:t>(154)</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
                <w:bCs/>
                <w:sz w:val="22"/>
                <w:szCs w:val="22"/>
              </w:rPr>
            </w:pPr>
            <w:r w:rsidRPr="0068094B">
              <w:rPr>
                <w:rFonts w:asciiTheme="minorHAnsi" w:hAnsiTheme="minorHAnsi" w:cstheme="minorHAnsi"/>
                <w:b/>
                <w:bCs/>
                <w:sz w:val="22"/>
                <w:szCs w:val="22"/>
              </w:rPr>
              <w:t>Precepts, Demands and Shares</w:t>
            </w:r>
          </w:p>
        </w:tc>
        <w:tc>
          <w:tcPr>
            <w:tcW w:w="993" w:type="dxa"/>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Central Government</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23,964</w:t>
            </w:r>
          </w:p>
        </w:tc>
        <w:tc>
          <w:tcPr>
            <w:tcW w:w="992"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23,964</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5757CD" w:rsidP="00A120D8">
            <w:pPr>
              <w:jc w:val="right"/>
              <w:rPr>
                <w:rFonts w:asciiTheme="minorHAnsi" w:hAnsiTheme="minorHAnsi" w:cstheme="minorHAnsi"/>
                <w:bCs/>
                <w:sz w:val="22"/>
                <w:szCs w:val="22"/>
              </w:rPr>
            </w:pPr>
            <w:r>
              <w:rPr>
                <w:rFonts w:asciiTheme="minorHAnsi" w:hAnsiTheme="minorHAnsi" w:cstheme="minorHAnsi"/>
                <w:bCs/>
                <w:sz w:val="22"/>
                <w:szCs w:val="22"/>
              </w:rPr>
              <w:t>11,958</w:t>
            </w: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5757CD" w:rsidP="00A120D8">
            <w:pPr>
              <w:jc w:val="right"/>
              <w:rPr>
                <w:rFonts w:asciiTheme="minorHAnsi" w:hAnsiTheme="minorHAnsi" w:cstheme="minorHAnsi"/>
                <w:bCs/>
                <w:sz w:val="22"/>
                <w:szCs w:val="22"/>
              </w:rPr>
            </w:pPr>
            <w:r>
              <w:rPr>
                <w:rFonts w:asciiTheme="minorHAnsi" w:hAnsiTheme="minorHAnsi" w:cstheme="minorHAnsi"/>
                <w:bCs/>
                <w:sz w:val="22"/>
                <w:szCs w:val="22"/>
              </w:rPr>
              <w:t>11,958</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West Sussex County Council</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4,793</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69,584</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74,377</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5757CD" w:rsidP="00741FA4">
            <w:pPr>
              <w:jc w:val="right"/>
              <w:rPr>
                <w:rFonts w:asciiTheme="minorHAnsi" w:hAnsiTheme="minorHAnsi" w:cstheme="minorHAnsi"/>
                <w:bCs/>
                <w:sz w:val="22"/>
                <w:szCs w:val="22"/>
              </w:rPr>
            </w:pPr>
            <w:r>
              <w:rPr>
                <w:rFonts w:asciiTheme="minorHAnsi" w:hAnsiTheme="minorHAnsi" w:cstheme="minorHAnsi"/>
                <w:bCs/>
                <w:sz w:val="22"/>
                <w:szCs w:val="22"/>
              </w:rPr>
              <w:t>26,308</w:t>
            </w:r>
          </w:p>
        </w:tc>
        <w:tc>
          <w:tcPr>
            <w:tcW w:w="992" w:type="dxa"/>
            <w:vAlign w:val="center"/>
          </w:tcPr>
          <w:p w:rsidR="00B469C7" w:rsidRPr="0068094B" w:rsidRDefault="005757CD" w:rsidP="00AF3EDE">
            <w:pPr>
              <w:jc w:val="right"/>
              <w:rPr>
                <w:rFonts w:asciiTheme="minorHAnsi" w:hAnsiTheme="minorHAnsi" w:cstheme="minorHAnsi"/>
                <w:bCs/>
                <w:sz w:val="22"/>
                <w:szCs w:val="22"/>
              </w:rPr>
            </w:pPr>
            <w:r>
              <w:rPr>
                <w:rFonts w:asciiTheme="minorHAnsi" w:hAnsiTheme="minorHAnsi" w:cstheme="minorHAnsi"/>
                <w:bCs/>
                <w:sz w:val="22"/>
                <w:szCs w:val="22"/>
              </w:rPr>
              <w:t>73,799</w:t>
            </w:r>
          </w:p>
        </w:tc>
        <w:tc>
          <w:tcPr>
            <w:tcW w:w="992" w:type="dxa"/>
            <w:vAlign w:val="center"/>
          </w:tcPr>
          <w:p w:rsidR="00B469C7" w:rsidRPr="0068094B" w:rsidRDefault="005757CD" w:rsidP="00A120D8">
            <w:pPr>
              <w:jc w:val="right"/>
              <w:rPr>
                <w:rFonts w:asciiTheme="minorHAnsi" w:hAnsiTheme="minorHAnsi" w:cstheme="minorHAnsi"/>
                <w:bCs/>
                <w:sz w:val="22"/>
                <w:szCs w:val="22"/>
              </w:rPr>
            </w:pPr>
            <w:r>
              <w:rPr>
                <w:rFonts w:asciiTheme="minorHAnsi" w:hAnsiTheme="minorHAnsi" w:cstheme="minorHAnsi"/>
                <w:bCs/>
                <w:sz w:val="22"/>
                <w:szCs w:val="22"/>
              </w:rPr>
              <w:t>100,107</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Chichester District Council</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19,171</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11,299</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30,470</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5757CD" w:rsidP="00A120D8">
            <w:pPr>
              <w:jc w:val="right"/>
              <w:rPr>
                <w:rFonts w:asciiTheme="minorHAnsi" w:hAnsiTheme="minorHAnsi" w:cstheme="minorHAnsi"/>
                <w:bCs/>
                <w:sz w:val="22"/>
                <w:szCs w:val="22"/>
              </w:rPr>
            </w:pPr>
            <w:r>
              <w:rPr>
                <w:rFonts w:asciiTheme="minorHAnsi" w:hAnsiTheme="minorHAnsi" w:cstheme="minorHAnsi"/>
                <w:bCs/>
                <w:sz w:val="22"/>
                <w:szCs w:val="22"/>
              </w:rPr>
              <w:t>9,567</w:t>
            </w:r>
          </w:p>
        </w:tc>
        <w:tc>
          <w:tcPr>
            <w:tcW w:w="992" w:type="dxa"/>
            <w:vAlign w:val="center"/>
          </w:tcPr>
          <w:p w:rsidR="00B469C7" w:rsidRPr="0068094B" w:rsidRDefault="005757CD" w:rsidP="00A120D8">
            <w:pPr>
              <w:jc w:val="right"/>
              <w:rPr>
                <w:rFonts w:asciiTheme="minorHAnsi" w:hAnsiTheme="minorHAnsi" w:cstheme="minorHAnsi"/>
                <w:bCs/>
                <w:sz w:val="22"/>
                <w:szCs w:val="22"/>
              </w:rPr>
            </w:pPr>
            <w:r>
              <w:rPr>
                <w:rFonts w:asciiTheme="minorHAnsi" w:hAnsiTheme="minorHAnsi" w:cstheme="minorHAnsi"/>
                <w:bCs/>
                <w:sz w:val="22"/>
                <w:szCs w:val="22"/>
              </w:rPr>
              <w:t>11,752</w:t>
            </w:r>
          </w:p>
        </w:tc>
        <w:tc>
          <w:tcPr>
            <w:tcW w:w="992" w:type="dxa"/>
            <w:vAlign w:val="center"/>
          </w:tcPr>
          <w:p w:rsidR="00B469C7" w:rsidRPr="0068094B" w:rsidRDefault="005757CD" w:rsidP="005757CD">
            <w:pPr>
              <w:jc w:val="right"/>
              <w:rPr>
                <w:rFonts w:asciiTheme="minorHAnsi" w:hAnsiTheme="minorHAnsi" w:cstheme="minorHAnsi"/>
                <w:bCs/>
                <w:sz w:val="22"/>
                <w:szCs w:val="22"/>
              </w:rPr>
            </w:pPr>
            <w:r>
              <w:rPr>
                <w:rFonts w:asciiTheme="minorHAnsi" w:hAnsiTheme="minorHAnsi" w:cstheme="minorHAnsi"/>
                <w:bCs/>
                <w:sz w:val="22"/>
                <w:szCs w:val="22"/>
              </w:rPr>
              <w:t>21,319</w:t>
            </w:r>
          </w:p>
        </w:tc>
      </w:tr>
      <w:tr w:rsidR="00B469C7" w:rsidRPr="0068094B" w:rsidTr="000E1ED1">
        <w:trPr>
          <w:trHeight w:val="95"/>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tcBorders>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8,760</w:t>
            </w:r>
          </w:p>
        </w:tc>
        <w:tc>
          <w:tcPr>
            <w:tcW w:w="992" w:type="dxa"/>
            <w:tcBorders>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8,760</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tcBorders>
              <w:bottom w:val="single" w:sz="4" w:space="0" w:color="auto"/>
            </w:tcBorders>
            <w:vAlign w:val="center"/>
          </w:tcPr>
          <w:p w:rsidR="00B469C7" w:rsidRPr="0068094B" w:rsidRDefault="005757CD" w:rsidP="00AF3EDE">
            <w:pPr>
              <w:jc w:val="right"/>
              <w:rPr>
                <w:rFonts w:asciiTheme="minorHAnsi" w:hAnsiTheme="minorHAnsi" w:cstheme="minorHAnsi"/>
                <w:bCs/>
                <w:sz w:val="22"/>
                <w:szCs w:val="22"/>
              </w:rPr>
            </w:pPr>
            <w:r>
              <w:rPr>
                <w:rFonts w:asciiTheme="minorHAnsi" w:hAnsiTheme="minorHAnsi" w:cstheme="minorHAnsi"/>
                <w:bCs/>
                <w:sz w:val="22"/>
                <w:szCs w:val="22"/>
              </w:rPr>
              <w:t>10,130</w:t>
            </w:r>
          </w:p>
        </w:tc>
        <w:tc>
          <w:tcPr>
            <w:tcW w:w="992" w:type="dxa"/>
            <w:tcBorders>
              <w:bottom w:val="single" w:sz="4" w:space="0" w:color="auto"/>
            </w:tcBorders>
            <w:vAlign w:val="center"/>
          </w:tcPr>
          <w:p w:rsidR="00B469C7" w:rsidRPr="0068094B" w:rsidRDefault="005757CD" w:rsidP="00A120D8">
            <w:pPr>
              <w:jc w:val="right"/>
              <w:rPr>
                <w:rFonts w:asciiTheme="minorHAnsi" w:hAnsiTheme="minorHAnsi" w:cstheme="minorHAnsi"/>
                <w:bCs/>
                <w:sz w:val="22"/>
                <w:szCs w:val="22"/>
              </w:rPr>
            </w:pPr>
            <w:r>
              <w:rPr>
                <w:rFonts w:asciiTheme="minorHAnsi" w:hAnsiTheme="minorHAnsi" w:cstheme="minorHAnsi"/>
                <w:bCs/>
                <w:sz w:val="22"/>
                <w:szCs w:val="22"/>
              </w:rPr>
              <w:t>10,130</w:t>
            </w:r>
          </w:p>
        </w:tc>
      </w:tr>
      <w:tr w:rsidR="00B469C7" w:rsidRPr="0068094B" w:rsidTr="00284D76">
        <w:trPr>
          <w:trHeight w:val="85"/>
        </w:trPr>
        <w:tc>
          <w:tcPr>
            <w:tcW w:w="4395" w:type="dxa"/>
            <w:gridSpan w:val="2"/>
            <w:vAlign w:val="center"/>
          </w:tcPr>
          <w:p w:rsidR="00B469C7" w:rsidRPr="0068094B" w:rsidRDefault="00B469C7" w:rsidP="00A120D8">
            <w:pPr>
              <w:rPr>
                <w:rFonts w:asciiTheme="minorHAnsi" w:hAnsiTheme="minorHAnsi" w:cstheme="minorHAnsi"/>
                <w:bCs/>
                <w:sz w:val="22"/>
                <w:szCs w:val="22"/>
              </w:rPr>
            </w:pPr>
          </w:p>
        </w:tc>
        <w:tc>
          <w:tcPr>
            <w:tcW w:w="993"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47,928</w:t>
            </w:r>
          </w:p>
        </w:tc>
        <w:tc>
          <w:tcPr>
            <w:tcW w:w="992"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89,643</w:t>
            </w:r>
          </w:p>
        </w:tc>
        <w:tc>
          <w:tcPr>
            <w:tcW w:w="992"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137,571</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top w:val="single" w:sz="4" w:space="0" w:color="auto"/>
            </w:tcBorders>
            <w:vAlign w:val="center"/>
          </w:tcPr>
          <w:p w:rsidR="00B469C7" w:rsidRPr="0068094B" w:rsidRDefault="005757CD" w:rsidP="00741FA4">
            <w:pPr>
              <w:jc w:val="right"/>
              <w:rPr>
                <w:rFonts w:asciiTheme="minorHAnsi" w:hAnsiTheme="minorHAnsi" w:cstheme="minorHAnsi"/>
                <w:bCs/>
                <w:sz w:val="22"/>
                <w:szCs w:val="22"/>
              </w:rPr>
            </w:pPr>
            <w:r>
              <w:rPr>
                <w:rFonts w:asciiTheme="minorHAnsi" w:hAnsiTheme="minorHAnsi" w:cstheme="minorHAnsi"/>
                <w:bCs/>
                <w:sz w:val="22"/>
                <w:szCs w:val="22"/>
              </w:rPr>
              <w:t>47,833</w:t>
            </w:r>
          </w:p>
        </w:tc>
        <w:tc>
          <w:tcPr>
            <w:tcW w:w="992" w:type="dxa"/>
            <w:tcBorders>
              <w:top w:val="single" w:sz="4" w:space="0" w:color="auto"/>
            </w:tcBorders>
            <w:vAlign w:val="center"/>
          </w:tcPr>
          <w:p w:rsidR="00B469C7" w:rsidRPr="0068094B" w:rsidRDefault="005757CD" w:rsidP="00F2213A">
            <w:pPr>
              <w:jc w:val="right"/>
              <w:rPr>
                <w:rFonts w:asciiTheme="minorHAnsi" w:hAnsiTheme="minorHAnsi" w:cstheme="minorHAnsi"/>
                <w:bCs/>
                <w:sz w:val="22"/>
                <w:szCs w:val="22"/>
              </w:rPr>
            </w:pPr>
            <w:r>
              <w:rPr>
                <w:rFonts w:asciiTheme="minorHAnsi" w:hAnsiTheme="minorHAnsi" w:cstheme="minorHAnsi"/>
                <w:bCs/>
                <w:sz w:val="22"/>
                <w:szCs w:val="22"/>
              </w:rPr>
              <w:t>95,681</w:t>
            </w:r>
          </w:p>
        </w:tc>
        <w:tc>
          <w:tcPr>
            <w:tcW w:w="992" w:type="dxa"/>
            <w:tcBorders>
              <w:top w:val="single" w:sz="4" w:space="0" w:color="auto"/>
            </w:tcBorders>
            <w:vAlign w:val="center"/>
          </w:tcPr>
          <w:p w:rsidR="00B469C7" w:rsidRPr="0068094B" w:rsidRDefault="005757CD" w:rsidP="00370988">
            <w:pPr>
              <w:jc w:val="right"/>
              <w:rPr>
                <w:rFonts w:asciiTheme="minorHAnsi" w:hAnsiTheme="minorHAnsi" w:cstheme="minorHAnsi"/>
                <w:bCs/>
                <w:sz w:val="22"/>
                <w:szCs w:val="22"/>
              </w:rPr>
            </w:pPr>
            <w:r>
              <w:rPr>
                <w:rFonts w:asciiTheme="minorHAnsi" w:hAnsiTheme="minorHAnsi" w:cstheme="minorHAnsi"/>
                <w:bCs/>
                <w:sz w:val="22"/>
                <w:szCs w:val="22"/>
              </w:rPr>
              <w:t>143,514</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
                <w:bCs/>
                <w:sz w:val="22"/>
                <w:szCs w:val="22"/>
              </w:rPr>
            </w:pPr>
            <w:r w:rsidRPr="0068094B">
              <w:rPr>
                <w:rFonts w:asciiTheme="minorHAnsi" w:hAnsiTheme="minorHAnsi" w:cstheme="minorHAnsi"/>
                <w:b/>
                <w:bCs/>
                <w:sz w:val="22"/>
                <w:szCs w:val="22"/>
              </w:rPr>
              <w:t>Charges to the Collection Fund</w:t>
            </w:r>
          </w:p>
        </w:tc>
        <w:tc>
          <w:tcPr>
            <w:tcW w:w="993" w:type="dxa"/>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B469C7" w:rsidP="00A120D8">
            <w:pPr>
              <w:jc w:val="right"/>
              <w:rPr>
                <w:rFonts w:asciiTheme="minorHAnsi" w:hAnsiTheme="minorHAnsi" w:cstheme="minorHAnsi"/>
                <w:bCs/>
                <w:sz w:val="22"/>
                <w:szCs w:val="22"/>
              </w:rPr>
            </w:pP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Write-offs of uncollectable amounts</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838</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307</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1,145</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46028A" w:rsidP="00A120D8">
            <w:pPr>
              <w:jc w:val="right"/>
              <w:rPr>
                <w:rFonts w:asciiTheme="minorHAnsi" w:hAnsiTheme="minorHAnsi" w:cstheme="minorHAnsi"/>
                <w:bCs/>
                <w:sz w:val="22"/>
                <w:szCs w:val="22"/>
              </w:rPr>
            </w:pPr>
            <w:r>
              <w:rPr>
                <w:rFonts w:asciiTheme="minorHAnsi" w:hAnsiTheme="minorHAnsi" w:cstheme="minorHAnsi"/>
                <w:bCs/>
                <w:sz w:val="22"/>
                <w:szCs w:val="22"/>
              </w:rPr>
              <w:t>43</w:t>
            </w:r>
          </w:p>
        </w:tc>
        <w:tc>
          <w:tcPr>
            <w:tcW w:w="992" w:type="dxa"/>
            <w:vAlign w:val="center"/>
          </w:tcPr>
          <w:p w:rsidR="00B469C7" w:rsidRPr="0068094B" w:rsidRDefault="00DE1269" w:rsidP="00A120D8">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vAlign w:val="center"/>
          </w:tcPr>
          <w:p w:rsidR="00B469C7" w:rsidRPr="0068094B" w:rsidRDefault="0046028A" w:rsidP="00A120D8">
            <w:pPr>
              <w:jc w:val="right"/>
              <w:rPr>
                <w:rFonts w:asciiTheme="minorHAnsi" w:hAnsiTheme="minorHAnsi" w:cstheme="minorHAnsi"/>
                <w:bCs/>
                <w:sz w:val="22"/>
                <w:szCs w:val="22"/>
              </w:rPr>
            </w:pPr>
            <w:r>
              <w:rPr>
                <w:rFonts w:asciiTheme="minorHAnsi" w:hAnsiTheme="minorHAnsi" w:cstheme="minorHAnsi"/>
                <w:bCs/>
                <w:sz w:val="22"/>
                <w:szCs w:val="22"/>
              </w:rPr>
              <w:t>43</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Increase / (Decrease) in Bad Debts Provision</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(349)</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(47)</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(396)</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46028A" w:rsidP="00DE1269">
            <w:pPr>
              <w:jc w:val="right"/>
              <w:rPr>
                <w:rFonts w:asciiTheme="minorHAnsi" w:hAnsiTheme="minorHAnsi" w:cstheme="minorHAnsi"/>
                <w:bCs/>
                <w:sz w:val="22"/>
                <w:szCs w:val="22"/>
              </w:rPr>
            </w:pPr>
            <w:r>
              <w:rPr>
                <w:rFonts w:asciiTheme="minorHAnsi" w:hAnsiTheme="minorHAnsi" w:cstheme="minorHAnsi"/>
                <w:bCs/>
                <w:sz w:val="22"/>
                <w:szCs w:val="22"/>
              </w:rPr>
              <w:t>912</w:t>
            </w:r>
          </w:p>
        </w:tc>
        <w:tc>
          <w:tcPr>
            <w:tcW w:w="992" w:type="dxa"/>
            <w:vAlign w:val="center"/>
          </w:tcPr>
          <w:p w:rsidR="00B469C7" w:rsidRPr="0068094B" w:rsidRDefault="00DE1269" w:rsidP="00A120D8">
            <w:pPr>
              <w:jc w:val="right"/>
              <w:rPr>
                <w:rFonts w:asciiTheme="minorHAnsi" w:hAnsiTheme="minorHAnsi" w:cstheme="minorHAnsi"/>
                <w:bCs/>
                <w:sz w:val="22"/>
                <w:szCs w:val="22"/>
              </w:rPr>
            </w:pPr>
            <w:r>
              <w:rPr>
                <w:rFonts w:asciiTheme="minorHAnsi" w:hAnsiTheme="minorHAnsi" w:cstheme="minorHAnsi"/>
                <w:bCs/>
                <w:sz w:val="22"/>
                <w:szCs w:val="22"/>
              </w:rPr>
              <w:t>1,200</w:t>
            </w:r>
          </w:p>
        </w:tc>
        <w:tc>
          <w:tcPr>
            <w:tcW w:w="992" w:type="dxa"/>
            <w:vAlign w:val="center"/>
          </w:tcPr>
          <w:p w:rsidR="00B469C7" w:rsidRPr="0068094B" w:rsidRDefault="0046028A" w:rsidP="0046028A">
            <w:pPr>
              <w:jc w:val="right"/>
              <w:rPr>
                <w:rFonts w:asciiTheme="minorHAnsi" w:hAnsiTheme="minorHAnsi" w:cstheme="minorHAnsi"/>
                <w:bCs/>
                <w:sz w:val="22"/>
                <w:szCs w:val="22"/>
              </w:rPr>
            </w:pPr>
            <w:r>
              <w:rPr>
                <w:rFonts w:asciiTheme="minorHAnsi" w:hAnsiTheme="minorHAnsi" w:cstheme="minorHAnsi"/>
                <w:bCs/>
                <w:sz w:val="22"/>
                <w:szCs w:val="22"/>
              </w:rPr>
              <w:t>2,112</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Increase / (Decrease) in Provision for Appeals</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1,142</w:t>
            </w:r>
          </w:p>
        </w:tc>
        <w:tc>
          <w:tcPr>
            <w:tcW w:w="992"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1,142</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DE1269" w:rsidP="00A120D8">
            <w:pPr>
              <w:jc w:val="right"/>
              <w:rPr>
                <w:rFonts w:asciiTheme="minorHAnsi" w:hAnsiTheme="minorHAnsi" w:cstheme="minorHAnsi"/>
                <w:bCs/>
                <w:sz w:val="22"/>
                <w:szCs w:val="22"/>
              </w:rPr>
            </w:pPr>
            <w:r>
              <w:rPr>
                <w:rFonts w:asciiTheme="minorHAnsi" w:hAnsiTheme="minorHAnsi" w:cstheme="minorHAnsi"/>
                <w:bCs/>
                <w:sz w:val="22"/>
                <w:szCs w:val="22"/>
              </w:rPr>
              <w:t>111</w:t>
            </w: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DE1269" w:rsidP="00A120D8">
            <w:pPr>
              <w:jc w:val="right"/>
              <w:rPr>
                <w:rFonts w:asciiTheme="minorHAnsi" w:hAnsiTheme="minorHAnsi" w:cstheme="minorHAnsi"/>
                <w:bCs/>
                <w:sz w:val="22"/>
                <w:szCs w:val="22"/>
              </w:rPr>
            </w:pPr>
            <w:r>
              <w:rPr>
                <w:rFonts w:asciiTheme="minorHAnsi" w:hAnsiTheme="minorHAnsi" w:cstheme="minorHAnsi"/>
                <w:bCs/>
                <w:sz w:val="22"/>
                <w:szCs w:val="22"/>
              </w:rPr>
              <w:t>111</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Cost of Collection Allowance</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198</w:t>
            </w:r>
          </w:p>
        </w:tc>
        <w:tc>
          <w:tcPr>
            <w:tcW w:w="992"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198</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DE1269" w:rsidP="005F267A">
            <w:pPr>
              <w:jc w:val="right"/>
              <w:rPr>
                <w:rFonts w:asciiTheme="minorHAnsi" w:hAnsiTheme="minorHAnsi" w:cstheme="minorHAnsi"/>
                <w:bCs/>
                <w:sz w:val="22"/>
                <w:szCs w:val="22"/>
              </w:rPr>
            </w:pPr>
            <w:r>
              <w:rPr>
                <w:rFonts w:asciiTheme="minorHAnsi" w:hAnsiTheme="minorHAnsi" w:cstheme="minorHAnsi"/>
                <w:bCs/>
                <w:sz w:val="22"/>
                <w:szCs w:val="22"/>
              </w:rPr>
              <w:t>199</w:t>
            </w: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vAlign w:val="center"/>
          </w:tcPr>
          <w:p w:rsidR="00B469C7" w:rsidRPr="0068094B" w:rsidRDefault="00DE1269" w:rsidP="005F267A">
            <w:pPr>
              <w:jc w:val="right"/>
              <w:rPr>
                <w:rFonts w:asciiTheme="minorHAnsi" w:hAnsiTheme="minorHAnsi" w:cstheme="minorHAnsi"/>
                <w:bCs/>
                <w:sz w:val="22"/>
                <w:szCs w:val="22"/>
              </w:rPr>
            </w:pPr>
            <w:r>
              <w:rPr>
                <w:rFonts w:asciiTheme="minorHAnsi" w:hAnsiTheme="minorHAnsi" w:cstheme="minorHAnsi"/>
                <w:bCs/>
                <w:sz w:val="22"/>
                <w:szCs w:val="22"/>
              </w:rPr>
              <w:t>199</w:t>
            </w:r>
          </w:p>
        </w:tc>
      </w:tr>
      <w:tr w:rsidR="00B469C7" w:rsidRPr="0068094B" w:rsidTr="00284D76">
        <w:trPr>
          <w:trHeight w:val="284"/>
        </w:trPr>
        <w:tc>
          <w:tcPr>
            <w:tcW w:w="4395" w:type="dxa"/>
            <w:gridSpan w:val="2"/>
            <w:shd w:val="clear" w:color="auto" w:fill="auto"/>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Disregarded amounts</w:t>
            </w:r>
          </w:p>
        </w:tc>
        <w:tc>
          <w:tcPr>
            <w:tcW w:w="993" w:type="dxa"/>
            <w:shd w:val="clear" w:color="auto" w:fill="auto"/>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139</w:t>
            </w:r>
          </w:p>
        </w:tc>
        <w:tc>
          <w:tcPr>
            <w:tcW w:w="992" w:type="dxa"/>
            <w:shd w:val="clear" w:color="auto" w:fill="F2F2F2" w:themeFill="background1" w:themeFillShade="F2"/>
            <w:vAlign w:val="center"/>
          </w:tcPr>
          <w:p w:rsidR="00B469C7" w:rsidRPr="0068094B" w:rsidRDefault="00B469C7" w:rsidP="00183E14">
            <w:pPr>
              <w:jc w:val="right"/>
              <w:rPr>
                <w:rFonts w:asciiTheme="minorHAnsi" w:hAnsiTheme="minorHAnsi" w:cstheme="minorHAnsi"/>
                <w:bCs/>
                <w:sz w:val="22"/>
                <w:szCs w:val="22"/>
              </w:rPr>
            </w:pPr>
          </w:p>
        </w:tc>
        <w:tc>
          <w:tcPr>
            <w:tcW w:w="992" w:type="dxa"/>
            <w:shd w:val="clear" w:color="auto" w:fill="auto"/>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139</w:t>
            </w:r>
          </w:p>
        </w:tc>
        <w:tc>
          <w:tcPr>
            <w:tcW w:w="284" w:type="dxa"/>
            <w:shd w:val="clear" w:color="auto" w:fill="auto"/>
          </w:tcPr>
          <w:p w:rsidR="00B469C7" w:rsidRPr="0068094B" w:rsidRDefault="00B469C7" w:rsidP="00A120D8">
            <w:pPr>
              <w:jc w:val="both"/>
              <w:rPr>
                <w:rFonts w:asciiTheme="minorHAnsi" w:hAnsiTheme="minorHAnsi" w:cstheme="minorHAnsi"/>
                <w:bCs/>
                <w:sz w:val="22"/>
                <w:szCs w:val="22"/>
              </w:rPr>
            </w:pPr>
          </w:p>
        </w:tc>
        <w:tc>
          <w:tcPr>
            <w:tcW w:w="992" w:type="dxa"/>
            <w:shd w:val="clear" w:color="auto" w:fill="auto"/>
            <w:vAlign w:val="center"/>
          </w:tcPr>
          <w:p w:rsidR="00B469C7" w:rsidRPr="0068094B" w:rsidRDefault="00DE1269" w:rsidP="00A120D8">
            <w:pPr>
              <w:jc w:val="right"/>
              <w:rPr>
                <w:rFonts w:asciiTheme="minorHAnsi" w:hAnsiTheme="minorHAnsi" w:cstheme="minorHAnsi"/>
                <w:bCs/>
                <w:sz w:val="22"/>
                <w:szCs w:val="22"/>
              </w:rPr>
            </w:pPr>
            <w:r>
              <w:rPr>
                <w:rFonts w:asciiTheme="minorHAnsi" w:hAnsiTheme="minorHAnsi" w:cstheme="minorHAnsi"/>
                <w:bCs/>
                <w:sz w:val="22"/>
                <w:szCs w:val="22"/>
              </w:rPr>
              <w:t>134</w:t>
            </w:r>
          </w:p>
        </w:tc>
        <w:tc>
          <w:tcPr>
            <w:tcW w:w="992" w:type="dxa"/>
            <w:shd w:val="clear" w:color="auto" w:fill="F2F2F2" w:themeFill="background1" w:themeFillShade="F2"/>
            <w:vAlign w:val="center"/>
          </w:tcPr>
          <w:p w:rsidR="00B469C7" w:rsidRPr="0068094B" w:rsidRDefault="00B469C7" w:rsidP="00A120D8">
            <w:pPr>
              <w:jc w:val="right"/>
              <w:rPr>
                <w:rFonts w:asciiTheme="minorHAnsi" w:hAnsiTheme="minorHAnsi" w:cstheme="minorHAnsi"/>
                <w:bCs/>
                <w:sz w:val="22"/>
                <w:szCs w:val="22"/>
              </w:rPr>
            </w:pPr>
          </w:p>
        </w:tc>
        <w:tc>
          <w:tcPr>
            <w:tcW w:w="992" w:type="dxa"/>
            <w:shd w:val="clear" w:color="auto" w:fill="auto"/>
            <w:vAlign w:val="center"/>
          </w:tcPr>
          <w:p w:rsidR="00B469C7" w:rsidRPr="0068094B" w:rsidRDefault="00E11202" w:rsidP="00A120D8">
            <w:pPr>
              <w:jc w:val="right"/>
              <w:rPr>
                <w:rFonts w:asciiTheme="minorHAnsi" w:hAnsiTheme="minorHAnsi" w:cstheme="minorHAnsi"/>
                <w:bCs/>
                <w:sz w:val="22"/>
                <w:szCs w:val="22"/>
              </w:rPr>
            </w:pPr>
            <w:r>
              <w:rPr>
                <w:rFonts w:asciiTheme="minorHAnsi" w:hAnsiTheme="minorHAnsi" w:cstheme="minorHAnsi"/>
                <w:bCs/>
                <w:sz w:val="22"/>
                <w:szCs w:val="22"/>
              </w:rPr>
              <w:t>134</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Cs/>
                <w:sz w:val="22"/>
                <w:szCs w:val="22"/>
              </w:rPr>
            </w:pPr>
          </w:p>
        </w:tc>
        <w:tc>
          <w:tcPr>
            <w:tcW w:w="993"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1,968</w:t>
            </w:r>
          </w:p>
        </w:tc>
        <w:tc>
          <w:tcPr>
            <w:tcW w:w="992"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sidRPr="005F267A">
              <w:rPr>
                <w:rFonts w:asciiTheme="minorHAnsi" w:hAnsiTheme="minorHAnsi" w:cstheme="minorHAnsi"/>
                <w:bCs/>
                <w:sz w:val="22"/>
                <w:szCs w:val="22"/>
              </w:rPr>
              <w:t>260</w:t>
            </w:r>
          </w:p>
        </w:tc>
        <w:tc>
          <w:tcPr>
            <w:tcW w:w="992" w:type="dxa"/>
            <w:tcBorders>
              <w:top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sidRPr="005F267A">
              <w:rPr>
                <w:rFonts w:asciiTheme="minorHAnsi" w:hAnsiTheme="minorHAnsi" w:cstheme="minorHAnsi"/>
                <w:bCs/>
                <w:sz w:val="22"/>
                <w:szCs w:val="22"/>
              </w:rPr>
              <w:t>2,228</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top w:val="single" w:sz="4" w:space="0" w:color="auto"/>
            </w:tcBorders>
            <w:shd w:val="clear" w:color="auto" w:fill="auto"/>
            <w:vAlign w:val="center"/>
          </w:tcPr>
          <w:p w:rsidR="00B469C7" w:rsidRPr="0068094B" w:rsidRDefault="00DE1269" w:rsidP="00741FA4">
            <w:pPr>
              <w:jc w:val="right"/>
              <w:rPr>
                <w:rFonts w:asciiTheme="minorHAnsi" w:hAnsiTheme="minorHAnsi" w:cstheme="minorHAnsi"/>
                <w:bCs/>
                <w:sz w:val="22"/>
                <w:szCs w:val="22"/>
              </w:rPr>
            </w:pPr>
            <w:r>
              <w:rPr>
                <w:rFonts w:asciiTheme="minorHAnsi" w:hAnsiTheme="minorHAnsi" w:cstheme="minorHAnsi"/>
                <w:bCs/>
                <w:sz w:val="22"/>
                <w:szCs w:val="22"/>
              </w:rPr>
              <w:t>1,399</w:t>
            </w:r>
          </w:p>
        </w:tc>
        <w:tc>
          <w:tcPr>
            <w:tcW w:w="992" w:type="dxa"/>
            <w:tcBorders>
              <w:top w:val="single" w:sz="4" w:space="0" w:color="auto"/>
            </w:tcBorders>
            <w:vAlign w:val="center"/>
          </w:tcPr>
          <w:p w:rsidR="00B469C7" w:rsidRPr="005F267A" w:rsidRDefault="00DE1269" w:rsidP="00747B7B">
            <w:pPr>
              <w:jc w:val="right"/>
              <w:rPr>
                <w:rFonts w:asciiTheme="minorHAnsi" w:hAnsiTheme="minorHAnsi" w:cstheme="minorHAnsi"/>
                <w:bCs/>
                <w:sz w:val="22"/>
                <w:szCs w:val="22"/>
              </w:rPr>
            </w:pPr>
            <w:r>
              <w:rPr>
                <w:rFonts w:asciiTheme="minorHAnsi" w:hAnsiTheme="minorHAnsi" w:cstheme="minorHAnsi"/>
                <w:bCs/>
                <w:sz w:val="22"/>
                <w:szCs w:val="22"/>
              </w:rPr>
              <w:t>1,200</w:t>
            </w:r>
          </w:p>
        </w:tc>
        <w:tc>
          <w:tcPr>
            <w:tcW w:w="992" w:type="dxa"/>
            <w:tcBorders>
              <w:top w:val="single" w:sz="4" w:space="0" w:color="auto"/>
            </w:tcBorders>
            <w:vAlign w:val="center"/>
          </w:tcPr>
          <w:p w:rsidR="00B469C7" w:rsidRPr="005F267A" w:rsidRDefault="00DE1269" w:rsidP="0006355F">
            <w:pPr>
              <w:jc w:val="right"/>
              <w:rPr>
                <w:rFonts w:asciiTheme="minorHAnsi" w:hAnsiTheme="minorHAnsi" w:cstheme="minorHAnsi"/>
                <w:bCs/>
                <w:sz w:val="22"/>
                <w:szCs w:val="22"/>
              </w:rPr>
            </w:pPr>
            <w:r>
              <w:rPr>
                <w:rFonts w:asciiTheme="minorHAnsi" w:hAnsiTheme="minorHAnsi" w:cstheme="minorHAnsi"/>
                <w:bCs/>
                <w:sz w:val="22"/>
                <w:szCs w:val="22"/>
              </w:rPr>
              <w:t>2,599</w:t>
            </w:r>
          </w:p>
        </w:tc>
      </w:tr>
      <w:tr w:rsidR="00B469C7" w:rsidRPr="0068094B" w:rsidTr="00284D76">
        <w:trPr>
          <w:trHeight w:val="284"/>
        </w:trPr>
        <w:tc>
          <w:tcPr>
            <w:tcW w:w="4395" w:type="dxa"/>
            <w:gridSpan w:val="2"/>
            <w:vAlign w:val="center"/>
          </w:tcPr>
          <w:p w:rsidR="00B469C7" w:rsidRPr="0068094B" w:rsidRDefault="00B469C7" w:rsidP="00A120D8">
            <w:pPr>
              <w:rPr>
                <w:rFonts w:asciiTheme="minorHAnsi" w:hAnsiTheme="minorHAnsi" w:cstheme="minorHAnsi"/>
                <w:b/>
                <w:bCs/>
                <w:sz w:val="22"/>
                <w:szCs w:val="22"/>
              </w:rPr>
            </w:pPr>
            <w:r w:rsidRPr="0068094B">
              <w:rPr>
                <w:rFonts w:asciiTheme="minorHAnsi" w:hAnsiTheme="minorHAnsi" w:cstheme="minorHAnsi"/>
                <w:b/>
                <w:bCs/>
                <w:sz w:val="22"/>
                <w:szCs w:val="22"/>
              </w:rPr>
              <w:t>Total Expenditure</w:t>
            </w:r>
          </w:p>
        </w:tc>
        <w:tc>
          <w:tcPr>
            <w:tcW w:w="993" w:type="dxa"/>
            <w:tcBorders>
              <w:top w:val="single" w:sz="4" w:space="0" w:color="auto"/>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47,632</w:t>
            </w:r>
          </w:p>
        </w:tc>
        <w:tc>
          <w:tcPr>
            <w:tcW w:w="992" w:type="dxa"/>
            <w:tcBorders>
              <w:top w:val="single" w:sz="4" w:space="0" w:color="auto"/>
              <w:bottom w:val="single" w:sz="4"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90,147</w:t>
            </w:r>
          </w:p>
        </w:tc>
        <w:tc>
          <w:tcPr>
            <w:tcW w:w="992" w:type="dxa"/>
            <w:tcBorders>
              <w:top w:val="single" w:sz="4" w:space="0" w:color="auto"/>
              <w:bottom w:val="single" w:sz="4" w:space="0" w:color="auto"/>
            </w:tcBorders>
            <w:vAlign w:val="center"/>
          </w:tcPr>
          <w:p w:rsidR="00B469C7" w:rsidRPr="0068094B" w:rsidRDefault="00B469C7" w:rsidP="00350BDA">
            <w:pPr>
              <w:jc w:val="right"/>
              <w:rPr>
                <w:rFonts w:asciiTheme="minorHAnsi" w:hAnsiTheme="minorHAnsi" w:cstheme="minorHAnsi"/>
                <w:bCs/>
                <w:sz w:val="22"/>
                <w:szCs w:val="22"/>
              </w:rPr>
            </w:pPr>
            <w:r>
              <w:rPr>
                <w:rFonts w:asciiTheme="minorHAnsi" w:hAnsiTheme="minorHAnsi" w:cstheme="minorHAnsi"/>
                <w:bCs/>
                <w:sz w:val="22"/>
                <w:szCs w:val="22"/>
              </w:rPr>
              <w:t>137,779</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top w:val="single" w:sz="4" w:space="0" w:color="auto"/>
              <w:bottom w:val="single" w:sz="4" w:space="0" w:color="auto"/>
            </w:tcBorders>
            <w:shd w:val="clear" w:color="auto" w:fill="auto"/>
            <w:vAlign w:val="center"/>
          </w:tcPr>
          <w:p w:rsidR="00B469C7" w:rsidRPr="0068094B" w:rsidRDefault="00DE1269" w:rsidP="00A120D8">
            <w:pPr>
              <w:jc w:val="right"/>
              <w:rPr>
                <w:rFonts w:asciiTheme="minorHAnsi" w:hAnsiTheme="minorHAnsi" w:cstheme="minorHAnsi"/>
                <w:bCs/>
                <w:sz w:val="22"/>
                <w:szCs w:val="22"/>
              </w:rPr>
            </w:pPr>
            <w:r>
              <w:rPr>
                <w:rFonts w:asciiTheme="minorHAnsi" w:hAnsiTheme="minorHAnsi" w:cstheme="minorHAnsi"/>
                <w:bCs/>
                <w:sz w:val="22"/>
                <w:szCs w:val="22"/>
              </w:rPr>
              <w:t>49,292</w:t>
            </w:r>
          </w:p>
        </w:tc>
        <w:tc>
          <w:tcPr>
            <w:tcW w:w="992" w:type="dxa"/>
            <w:tcBorders>
              <w:top w:val="single" w:sz="4" w:space="0" w:color="auto"/>
              <w:bottom w:val="single" w:sz="4" w:space="0" w:color="auto"/>
            </w:tcBorders>
            <w:shd w:val="clear" w:color="auto" w:fill="auto"/>
            <w:vAlign w:val="center"/>
          </w:tcPr>
          <w:p w:rsidR="00B469C7" w:rsidRPr="0068094B" w:rsidRDefault="00DE1269" w:rsidP="00747B7B">
            <w:pPr>
              <w:jc w:val="right"/>
              <w:rPr>
                <w:rFonts w:asciiTheme="minorHAnsi" w:hAnsiTheme="minorHAnsi" w:cstheme="minorHAnsi"/>
                <w:bCs/>
                <w:sz w:val="22"/>
                <w:szCs w:val="22"/>
              </w:rPr>
            </w:pPr>
            <w:r>
              <w:rPr>
                <w:rFonts w:asciiTheme="minorHAnsi" w:hAnsiTheme="minorHAnsi" w:cstheme="minorHAnsi"/>
                <w:bCs/>
                <w:sz w:val="22"/>
                <w:szCs w:val="22"/>
              </w:rPr>
              <w:t>96,667</w:t>
            </w:r>
          </w:p>
        </w:tc>
        <w:tc>
          <w:tcPr>
            <w:tcW w:w="992" w:type="dxa"/>
            <w:tcBorders>
              <w:top w:val="single" w:sz="4" w:space="0" w:color="auto"/>
              <w:bottom w:val="single" w:sz="4" w:space="0" w:color="auto"/>
            </w:tcBorders>
            <w:shd w:val="clear" w:color="auto" w:fill="auto"/>
            <w:vAlign w:val="center"/>
          </w:tcPr>
          <w:p w:rsidR="00B469C7" w:rsidRPr="0068094B" w:rsidRDefault="00DE1269" w:rsidP="00F10087">
            <w:pPr>
              <w:jc w:val="right"/>
              <w:rPr>
                <w:rFonts w:asciiTheme="minorHAnsi" w:hAnsiTheme="minorHAnsi" w:cstheme="minorHAnsi"/>
                <w:bCs/>
                <w:sz w:val="22"/>
                <w:szCs w:val="22"/>
              </w:rPr>
            </w:pPr>
            <w:r>
              <w:rPr>
                <w:rFonts w:asciiTheme="minorHAnsi" w:hAnsiTheme="minorHAnsi" w:cstheme="minorHAnsi"/>
                <w:bCs/>
                <w:sz w:val="22"/>
                <w:szCs w:val="22"/>
              </w:rPr>
              <w:t>145,959</w:t>
            </w:r>
          </w:p>
        </w:tc>
      </w:tr>
      <w:tr w:rsidR="00B469C7" w:rsidRPr="0068094B" w:rsidTr="00284D76">
        <w:trPr>
          <w:trHeight w:val="65"/>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Surplus / (Deficit) arising during the year</w:t>
            </w:r>
          </w:p>
        </w:tc>
        <w:tc>
          <w:tcPr>
            <w:tcW w:w="993" w:type="dxa"/>
            <w:tcBorders>
              <w:top w:val="single" w:sz="12" w:space="0" w:color="auto"/>
              <w:bottom w:val="single" w:sz="12"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2,093</w:t>
            </w:r>
          </w:p>
        </w:tc>
        <w:tc>
          <w:tcPr>
            <w:tcW w:w="992" w:type="dxa"/>
            <w:tcBorders>
              <w:top w:val="single" w:sz="12" w:space="0" w:color="auto"/>
              <w:bottom w:val="single" w:sz="12"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(164)</w:t>
            </w:r>
          </w:p>
        </w:tc>
        <w:tc>
          <w:tcPr>
            <w:tcW w:w="992" w:type="dxa"/>
            <w:tcBorders>
              <w:top w:val="single" w:sz="12" w:space="0" w:color="auto"/>
              <w:bottom w:val="single" w:sz="12" w:space="0" w:color="auto"/>
            </w:tcBorders>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1,929</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top w:val="single" w:sz="12" w:space="0" w:color="auto"/>
              <w:bottom w:val="single" w:sz="12" w:space="0" w:color="auto"/>
            </w:tcBorders>
            <w:shd w:val="clear" w:color="auto" w:fill="auto"/>
            <w:vAlign w:val="center"/>
          </w:tcPr>
          <w:p w:rsidR="00B469C7" w:rsidRPr="0068094B" w:rsidRDefault="00DE1269" w:rsidP="0093228F">
            <w:pPr>
              <w:jc w:val="right"/>
              <w:rPr>
                <w:rFonts w:asciiTheme="minorHAnsi" w:hAnsiTheme="minorHAnsi" w:cstheme="minorHAnsi"/>
                <w:bCs/>
                <w:sz w:val="22"/>
                <w:szCs w:val="22"/>
              </w:rPr>
            </w:pPr>
            <w:r>
              <w:rPr>
                <w:rFonts w:asciiTheme="minorHAnsi" w:hAnsiTheme="minorHAnsi" w:cstheme="minorHAnsi"/>
                <w:bCs/>
                <w:sz w:val="22"/>
                <w:szCs w:val="22"/>
              </w:rPr>
              <w:t>(1,246)</w:t>
            </w:r>
          </w:p>
        </w:tc>
        <w:tc>
          <w:tcPr>
            <w:tcW w:w="992" w:type="dxa"/>
            <w:tcBorders>
              <w:top w:val="single" w:sz="12" w:space="0" w:color="auto"/>
              <w:bottom w:val="single" w:sz="12" w:space="0" w:color="auto"/>
            </w:tcBorders>
            <w:vAlign w:val="center"/>
          </w:tcPr>
          <w:p w:rsidR="00B469C7" w:rsidRPr="0068094B" w:rsidRDefault="00DE1269" w:rsidP="00350BDA">
            <w:pPr>
              <w:jc w:val="right"/>
              <w:rPr>
                <w:rFonts w:asciiTheme="minorHAnsi" w:hAnsiTheme="minorHAnsi" w:cstheme="minorHAnsi"/>
                <w:bCs/>
                <w:sz w:val="22"/>
                <w:szCs w:val="22"/>
              </w:rPr>
            </w:pPr>
            <w:r>
              <w:rPr>
                <w:rFonts w:asciiTheme="minorHAnsi" w:hAnsiTheme="minorHAnsi" w:cstheme="minorHAnsi"/>
                <w:bCs/>
                <w:sz w:val="22"/>
                <w:szCs w:val="22"/>
              </w:rPr>
              <w:t>(752)</w:t>
            </w:r>
          </w:p>
        </w:tc>
        <w:tc>
          <w:tcPr>
            <w:tcW w:w="992" w:type="dxa"/>
            <w:tcBorders>
              <w:top w:val="single" w:sz="12" w:space="0" w:color="auto"/>
              <w:bottom w:val="single" w:sz="12" w:space="0" w:color="auto"/>
            </w:tcBorders>
            <w:vAlign w:val="center"/>
          </w:tcPr>
          <w:p w:rsidR="00B469C7" w:rsidRPr="0068094B" w:rsidRDefault="00DE1269" w:rsidP="00747B7B">
            <w:pPr>
              <w:jc w:val="right"/>
              <w:rPr>
                <w:rFonts w:asciiTheme="minorHAnsi" w:hAnsiTheme="minorHAnsi" w:cstheme="minorHAnsi"/>
                <w:bCs/>
                <w:sz w:val="22"/>
                <w:szCs w:val="22"/>
              </w:rPr>
            </w:pPr>
            <w:r>
              <w:rPr>
                <w:rFonts w:asciiTheme="minorHAnsi" w:hAnsiTheme="minorHAnsi" w:cstheme="minorHAnsi"/>
                <w:bCs/>
                <w:sz w:val="22"/>
                <w:szCs w:val="22"/>
              </w:rPr>
              <w:t>(1,998)</w:t>
            </w:r>
          </w:p>
        </w:tc>
      </w:tr>
      <w:tr w:rsidR="00B469C7" w:rsidRPr="0068094B" w:rsidTr="00284D76">
        <w:trPr>
          <w:trHeight w:val="95"/>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Surplus / (Deficit) b/</w:t>
            </w:r>
            <w:proofErr w:type="spellStart"/>
            <w:r w:rsidRPr="0068094B">
              <w:rPr>
                <w:rFonts w:asciiTheme="minorHAnsi" w:hAnsiTheme="minorHAnsi" w:cstheme="minorHAnsi"/>
                <w:bCs/>
                <w:sz w:val="22"/>
                <w:szCs w:val="22"/>
              </w:rPr>
              <w:t>fwd</w:t>
            </w:r>
            <w:proofErr w:type="spellEnd"/>
            <w:r w:rsidRPr="0068094B">
              <w:rPr>
                <w:rFonts w:asciiTheme="minorHAnsi" w:hAnsiTheme="minorHAnsi" w:cstheme="minorHAnsi"/>
                <w:bCs/>
                <w:sz w:val="22"/>
                <w:szCs w:val="22"/>
              </w:rPr>
              <w:t xml:space="preserve"> 1 April</w:t>
            </w:r>
          </w:p>
        </w:tc>
        <w:tc>
          <w:tcPr>
            <w:tcW w:w="993"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(1,743)</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535</w:t>
            </w:r>
          </w:p>
        </w:tc>
        <w:tc>
          <w:tcPr>
            <w:tcW w:w="992" w:type="dxa"/>
            <w:vAlign w:val="center"/>
          </w:tcPr>
          <w:p w:rsidR="00B469C7" w:rsidRPr="0068094B" w:rsidRDefault="00B469C7" w:rsidP="00183E14">
            <w:pPr>
              <w:jc w:val="right"/>
              <w:rPr>
                <w:rFonts w:asciiTheme="minorHAnsi" w:hAnsiTheme="minorHAnsi" w:cstheme="minorHAnsi"/>
                <w:bCs/>
                <w:sz w:val="22"/>
                <w:szCs w:val="22"/>
              </w:rPr>
            </w:pPr>
            <w:r>
              <w:rPr>
                <w:rFonts w:asciiTheme="minorHAnsi" w:hAnsiTheme="minorHAnsi" w:cstheme="minorHAnsi"/>
                <w:bCs/>
                <w:sz w:val="22"/>
                <w:szCs w:val="22"/>
              </w:rPr>
              <w:t>(1,208)</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vAlign w:val="center"/>
          </w:tcPr>
          <w:p w:rsidR="00B469C7" w:rsidRPr="0068094B" w:rsidRDefault="000C4384" w:rsidP="00350BDA">
            <w:pPr>
              <w:jc w:val="right"/>
              <w:rPr>
                <w:rFonts w:asciiTheme="minorHAnsi" w:hAnsiTheme="minorHAnsi" w:cstheme="minorHAnsi"/>
                <w:bCs/>
                <w:sz w:val="22"/>
                <w:szCs w:val="22"/>
              </w:rPr>
            </w:pPr>
            <w:r>
              <w:rPr>
                <w:rFonts w:asciiTheme="minorHAnsi" w:hAnsiTheme="minorHAnsi" w:cstheme="minorHAnsi"/>
                <w:bCs/>
                <w:sz w:val="22"/>
                <w:szCs w:val="22"/>
              </w:rPr>
              <w:t>350</w:t>
            </w:r>
          </w:p>
        </w:tc>
        <w:tc>
          <w:tcPr>
            <w:tcW w:w="992" w:type="dxa"/>
            <w:vAlign w:val="center"/>
          </w:tcPr>
          <w:p w:rsidR="00B469C7" w:rsidRPr="0068094B" w:rsidRDefault="000C4384" w:rsidP="00350BDA">
            <w:pPr>
              <w:jc w:val="right"/>
              <w:rPr>
                <w:rFonts w:asciiTheme="minorHAnsi" w:hAnsiTheme="minorHAnsi" w:cstheme="minorHAnsi"/>
                <w:bCs/>
                <w:sz w:val="22"/>
                <w:szCs w:val="22"/>
              </w:rPr>
            </w:pPr>
            <w:r>
              <w:rPr>
                <w:rFonts w:asciiTheme="minorHAnsi" w:hAnsiTheme="minorHAnsi" w:cstheme="minorHAnsi"/>
                <w:bCs/>
                <w:sz w:val="22"/>
                <w:szCs w:val="22"/>
              </w:rPr>
              <w:t>371</w:t>
            </w:r>
          </w:p>
        </w:tc>
        <w:tc>
          <w:tcPr>
            <w:tcW w:w="992" w:type="dxa"/>
            <w:vAlign w:val="center"/>
          </w:tcPr>
          <w:p w:rsidR="00B469C7" w:rsidRPr="0068094B" w:rsidRDefault="000C4384" w:rsidP="00A120D8">
            <w:pPr>
              <w:jc w:val="right"/>
              <w:rPr>
                <w:rFonts w:asciiTheme="minorHAnsi" w:hAnsiTheme="minorHAnsi" w:cstheme="minorHAnsi"/>
                <w:bCs/>
                <w:sz w:val="22"/>
                <w:szCs w:val="22"/>
              </w:rPr>
            </w:pPr>
            <w:r>
              <w:rPr>
                <w:rFonts w:asciiTheme="minorHAnsi" w:hAnsiTheme="minorHAnsi" w:cstheme="minorHAnsi"/>
                <w:bCs/>
                <w:sz w:val="22"/>
                <w:szCs w:val="22"/>
              </w:rPr>
              <w:t>721</w:t>
            </w:r>
          </w:p>
        </w:tc>
      </w:tr>
      <w:tr w:rsidR="00B469C7" w:rsidRPr="0068094B" w:rsidTr="00284D76">
        <w:trPr>
          <w:trHeight w:val="65"/>
        </w:trPr>
        <w:tc>
          <w:tcPr>
            <w:tcW w:w="4395" w:type="dxa"/>
            <w:gridSpan w:val="2"/>
            <w:vAlign w:val="center"/>
          </w:tcPr>
          <w:p w:rsidR="00B469C7" w:rsidRPr="0068094B" w:rsidRDefault="00B469C7" w:rsidP="00A120D8">
            <w:pPr>
              <w:rPr>
                <w:rFonts w:asciiTheme="minorHAnsi" w:hAnsiTheme="minorHAnsi" w:cstheme="minorHAnsi"/>
                <w:bCs/>
                <w:sz w:val="22"/>
                <w:szCs w:val="22"/>
              </w:rPr>
            </w:pPr>
            <w:r w:rsidRPr="0068094B">
              <w:rPr>
                <w:rFonts w:asciiTheme="minorHAnsi" w:hAnsiTheme="minorHAnsi" w:cstheme="minorHAnsi"/>
                <w:bCs/>
                <w:sz w:val="22"/>
                <w:szCs w:val="22"/>
              </w:rPr>
              <w:t>Surplus / (Deficit) c/</w:t>
            </w:r>
            <w:proofErr w:type="spellStart"/>
            <w:r w:rsidRPr="0068094B">
              <w:rPr>
                <w:rFonts w:asciiTheme="minorHAnsi" w:hAnsiTheme="minorHAnsi" w:cstheme="minorHAnsi"/>
                <w:bCs/>
                <w:sz w:val="22"/>
                <w:szCs w:val="22"/>
              </w:rPr>
              <w:t>fwd</w:t>
            </w:r>
            <w:proofErr w:type="spellEnd"/>
            <w:r w:rsidRPr="0068094B">
              <w:rPr>
                <w:rFonts w:asciiTheme="minorHAnsi" w:hAnsiTheme="minorHAnsi" w:cstheme="minorHAnsi"/>
                <w:bCs/>
                <w:sz w:val="22"/>
                <w:szCs w:val="22"/>
              </w:rPr>
              <w:t xml:space="preserve"> 31 March</w:t>
            </w:r>
          </w:p>
        </w:tc>
        <w:tc>
          <w:tcPr>
            <w:tcW w:w="993" w:type="dxa"/>
            <w:tcBorders>
              <w:top w:val="single" w:sz="12" w:space="0" w:color="auto"/>
              <w:bottom w:val="single" w:sz="12" w:space="0" w:color="auto"/>
            </w:tcBorders>
            <w:vAlign w:val="center"/>
          </w:tcPr>
          <w:p w:rsidR="00B469C7" w:rsidRPr="0068094B" w:rsidRDefault="00B469C7" w:rsidP="00350BDA">
            <w:pPr>
              <w:jc w:val="right"/>
              <w:rPr>
                <w:rFonts w:asciiTheme="minorHAnsi" w:hAnsiTheme="minorHAnsi" w:cstheme="minorHAnsi"/>
                <w:bCs/>
                <w:sz w:val="22"/>
                <w:szCs w:val="22"/>
              </w:rPr>
            </w:pPr>
            <w:r>
              <w:rPr>
                <w:rFonts w:asciiTheme="minorHAnsi" w:hAnsiTheme="minorHAnsi" w:cstheme="minorHAnsi"/>
                <w:bCs/>
                <w:sz w:val="22"/>
                <w:szCs w:val="22"/>
              </w:rPr>
              <w:t>350</w:t>
            </w:r>
          </w:p>
        </w:tc>
        <w:tc>
          <w:tcPr>
            <w:tcW w:w="992" w:type="dxa"/>
            <w:tcBorders>
              <w:top w:val="single" w:sz="12" w:space="0" w:color="auto"/>
              <w:bottom w:val="single" w:sz="12" w:space="0" w:color="auto"/>
            </w:tcBorders>
            <w:vAlign w:val="center"/>
          </w:tcPr>
          <w:p w:rsidR="00B469C7" w:rsidRPr="0068094B" w:rsidRDefault="00B469C7" w:rsidP="00350BDA">
            <w:pPr>
              <w:jc w:val="right"/>
              <w:rPr>
                <w:rFonts w:asciiTheme="minorHAnsi" w:hAnsiTheme="minorHAnsi" w:cstheme="minorHAnsi"/>
                <w:bCs/>
                <w:sz w:val="22"/>
                <w:szCs w:val="22"/>
              </w:rPr>
            </w:pPr>
            <w:r>
              <w:rPr>
                <w:rFonts w:asciiTheme="minorHAnsi" w:hAnsiTheme="minorHAnsi" w:cstheme="minorHAnsi"/>
                <w:bCs/>
                <w:sz w:val="22"/>
                <w:szCs w:val="22"/>
              </w:rPr>
              <w:t>371</w:t>
            </w:r>
          </w:p>
        </w:tc>
        <w:tc>
          <w:tcPr>
            <w:tcW w:w="992" w:type="dxa"/>
            <w:tcBorders>
              <w:top w:val="single" w:sz="12" w:space="0" w:color="auto"/>
              <w:bottom w:val="single" w:sz="12" w:space="0" w:color="auto"/>
            </w:tcBorders>
            <w:vAlign w:val="center"/>
          </w:tcPr>
          <w:p w:rsidR="00B469C7" w:rsidRPr="0068094B" w:rsidRDefault="00B469C7" w:rsidP="00350BDA">
            <w:pPr>
              <w:jc w:val="right"/>
              <w:rPr>
                <w:rFonts w:asciiTheme="minorHAnsi" w:hAnsiTheme="minorHAnsi" w:cstheme="minorHAnsi"/>
                <w:bCs/>
                <w:sz w:val="22"/>
                <w:szCs w:val="22"/>
              </w:rPr>
            </w:pPr>
            <w:r>
              <w:rPr>
                <w:rFonts w:asciiTheme="minorHAnsi" w:hAnsiTheme="minorHAnsi" w:cstheme="minorHAnsi"/>
                <w:bCs/>
                <w:sz w:val="22"/>
                <w:szCs w:val="22"/>
              </w:rPr>
              <w:t>721</w:t>
            </w:r>
          </w:p>
        </w:tc>
        <w:tc>
          <w:tcPr>
            <w:tcW w:w="284" w:type="dxa"/>
          </w:tcPr>
          <w:p w:rsidR="00B469C7" w:rsidRPr="0068094B" w:rsidRDefault="00B469C7" w:rsidP="00A120D8">
            <w:pPr>
              <w:jc w:val="both"/>
              <w:rPr>
                <w:rFonts w:asciiTheme="minorHAnsi" w:hAnsiTheme="minorHAnsi" w:cstheme="minorHAnsi"/>
                <w:bCs/>
                <w:sz w:val="22"/>
                <w:szCs w:val="22"/>
              </w:rPr>
            </w:pPr>
          </w:p>
        </w:tc>
        <w:tc>
          <w:tcPr>
            <w:tcW w:w="992" w:type="dxa"/>
            <w:tcBorders>
              <w:top w:val="single" w:sz="12" w:space="0" w:color="auto"/>
              <w:bottom w:val="single" w:sz="12" w:space="0" w:color="auto"/>
            </w:tcBorders>
            <w:vAlign w:val="center"/>
          </w:tcPr>
          <w:p w:rsidR="00B469C7" w:rsidRPr="0068094B" w:rsidRDefault="000C4384" w:rsidP="00350BDA">
            <w:pPr>
              <w:jc w:val="right"/>
              <w:rPr>
                <w:rFonts w:asciiTheme="minorHAnsi" w:hAnsiTheme="minorHAnsi" w:cstheme="minorHAnsi"/>
                <w:bCs/>
                <w:sz w:val="22"/>
                <w:szCs w:val="22"/>
              </w:rPr>
            </w:pPr>
            <w:r>
              <w:rPr>
                <w:rFonts w:asciiTheme="minorHAnsi" w:hAnsiTheme="minorHAnsi" w:cstheme="minorHAnsi"/>
                <w:bCs/>
                <w:sz w:val="22"/>
                <w:szCs w:val="22"/>
              </w:rPr>
              <w:t>(896)</w:t>
            </w:r>
          </w:p>
        </w:tc>
        <w:tc>
          <w:tcPr>
            <w:tcW w:w="992" w:type="dxa"/>
            <w:tcBorders>
              <w:top w:val="single" w:sz="12" w:space="0" w:color="auto"/>
              <w:bottom w:val="single" w:sz="12" w:space="0" w:color="auto"/>
            </w:tcBorders>
            <w:vAlign w:val="center"/>
          </w:tcPr>
          <w:p w:rsidR="00B469C7" w:rsidRPr="0068094B" w:rsidRDefault="000C4384" w:rsidP="00A120D8">
            <w:pPr>
              <w:jc w:val="right"/>
              <w:rPr>
                <w:rFonts w:asciiTheme="minorHAnsi" w:hAnsiTheme="minorHAnsi" w:cstheme="minorHAnsi"/>
                <w:bCs/>
                <w:sz w:val="22"/>
                <w:szCs w:val="22"/>
              </w:rPr>
            </w:pPr>
            <w:r>
              <w:rPr>
                <w:rFonts w:asciiTheme="minorHAnsi" w:hAnsiTheme="minorHAnsi" w:cstheme="minorHAnsi"/>
                <w:bCs/>
                <w:sz w:val="22"/>
                <w:szCs w:val="22"/>
              </w:rPr>
              <w:t>(381)</w:t>
            </w:r>
          </w:p>
        </w:tc>
        <w:tc>
          <w:tcPr>
            <w:tcW w:w="992" w:type="dxa"/>
            <w:tcBorders>
              <w:top w:val="single" w:sz="12" w:space="0" w:color="auto"/>
              <w:bottom w:val="single" w:sz="12" w:space="0" w:color="auto"/>
            </w:tcBorders>
            <w:vAlign w:val="center"/>
          </w:tcPr>
          <w:p w:rsidR="00B469C7" w:rsidRPr="0068094B" w:rsidRDefault="000C4384" w:rsidP="0006355F">
            <w:pPr>
              <w:jc w:val="right"/>
              <w:rPr>
                <w:rFonts w:asciiTheme="minorHAnsi" w:hAnsiTheme="minorHAnsi" w:cstheme="minorHAnsi"/>
                <w:bCs/>
                <w:sz w:val="22"/>
                <w:szCs w:val="22"/>
              </w:rPr>
            </w:pPr>
            <w:r>
              <w:rPr>
                <w:rFonts w:asciiTheme="minorHAnsi" w:hAnsiTheme="minorHAnsi" w:cstheme="minorHAnsi"/>
                <w:bCs/>
                <w:sz w:val="22"/>
                <w:szCs w:val="22"/>
              </w:rPr>
              <w:t>(1,277)</w:t>
            </w:r>
          </w:p>
        </w:tc>
      </w:tr>
      <w:tr w:rsidR="00B469C7" w:rsidRPr="0068094B" w:rsidTr="00284D76">
        <w:trPr>
          <w:gridBefore w:val="1"/>
          <w:wBefore w:w="567" w:type="dxa"/>
          <w:trHeight w:val="284"/>
        </w:trPr>
        <w:tc>
          <w:tcPr>
            <w:tcW w:w="3828" w:type="dxa"/>
            <w:vAlign w:val="center"/>
          </w:tcPr>
          <w:p w:rsidR="00B469C7" w:rsidRDefault="00B469C7" w:rsidP="00A120D8">
            <w:pPr>
              <w:rPr>
                <w:rFonts w:asciiTheme="minorHAnsi" w:hAnsiTheme="minorHAnsi" w:cstheme="minorHAnsi"/>
                <w:bCs/>
                <w:sz w:val="22"/>
                <w:szCs w:val="22"/>
              </w:rPr>
            </w:pPr>
          </w:p>
          <w:p w:rsidR="00B469C7" w:rsidRPr="0068094B" w:rsidRDefault="00B469C7" w:rsidP="00A120D8">
            <w:pPr>
              <w:rPr>
                <w:rFonts w:asciiTheme="minorHAnsi" w:hAnsiTheme="minorHAnsi" w:cstheme="minorHAnsi"/>
                <w:bCs/>
                <w:sz w:val="22"/>
                <w:szCs w:val="22"/>
              </w:rPr>
            </w:pPr>
          </w:p>
        </w:tc>
        <w:tc>
          <w:tcPr>
            <w:tcW w:w="993" w:type="dxa"/>
            <w:tcBorders>
              <w:top w:val="single" w:sz="12" w:space="0" w:color="auto"/>
            </w:tcBorders>
            <w:vAlign w:val="center"/>
          </w:tcPr>
          <w:p w:rsidR="00B469C7" w:rsidRPr="0068094B" w:rsidRDefault="00B469C7"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rsidR="00B469C7" w:rsidRPr="0068094B" w:rsidRDefault="00B469C7"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rsidR="00B469C7" w:rsidRPr="0068094B" w:rsidRDefault="00B469C7" w:rsidP="00A120D8">
            <w:pPr>
              <w:jc w:val="right"/>
              <w:rPr>
                <w:rFonts w:asciiTheme="minorHAnsi" w:hAnsiTheme="minorHAnsi" w:cstheme="minorHAnsi"/>
                <w:b/>
                <w:bCs/>
                <w:sz w:val="22"/>
                <w:szCs w:val="22"/>
              </w:rPr>
            </w:pPr>
          </w:p>
        </w:tc>
        <w:tc>
          <w:tcPr>
            <w:tcW w:w="284" w:type="dxa"/>
          </w:tcPr>
          <w:p w:rsidR="00B469C7" w:rsidRPr="0068094B" w:rsidRDefault="00B469C7" w:rsidP="00A120D8">
            <w:pPr>
              <w:jc w:val="both"/>
              <w:rPr>
                <w:rFonts w:asciiTheme="minorHAnsi" w:hAnsiTheme="minorHAnsi" w:cstheme="minorHAnsi"/>
                <w:b/>
                <w:bCs/>
                <w:sz w:val="22"/>
                <w:szCs w:val="22"/>
              </w:rPr>
            </w:pPr>
          </w:p>
        </w:tc>
        <w:tc>
          <w:tcPr>
            <w:tcW w:w="992" w:type="dxa"/>
            <w:tcBorders>
              <w:top w:val="single" w:sz="12" w:space="0" w:color="auto"/>
            </w:tcBorders>
            <w:vAlign w:val="center"/>
          </w:tcPr>
          <w:p w:rsidR="00B469C7" w:rsidRPr="0068094B" w:rsidRDefault="00B469C7"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rsidR="00B469C7" w:rsidRPr="0068094B" w:rsidRDefault="00B469C7"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rsidR="00B469C7" w:rsidRPr="0068094B" w:rsidRDefault="00B469C7" w:rsidP="00A120D8">
            <w:pPr>
              <w:jc w:val="right"/>
              <w:rPr>
                <w:rFonts w:asciiTheme="minorHAnsi" w:hAnsiTheme="minorHAnsi" w:cstheme="minorHAnsi"/>
                <w:b/>
                <w:bCs/>
                <w:sz w:val="22"/>
                <w:szCs w:val="22"/>
              </w:rPr>
            </w:pPr>
          </w:p>
        </w:tc>
      </w:tr>
    </w:tbl>
    <w:p w:rsidR="006E0824" w:rsidRDefault="006E0824">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rsidR="00747B7B" w:rsidRDefault="00EF6CEB">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r w:rsidRPr="00576433">
        <w:rPr>
          <w:rFonts w:asciiTheme="minorHAnsi" w:hAnsiTheme="minorHAnsi" w:cstheme="minorHAnsi"/>
          <w:bCs/>
          <w:sz w:val="24"/>
          <w:szCs w:val="24"/>
          <w:lang w:val="en-US"/>
        </w:rPr>
        <w:t>Notes to the Collection Fund Account</w:t>
      </w:r>
    </w:p>
    <w:p w:rsidR="006E0824" w:rsidRPr="00C84EDC" w:rsidRDefault="006E0824" w:rsidP="00C84EDC">
      <w:pPr>
        <w:pStyle w:val="Heading1"/>
        <w:numPr>
          <w:ilvl w:val="0"/>
          <w:numId w:val="0"/>
        </w:numPr>
        <w:tabs>
          <w:tab w:val="clear" w:pos="240"/>
          <w:tab w:val="clear" w:pos="540"/>
          <w:tab w:val="clear" w:pos="7110"/>
          <w:tab w:val="clear" w:pos="7650"/>
          <w:tab w:val="clear" w:pos="8550"/>
        </w:tabs>
        <w:spacing w:after="480"/>
        <w:rPr>
          <w:rFonts w:asciiTheme="minorHAnsi" w:hAnsiTheme="minorHAnsi" w:cstheme="minorHAnsi"/>
          <w:bCs/>
          <w:sz w:val="24"/>
          <w:szCs w:val="24"/>
          <w:lang w:val="en-US"/>
        </w:rPr>
      </w:pPr>
    </w:p>
    <w:p w:rsidR="00183652" w:rsidRPr="0068094B" w:rsidRDefault="004A6511" w:rsidP="007D7B32">
      <w:pPr>
        <w:numPr>
          <w:ilvl w:val="0"/>
          <w:numId w:val="28"/>
        </w:numPr>
        <w:jc w:val="both"/>
        <w:rPr>
          <w:rFonts w:asciiTheme="minorHAnsi" w:hAnsiTheme="minorHAnsi" w:cstheme="minorHAnsi"/>
          <w:b/>
          <w:bCs/>
          <w:sz w:val="22"/>
          <w:szCs w:val="22"/>
        </w:rPr>
      </w:pPr>
      <w:r w:rsidRPr="0068094B">
        <w:rPr>
          <w:rFonts w:asciiTheme="minorHAnsi" w:hAnsiTheme="minorHAnsi" w:cstheme="minorHAnsi"/>
          <w:b/>
          <w:bCs/>
          <w:sz w:val="22"/>
          <w:szCs w:val="22"/>
        </w:rPr>
        <w:t>General</w:t>
      </w:r>
    </w:p>
    <w:p w:rsidR="00183652" w:rsidRPr="0068094B" w:rsidRDefault="00183652">
      <w:pPr>
        <w:ind w:left="720"/>
        <w:jc w:val="both"/>
        <w:rPr>
          <w:rFonts w:asciiTheme="minorHAnsi" w:hAnsiTheme="minorHAnsi" w:cstheme="minorHAnsi"/>
          <w:sz w:val="22"/>
          <w:szCs w:val="22"/>
        </w:rPr>
      </w:pPr>
    </w:p>
    <w:p w:rsidR="00183652" w:rsidRPr="0068094B" w:rsidRDefault="004A6511">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This statement reflects the statutory requirement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as the billing authority for the Chichester District, to maintain a Collection Fund that is separate from the main accounts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Collection Fund accounts for the income relating to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and non-domestic rates on behalf of those bodies for which the income has been raised. The costs of administering the collection of this income are accounted for in the General Fund.</w:t>
      </w:r>
    </w:p>
    <w:p w:rsidR="00183652" w:rsidRPr="0068094B" w:rsidRDefault="00183652">
      <w:pPr>
        <w:ind w:left="360"/>
        <w:jc w:val="both"/>
        <w:rPr>
          <w:rFonts w:asciiTheme="minorHAnsi" w:hAnsiTheme="minorHAnsi" w:cstheme="minorHAnsi"/>
          <w:b/>
          <w:bCs/>
          <w:sz w:val="22"/>
          <w:szCs w:val="22"/>
          <w:shd w:val="clear" w:color="auto" w:fill="FFFF00"/>
        </w:rPr>
      </w:pPr>
    </w:p>
    <w:p w:rsidR="00183652" w:rsidRPr="0068094B" w:rsidRDefault="004A6511" w:rsidP="007D7B32">
      <w:pPr>
        <w:numPr>
          <w:ilvl w:val="0"/>
          <w:numId w:val="28"/>
        </w:numPr>
        <w:jc w:val="both"/>
        <w:rPr>
          <w:rFonts w:asciiTheme="minorHAnsi" w:hAnsiTheme="minorHAnsi" w:cstheme="minorHAnsi"/>
          <w:b/>
          <w:bCs/>
          <w:sz w:val="22"/>
          <w:szCs w:val="22"/>
        </w:rPr>
      </w:pPr>
      <w:r w:rsidRPr="0068094B">
        <w:rPr>
          <w:rFonts w:asciiTheme="minorHAnsi" w:hAnsiTheme="minorHAnsi" w:cstheme="minorHAnsi"/>
          <w:b/>
          <w:bCs/>
          <w:sz w:val="22"/>
          <w:szCs w:val="22"/>
        </w:rPr>
        <w:t>Income From Business Rates</w:t>
      </w:r>
    </w:p>
    <w:p w:rsidR="00183652" w:rsidRPr="0068094B" w:rsidRDefault="00183652">
      <w:pPr>
        <w:jc w:val="both"/>
        <w:rPr>
          <w:rFonts w:asciiTheme="minorHAnsi" w:hAnsiTheme="minorHAnsi" w:cstheme="minorHAnsi"/>
          <w:sz w:val="22"/>
          <w:szCs w:val="22"/>
        </w:rPr>
      </w:pPr>
    </w:p>
    <w:p w:rsidR="002F1C66" w:rsidRPr="0068094B" w:rsidRDefault="002F1C66"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collects national non-domestic rates (NNDR) for its area based upon the rateable </w:t>
      </w:r>
      <w:r w:rsidRPr="002F16B2">
        <w:rPr>
          <w:rFonts w:asciiTheme="minorHAnsi" w:hAnsiTheme="minorHAnsi" w:cstheme="minorHAnsi"/>
          <w:bCs/>
          <w:sz w:val="22"/>
          <w:szCs w:val="22"/>
        </w:rPr>
        <w:t xml:space="preserve">values provided by the Valuation Office Agency (VOA), multiplied by a uniform business rate multiplier set national by the government.  </w:t>
      </w:r>
      <w:r w:rsidR="003D2620" w:rsidRPr="002F16B2">
        <w:rPr>
          <w:rFonts w:asciiTheme="minorHAnsi" w:hAnsiTheme="minorHAnsi" w:cstheme="minorHAnsi"/>
          <w:bCs/>
          <w:sz w:val="22"/>
          <w:szCs w:val="22"/>
        </w:rPr>
        <w:t>The total non-domestic rat</w:t>
      </w:r>
      <w:r w:rsidR="002F16B2" w:rsidRPr="002F16B2">
        <w:rPr>
          <w:rFonts w:asciiTheme="minorHAnsi" w:hAnsiTheme="minorHAnsi" w:cstheme="minorHAnsi"/>
          <w:bCs/>
          <w:sz w:val="22"/>
          <w:szCs w:val="22"/>
        </w:rPr>
        <w:t>eable value at the 31 March 2020</w:t>
      </w:r>
      <w:r w:rsidR="003D2620" w:rsidRPr="002F16B2">
        <w:rPr>
          <w:rFonts w:asciiTheme="minorHAnsi" w:hAnsiTheme="minorHAnsi" w:cstheme="minorHAnsi"/>
          <w:bCs/>
          <w:sz w:val="22"/>
          <w:szCs w:val="22"/>
        </w:rPr>
        <w:t xml:space="preserve"> was </w:t>
      </w:r>
      <w:r w:rsidR="002D453C" w:rsidRPr="002F16B2">
        <w:rPr>
          <w:rFonts w:asciiTheme="minorHAnsi" w:hAnsiTheme="minorHAnsi" w:cstheme="minorHAnsi"/>
          <w:bCs/>
          <w:sz w:val="22"/>
          <w:szCs w:val="22"/>
        </w:rPr>
        <w:t>£</w:t>
      </w:r>
      <w:r w:rsidR="002F16B2" w:rsidRPr="002F16B2">
        <w:rPr>
          <w:rFonts w:asciiTheme="minorHAnsi" w:hAnsiTheme="minorHAnsi" w:cstheme="minorHAnsi"/>
          <w:bCs/>
          <w:sz w:val="22"/>
          <w:szCs w:val="22"/>
        </w:rPr>
        <w:t>129,640,397</w:t>
      </w:r>
      <w:r w:rsidR="00D734E0" w:rsidRPr="002F16B2">
        <w:rPr>
          <w:rFonts w:asciiTheme="minorHAnsi" w:hAnsiTheme="minorHAnsi" w:cstheme="minorHAnsi"/>
          <w:bCs/>
          <w:sz w:val="22"/>
          <w:szCs w:val="22"/>
        </w:rPr>
        <w:t xml:space="preserve"> (compared with £</w:t>
      </w:r>
      <w:r w:rsidR="002F16B2" w:rsidRPr="002F16B2">
        <w:rPr>
          <w:rFonts w:asciiTheme="minorHAnsi" w:hAnsiTheme="minorHAnsi" w:cstheme="minorHAnsi"/>
          <w:bCs/>
          <w:sz w:val="22"/>
          <w:szCs w:val="22"/>
        </w:rPr>
        <w:t>127,957,127</w:t>
      </w:r>
      <w:r w:rsidR="00D734E0" w:rsidRPr="002F16B2">
        <w:rPr>
          <w:rFonts w:asciiTheme="minorHAnsi" w:hAnsiTheme="minorHAnsi" w:cstheme="minorHAnsi"/>
          <w:bCs/>
          <w:sz w:val="22"/>
          <w:szCs w:val="22"/>
        </w:rPr>
        <w:t xml:space="preserve"> on 31 March 201</w:t>
      </w:r>
      <w:r w:rsidR="002F16B2" w:rsidRPr="002F16B2">
        <w:rPr>
          <w:rFonts w:asciiTheme="minorHAnsi" w:hAnsiTheme="minorHAnsi" w:cstheme="minorHAnsi"/>
          <w:bCs/>
          <w:sz w:val="22"/>
          <w:szCs w:val="22"/>
        </w:rPr>
        <w:t>9</w:t>
      </w:r>
      <w:r w:rsidR="003D2620" w:rsidRPr="002F16B2">
        <w:rPr>
          <w:rFonts w:asciiTheme="minorHAnsi" w:hAnsiTheme="minorHAnsi" w:cstheme="minorHAnsi"/>
          <w:bCs/>
          <w:sz w:val="22"/>
          <w:szCs w:val="22"/>
        </w:rPr>
        <w:t>).  The national multipli</w:t>
      </w:r>
      <w:r w:rsidR="00D734E0" w:rsidRPr="002F16B2">
        <w:rPr>
          <w:rFonts w:asciiTheme="minorHAnsi" w:hAnsiTheme="minorHAnsi" w:cstheme="minorHAnsi"/>
          <w:bCs/>
          <w:sz w:val="22"/>
          <w:szCs w:val="22"/>
        </w:rPr>
        <w:t>ers for 201</w:t>
      </w:r>
      <w:r w:rsidR="002F16B2" w:rsidRPr="002F16B2">
        <w:rPr>
          <w:rFonts w:asciiTheme="minorHAnsi" w:hAnsiTheme="minorHAnsi" w:cstheme="minorHAnsi"/>
          <w:bCs/>
          <w:sz w:val="22"/>
          <w:szCs w:val="22"/>
        </w:rPr>
        <w:t>9-20</w:t>
      </w:r>
      <w:r w:rsidR="00D734E0" w:rsidRPr="002F16B2">
        <w:rPr>
          <w:rFonts w:asciiTheme="minorHAnsi" w:hAnsiTheme="minorHAnsi" w:cstheme="minorHAnsi"/>
          <w:bCs/>
          <w:sz w:val="22"/>
          <w:szCs w:val="22"/>
        </w:rPr>
        <w:t xml:space="preserve"> were</w:t>
      </w:r>
      <w:r w:rsidR="002F16B2" w:rsidRPr="002F16B2">
        <w:rPr>
          <w:rFonts w:asciiTheme="minorHAnsi" w:hAnsiTheme="minorHAnsi" w:cstheme="minorHAnsi"/>
          <w:bCs/>
          <w:sz w:val="22"/>
          <w:szCs w:val="22"/>
        </w:rPr>
        <w:t xml:space="preserve"> 50.4</w:t>
      </w:r>
      <w:r w:rsidR="00D734E0" w:rsidRPr="002F16B2">
        <w:rPr>
          <w:rFonts w:asciiTheme="minorHAnsi" w:hAnsiTheme="minorHAnsi" w:cstheme="minorHAnsi"/>
          <w:bCs/>
          <w:sz w:val="22"/>
          <w:szCs w:val="22"/>
        </w:rPr>
        <w:t>p (4</w:t>
      </w:r>
      <w:r w:rsidR="002F16B2" w:rsidRPr="002F16B2">
        <w:rPr>
          <w:rFonts w:asciiTheme="minorHAnsi" w:hAnsiTheme="minorHAnsi" w:cstheme="minorHAnsi"/>
          <w:bCs/>
          <w:sz w:val="22"/>
          <w:szCs w:val="22"/>
        </w:rPr>
        <w:t>9.3</w:t>
      </w:r>
      <w:r w:rsidR="00D734E0" w:rsidRPr="002F16B2">
        <w:rPr>
          <w:rFonts w:asciiTheme="minorHAnsi" w:hAnsiTheme="minorHAnsi" w:cstheme="minorHAnsi"/>
          <w:bCs/>
          <w:sz w:val="22"/>
          <w:szCs w:val="22"/>
        </w:rPr>
        <w:t>p in 201</w:t>
      </w:r>
      <w:r w:rsidR="002F16B2" w:rsidRPr="002F16B2">
        <w:rPr>
          <w:rFonts w:asciiTheme="minorHAnsi" w:hAnsiTheme="minorHAnsi" w:cstheme="minorHAnsi"/>
          <w:bCs/>
          <w:sz w:val="22"/>
          <w:szCs w:val="22"/>
        </w:rPr>
        <w:t>8</w:t>
      </w:r>
      <w:r w:rsidR="00D734E0" w:rsidRPr="002F16B2">
        <w:rPr>
          <w:rFonts w:asciiTheme="minorHAnsi" w:hAnsiTheme="minorHAnsi" w:cstheme="minorHAnsi"/>
          <w:bCs/>
          <w:sz w:val="22"/>
          <w:szCs w:val="22"/>
        </w:rPr>
        <w:t>-1</w:t>
      </w:r>
      <w:r w:rsidR="002F16B2" w:rsidRPr="002F16B2">
        <w:rPr>
          <w:rFonts w:asciiTheme="minorHAnsi" w:hAnsiTheme="minorHAnsi" w:cstheme="minorHAnsi"/>
          <w:bCs/>
          <w:sz w:val="22"/>
          <w:szCs w:val="22"/>
        </w:rPr>
        <w:t>9</w:t>
      </w:r>
      <w:r w:rsidR="003D2620" w:rsidRPr="002F16B2">
        <w:rPr>
          <w:rFonts w:asciiTheme="minorHAnsi" w:hAnsiTheme="minorHAnsi" w:cstheme="minorHAnsi"/>
          <w:bCs/>
          <w:sz w:val="22"/>
          <w:szCs w:val="22"/>
        </w:rPr>
        <w:t>) for the standard non-domestic ra</w:t>
      </w:r>
      <w:r w:rsidR="002F16B2" w:rsidRPr="002F16B2">
        <w:rPr>
          <w:rFonts w:asciiTheme="minorHAnsi" w:hAnsiTheme="minorHAnsi" w:cstheme="minorHAnsi"/>
          <w:bCs/>
          <w:sz w:val="22"/>
          <w:szCs w:val="22"/>
        </w:rPr>
        <w:t>ting multiplier, and 49.1</w:t>
      </w:r>
      <w:r w:rsidR="00D734E0" w:rsidRPr="002F16B2">
        <w:rPr>
          <w:rFonts w:asciiTheme="minorHAnsi" w:hAnsiTheme="minorHAnsi" w:cstheme="minorHAnsi"/>
          <w:bCs/>
          <w:sz w:val="22"/>
          <w:szCs w:val="22"/>
        </w:rPr>
        <w:t>p (4</w:t>
      </w:r>
      <w:r w:rsidR="002F16B2" w:rsidRPr="002F16B2">
        <w:rPr>
          <w:rFonts w:asciiTheme="minorHAnsi" w:hAnsiTheme="minorHAnsi" w:cstheme="minorHAnsi"/>
          <w:bCs/>
          <w:sz w:val="22"/>
          <w:szCs w:val="22"/>
        </w:rPr>
        <w:t>8.0</w:t>
      </w:r>
      <w:r w:rsidR="00D734E0" w:rsidRPr="002F16B2">
        <w:rPr>
          <w:rFonts w:asciiTheme="minorHAnsi" w:hAnsiTheme="minorHAnsi" w:cstheme="minorHAnsi"/>
          <w:bCs/>
          <w:sz w:val="22"/>
          <w:szCs w:val="22"/>
        </w:rPr>
        <w:t>p in 201</w:t>
      </w:r>
      <w:r w:rsidR="002F16B2" w:rsidRPr="002F16B2">
        <w:rPr>
          <w:rFonts w:asciiTheme="minorHAnsi" w:hAnsiTheme="minorHAnsi" w:cstheme="minorHAnsi"/>
          <w:bCs/>
          <w:sz w:val="22"/>
          <w:szCs w:val="22"/>
        </w:rPr>
        <w:t>8</w:t>
      </w:r>
      <w:r w:rsidR="00D734E0" w:rsidRPr="002F16B2">
        <w:rPr>
          <w:rFonts w:asciiTheme="minorHAnsi" w:hAnsiTheme="minorHAnsi" w:cstheme="minorHAnsi"/>
          <w:bCs/>
          <w:sz w:val="22"/>
          <w:szCs w:val="22"/>
        </w:rPr>
        <w:t>-1</w:t>
      </w:r>
      <w:r w:rsidR="002F16B2" w:rsidRPr="002F16B2">
        <w:rPr>
          <w:rFonts w:asciiTheme="minorHAnsi" w:hAnsiTheme="minorHAnsi" w:cstheme="minorHAnsi"/>
          <w:bCs/>
          <w:sz w:val="22"/>
          <w:szCs w:val="22"/>
        </w:rPr>
        <w:t>9</w:t>
      </w:r>
      <w:r w:rsidR="003D2620" w:rsidRPr="002F16B2">
        <w:rPr>
          <w:rFonts w:asciiTheme="minorHAnsi" w:hAnsiTheme="minorHAnsi" w:cstheme="minorHAnsi"/>
          <w:bCs/>
          <w:sz w:val="22"/>
          <w:szCs w:val="22"/>
        </w:rPr>
        <w:t>) for qualifying small businesses.</w:t>
      </w:r>
    </w:p>
    <w:p w:rsidR="00216615" w:rsidRPr="0068094B" w:rsidRDefault="00216615"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p>
    <w:p w:rsidR="00C02630" w:rsidRPr="0068094B" w:rsidRDefault="00216615" w:rsidP="00D734E0">
      <w:pPr>
        <w:pStyle w:val="FootnoteText"/>
        <w:tabs>
          <w:tab w:val="left" w:pos="-1440"/>
          <w:tab w:val="left" w:pos="-720"/>
          <w:tab w:val="left" w:pos="0"/>
          <w:tab w:val="decimal" w:pos="426"/>
          <w:tab w:val="left" w:pos="567"/>
        </w:tabs>
        <w:ind w:left="360"/>
        <w:rPr>
          <w:rFonts w:asciiTheme="minorHAnsi" w:hAnsiTheme="minorHAnsi" w:cstheme="minorHAnsi"/>
          <w:sz w:val="22"/>
          <w:szCs w:val="22"/>
        </w:rPr>
      </w:pPr>
      <w:r w:rsidRPr="0068094B">
        <w:rPr>
          <w:rFonts w:asciiTheme="minorHAnsi" w:hAnsiTheme="minorHAnsi" w:cstheme="minorHAnsi"/>
          <w:bCs/>
          <w:sz w:val="22"/>
          <w:szCs w:val="22"/>
        </w:rPr>
        <w:t xml:space="preserve">NNDR </w:t>
      </w:r>
      <w:r w:rsidR="00D734E0">
        <w:rPr>
          <w:rFonts w:asciiTheme="minorHAnsi" w:hAnsiTheme="minorHAnsi" w:cstheme="minorHAnsi"/>
          <w:bCs/>
          <w:sz w:val="22"/>
          <w:szCs w:val="22"/>
        </w:rPr>
        <w:t>receipts are</w:t>
      </w:r>
      <w:r w:rsidRPr="0068094B">
        <w:rPr>
          <w:rFonts w:asciiTheme="minorHAnsi" w:hAnsiTheme="minorHAnsi" w:cstheme="minorHAnsi"/>
          <w:bCs/>
          <w:sz w:val="22"/>
          <w:szCs w:val="22"/>
        </w:rPr>
        <w:t xml:space="preserve"> shared between central government, the </w:t>
      </w:r>
      <w:r w:rsidR="00ED5F7A">
        <w:rPr>
          <w:rFonts w:asciiTheme="minorHAnsi" w:hAnsiTheme="minorHAnsi" w:cstheme="minorHAnsi"/>
          <w:bCs/>
          <w:sz w:val="22"/>
          <w:szCs w:val="22"/>
        </w:rPr>
        <w:t>D</w:t>
      </w:r>
      <w:r w:rsidRPr="0068094B">
        <w:rPr>
          <w:rFonts w:asciiTheme="minorHAnsi" w:hAnsiTheme="minorHAnsi" w:cstheme="minorHAnsi"/>
          <w:bCs/>
          <w:sz w:val="22"/>
          <w:szCs w:val="22"/>
        </w:rPr>
        <w:t>istrict</w:t>
      </w:r>
      <w:r w:rsidR="00ED5F7A">
        <w:rPr>
          <w:rFonts w:asciiTheme="minorHAnsi" w:hAnsiTheme="minorHAnsi" w:cstheme="minorHAnsi"/>
          <w:bCs/>
          <w:sz w:val="22"/>
          <w:szCs w:val="22"/>
        </w:rPr>
        <w:t xml:space="preserve"> C</w:t>
      </w:r>
      <w:r w:rsidR="00E16274" w:rsidRPr="0068094B">
        <w:rPr>
          <w:rFonts w:asciiTheme="minorHAnsi" w:hAnsiTheme="minorHAnsi" w:cstheme="minorHAnsi"/>
          <w:bCs/>
          <w:sz w:val="22"/>
          <w:szCs w:val="22"/>
        </w:rPr>
        <w:t>ouncil</w:t>
      </w:r>
      <w:r w:rsidRPr="0068094B">
        <w:rPr>
          <w:rFonts w:asciiTheme="minorHAnsi" w:hAnsiTheme="minorHAnsi" w:cstheme="minorHAnsi"/>
          <w:bCs/>
          <w:sz w:val="22"/>
          <w:szCs w:val="22"/>
        </w:rPr>
        <w:t xml:space="preserve"> </w:t>
      </w:r>
      <w:r w:rsidR="002F16B2">
        <w:rPr>
          <w:rFonts w:asciiTheme="minorHAnsi" w:hAnsiTheme="minorHAnsi" w:cstheme="minorHAnsi"/>
          <w:bCs/>
          <w:sz w:val="22"/>
          <w:szCs w:val="22"/>
        </w:rPr>
        <w:t>(20</w:t>
      </w:r>
      <w:r w:rsidR="00D734E0">
        <w:rPr>
          <w:rFonts w:asciiTheme="minorHAnsi" w:hAnsiTheme="minorHAnsi" w:cstheme="minorHAnsi"/>
          <w:bCs/>
          <w:sz w:val="22"/>
          <w:szCs w:val="22"/>
        </w:rPr>
        <w:t xml:space="preserve">%), </w:t>
      </w:r>
      <w:r w:rsidRPr="0068094B">
        <w:rPr>
          <w:rFonts w:asciiTheme="minorHAnsi" w:hAnsiTheme="minorHAnsi" w:cstheme="minorHAnsi"/>
          <w:bCs/>
          <w:sz w:val="22"/>
          <w:szCs w:val="22"/>
        </w:rPr>
        <w:t xml:space="preserve">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w:t>
      </w:r>
      <w:r w:rsidR="002F16B2">
        <w:rPr>
          <w:rFonts w:asciiTheme="minorHAnsi" w:hAnsiTheme="minorHAnsi" w:cstheme="minorHAnsi"/>
          <w:bCs/>
          <w:sz w:val="22"/>
          <w:szCs w:val="22"/>
        </w:rPr>
        <w:t>(55</w:t>
      </w:r>
      <w:r w:rsidR="00D734E0">
        <w:rPr>
          <w:rFonts w:asciiTheme="minorHAnsi" w:hAnsiTheme="minorHAnsi" w:cstheme="minorHAnsi"/>
          <w:bCs/>
          <w:sz w:val="22"/>
          <w:szCs w:val="22"/>
        </w:rPr>
        <w:t xml:space="preserve">%) and </w:t>
      </w:r>
      <w:r w:rsidR="002F16B2">
        <w:rPr>
          <w:rFonts w:asciiTheme="minorHAnsi" w:hAnsiTheme="minorHAnsi" w:cstheme="minorHAnsi"/>
          <w:bCs/>
          <w:sz w:val="22"/>
          <w:szCs w:val="22"/>
        </w:rPr>
        <w:t>Central Government (25</w:t>
      </w:r>
      <w:r w:rsidR="00D734E0">
        <w:rPr>
          <w:rFonts w:asciiTheme="minorHAnsi" w:hAnsiTheme="minorHAnsi" w:cstheme="minorHAnsi"/>
          <w:bCs/>
          <w:sz w:val="22"/>
          <w:szCs w:val="22"/>
        </w:rPr>
        <w:t>%)</w:t>
      </w:r>
      <w:r w:rsidR="00C02630" w:rsidRPr="0068094B">
        <w:rPr>
          <w:rFonts w:asciiTheme="minorHAnsi" w:hAnsiTheme="minorHAnsi" w:cstheme="minorHAnsi"/>
          <w:bCs/>
          <w:sz w:val="22"/>
          <w:szCs w:val="22"/>
        </w:rPr>
        <w:t xml:space="preserve">. </w:t>
      </w:r>
    </w:p>
    <w:p w:rsidR="00E21556" w:rsidRPr="0068094B" w:rsidRDefault="00E21556" w:rsidP="00216615">
      <w:pPr>
        <w:shd w:val="clear" w:color="auto" w:fill="FFFFFF" w:themeFill="background1"/>
        <w:ind w:left="360"/>
        <w:rPr>
          <w:rFonts w:asciiTheme="minorHAnsi" w:hAnsiTheme="minorHAnsi" w:cstheme="minorHAnsi"/>
          <w:sz w:val="22"/>
          <w:szCs w:val="22"/>
        </w:rPr>
      </w:pPr>
    </w:p>
    <w:p w:rsidR="0059149B" w:rsidRDefault="0059149B" w:rsidP="00083675">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The surplus or deficit on the Collection Fund for business rates at the end of the year is required to be distributed to or made good by contributions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West Sussex County </w:t>
      </w:r>
      <w:r w:rsidR="00E16274" w:rsidRPr="0068094B">
        <w:rPr>
          <w:rFonts w:asciiTheme="minorHAnsi" w:hAnsiTheme="minorHAnsi" w:cstheme="minorHAnsi"/>
          <w:sz w:val="22"/>
          <w:szCs w:val="22"/>
        </w:rPr>
        <w:t>Council</w:t>
      </w:r>
      <w:r w:rsidR="00D734E0">
        <w:rPr>
          <w:rFonts w:asciiTheme="minorHAnsi" w:hAnsiTheme="minorHAnsi" w:cstheme="minorHAnsi"/>
          <w:sz w:val="22"/>
          <w:szCs w:val="22"/>
        </w:rPr>
        <w:t xml:space="preserve"> and the G</w:t>
      </w:r>
      <w:r w:rsidRPr="0068094B">
        <w:rPr>
          <w:rFonts w:asciiTheme="minorHAnsi" w:hAnsiTheme="minorHAnsi" w:cstheme="minorHAnsi"/>
          <w:sz w:val="22"/>
          <w:szCs w:val="22"/>
        </w:rPr>
        <w:t>overnment in relation to business rates in a subsequent financial year.</w:t>
      </w:r>
    </w:p>
    <w:p w:rsidR="006E0824" w:rsidRDefault="006E0824" w:rsidP="00083675">
      <w:pPr>
        <w:pStyle w:val="BodyTextIndent"/>
        <w:ind w:left="426"/>
        <w:jc w:val="left"/>
        <w:rPr>
          <w:rFonts w:asciiTheme="minorHAnsi" w:hAnsiTheme="minorHAnsi" w:cstheme="minorHAnsi"/>
          <w:sz w:val="22"/>
          <w:szCs w:val="22"/>
        </w:rPr>
      </w:pPr>
    </w:p>
    <w:p w:rsidR="006E0824" w:rsidRPr="0068094B" w:rsidRDefault="004E5F18" w:rsidP="006E0824">
      <w:pPr>
        <w:numPr>
          <w:ilvl w:val="0"/>
          <w:numId w:val="28"/>
        </w:numPr>
        <w:jc w:val="both"/>
        <w:rPr>
          <w:rFonts w:asciiTheme="minorHAnsi" w:hAnsiTheme="minorHAnsi" w:cstheme="minorHAnsi"/>
          <w:b/>
          <w:bCs/>
          <w:sz w:val="22"/>
          <w:szCs w:val="22"/>
        </w:rPr>
      </w:pPr>
      <w:r>
        <w:rPr>
          <w:rFonts w:asciiTheme="minorHAnsi" w:hAnsiTheme="minorHAnsi" w:cstheme="minorHAnsi"/>
          <w:b/>
          <w:bCs/>
          <w:sz w:val="22"/>
          <w:szCs w:val="22"/>
        </w:rPr>
        <w:t>Provision for RV and list amendment appeals</w:t>
      </w:r>
    </w:p>
    <w:p w:rsidR="006E0824" w:rsidRPr="0068094B" w:rsidRDefault="006E0824" w:rsidP="00083675">
      <w:pPr>
        <w:pStyle w:val="BodyTextIndent"/>
        <w:ind w:left="426"/>
        <w:jc w:val="left"/>
        <w:rPr>
          <w:rFonts w:asciiTheme="minorHAnsi" w:hAnsiTheme="minorHAnsi" w:cstheme="minorHAnsi"/>
          <w:sz w:val="22"/>
          <w:szCs w:val="22"/>
        </w:rPr>
      </w:pPr>
    </w:p>
    <w:p w:rsidR="0067338C" w:rsidRDefault="006E0824" w:rsidP="00083675">
      <w:pPr>
        <w:pStyle w:val="BodyTextIndent"/>
        <w:ind w:left="426"/>
        <w:jc w:val="left"/>
        <w:rPr>
          <w:rFonts w:asciiTheme="minorHAnsi" w:hAnsiTheme="minorHAnsi" w:cstheme="minorHAnsi"/>
          <w:sz w:val="22"/>
          <w:szCs w:val="22"/>
        </w:rPr>
      </w:pPr>
      <w:r>
        <w:rPr>
          <w:rFonts w:asciiTheme="minorHAnsi" w:hAnsiTheme="minorHAnsi" w:cstheme="minorHAnsi"/>
          <w:sz w:val="22"/>
          <w:szCs w:val="22"/>
        </w:rPr>
        <w:t xml:space="preserve">The participants in the NDR collection fund </w:t>
      </w:r>
      <w:r w:rsidRPr="0068094B">
        <w:rPr>
          <w:rFonts w:asciiTheme="minorHAnsi" w:hAnsiTheme="minorHAnsi" w:cstheme="minorHAnsi"/>
          <w:sz w:val="22"/>
          <w:szCs w:val="22"/>
        </w:rPr>
        <w:t>are l</w:t>
      </w:r>
      <w:r w:rsidRPr="0068094B">
        <w:rPr>
          <w:rFonts w:asciiTheme="minorHAnsi" w:hAnsiTheme="minorHAnsi" w:cstheme="minorHAnsi"/>
          <w:bCs/>
          <w:sz w:val="22"/>
          <w:szCs w:val="22"/>
        </w:rPr>
        <w:t xml:space="preserve">iable for refunding ratepayers who have successfully appealed against the business rates charged to their businesses in their </w:t>
      </w:r>
      <w:r w:rsidRPr="0002299E">
        <w:rPr>
          <w:rFonts w:asciiTheme="minorHAnsi" w:hAnsiTheme="minorHAnsi" w:cstheme="minorHAnsi"/>
          <w:bCs/>
          <w:sz w:val="22"/>
          <w:szCs w:val="22"/>
        </w:rPr>
        <w:t xml:space="preserve">proportionate share.  The best estimate of the amount that businesses may have been overcharged </w:t>
      </w:r>
      <w:r w:rsidR="0002299E" w:rsidRPr="0002299E">
        <w:rPr>
          <w:rFonts w:asciiTheme="minorHAnsi" w:hAnsiTheme="minorHAnsi" w:cstheme="minorHAnsi"/>
          <w:bCs/>
          <w:sz w:val="22"/>
          <w:szCs w:val="22"/>
        </w:rPr>
        <w:t>up to 31 March 2020 is £6.3m.   During 2019-20 £1.9</w:t>
      </w:r>
      <w:r w:rsidR="004E5F18" w:rsidRPr="0002299E">
        <w:rPr>
          <w:rFonts w:asciiTheme="minorHAnsi" w:hAnsiTheme="minorHAnsi" w:cstheme="minorHAnsi"/>
          <w:bCs/>
          <w:sz w:val="22"/>
          <w:szCs w:val="22"/>
        </w:rPr>
        <w:t>m</w:t>
      </w:r>
      <w:r w:rsidRPr="0002299E">
        <w:rPr>
          <w:rFonts w:asciiTheme="minorHAnsi" w:hAnsiTheme="minorHAnsi" w:cstheme="minorHAnsi"/>
          <w:bCs/>
          <w:sz w:val="22"/>
          <w:szCs w:val="22"/>
        </w:rPr>
        <w:t xml:space="preserve"> was charged against the existing provision for appeals and </w:t>
      </w:r>
      <w:r w:rsidR="004E5F18" w:rsidRPr="0002299E">
        <w:rPr>
          <w:rFonts w:asciiTheme="minorHAnsi" w:hAnsiTheme="minorHAnsi" w:cstheme="minorHAnsi"/>
          <w:bCs/>
          <w:sz w:val="22"/>
          <w:szCs w:val="22"/>
        </w:rPr>
        <w:t>a charge aga</w:t>
      </w:r>
      <w:r w:rsidR="0002299E" w:rsidRPr="0002299E">
        <w:rPr>
          <w:rFonts w:asciiTheme="minorHAnsi" w:hAnsiTheme="minorHAnsi" w:cstheme="minorHAnsi"/>
          <w:bCs/>
          <w:sz w:val="22"/>
          <w:szCs w:val="22"/>
        </w:rPr>
        <w:t>inst the collection fund of £2.0</w:t>
      </w:r>
      <w:r w:rsidR="004E5F18" w:rsidRPr="0002299E">
        <w:rPr>
          <w:rFonts w:asciiTheme="minorHAnsi" w:hAnsiTheme="minorHAnsi" w:cstheme="minorHAnsi"/>
          <w:bCs/>
          <w:sz w:val="22"/>
          <w:szCs w:val="22"/>
        </w:rPr>
        <w:t xml:space="preserve">m was made for future potential liabilities, resulting in a net movement </w:t>
      </w:r>
      <w:r w:rsidR="0002299E" w:rsidRPr="0002299E">
        <w:rPr>
          <w:rFonts w:asciiTheme="minorHAnsi" w:hAnsiTheme="minorHAnsi" w:cstheme="minorHAnsi"/>
          <w:bCs/>
          <w:sz w:val="22"/>
          <w:szCs w:val="22"/>
        </w:rPr>
        <w:t>on the provision in year of £0.1</w:t>
      </w:r>
      <w:r w:rsidR="004E5F18" w:rsidRPr="0002299E">
        <w:rPr>
          <w:rFonts w:asciiTheme="minorHAnsi" w:hAnsiTheme="minorHAnsi" w:cstheme="minorHAnsi"/>
          <w:bCs/>
          <w:sz w:val="22"/>
          <w:szCs w:val="22"/>
        </w:rPr>
        <w:t>m.</w:t>
      </w:r>
    </w:p>
    <w:p w:rsidR="00576433" w:rsidRPr="0068094B" w:rsidRDefault="00576433" w:rsidP="00083675">
      <w:pPr>
        <w:pStyle w:val="BodyTextIndent"/>
        <w:ind w:left="426"/>
        <w:jc w:val="left"/>
        <w:rPr>
          <w:rFonts w:asciiTheme="minorHAnsi" w:hAnsiTheme="minorHAnsi" w:cstheme="minorHAnsi"/>
          <w:sz w:val="22"/>
          <w:szCs w:val="22"/>
        </w:rPr>
      </w:pPr>
    </w:p>
    <w:p w:rsidR="00183652" w:rsidRPr="0068094B" w:rsidRDefault="00E16274" w:rsidP="007D7B32">
      <w:pPr>
        <w:numPr>
          <w:ilvl w:val="0"/>
          <w:numId w:val="28"/>
        </w:numPr>
        <w:jc w:val="both"/>
        <w:rPr>
          <w:rFonts w:asciiTheme="minorHAnsi" w:hAnsiTheme="minorHAnsi" w:cstheme="minorHAnsi"/>
          <w:b/>
          <w:bCs/>
          <w:sz w:val="22"/>
          <w:szCs w:val="22"/>
        </w:rPr>
      </w:pPr>
      <w:r w:rsidRPr="0068094B">
        <w:rPr>
          <w:rFonts w:asciiTheme="minorHAnsi" w:hAnsiTheme="minorHAnsi" w:cstheme="minorHAnsi"/>
          <w:b/>
          <w:bCs/>
          <w:sz w:val="22"/>
          <w:szCs w:val="22"/>
        </w:rPr>
        <w:t>Council</w:t>
      </w:r>
      <w:r w:rsidR="004A6511" w:rsidRPr="0068094B">
        <w:rPr>
          <w:rFonts w:asciiTheme="minorHAnsi" w:hAnsiTheme="minorHAnsi" w:cstheme="minorHAnsi"/>
          <w:b/>
          <w:bCs/>
          <w:sz w:val="22"/>
          <w:szCs w:val="22"/>
        </w:rPr>
        <w:t xml:space="preserve"> Tax</w:t>
      </w:r>
    </w:p>
    <w:p w:rsidR="00183652" w:rsidRPr="0068094B" w:rsidRDefault="00183652">
      <w:pPr>
        <w:ind w:left="720"/>
        <w:jc w:val="both"/>
        <w:rPr>
          <w:rFonts w:asciiTheme="minorHAnsi" w:hAnsiTheme="minorHAnsi" w:cstheme="minorHAnsi"/>
          <w:sz w:val="22"/>
          <w:szCs w:val="22"/>
        </w:rPr>
      </w:pPr>
    </w:p>
    <w:p w:rsidR="00FF03A2" w:rsidRPr="0068094B" w:rsidRDefault="00E16274">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Council</w:t>
      </w:r>
      <w:r w:rsidR="00FF03A2" w:rsidRPr="0068094B">
        <w:rPr>
          <w:rFonts w:asciiTheme="minorHAnsi" w:hAnsiTheme="minorHAnsi" w:cstheme="minorHAnsi"/>
          <w:sz w:val="22"/>
          <w:szCs w:val="22"/>
        </w:rPr>
        <w:t xml:space="preserve"> Tax derives from charges raised according to the value of residential properties which have been classified into nine valuation bands (A-H).  Individual charges are calculated by estimating the amount of income required to be taken by the Collection Fund for the forthcoming financial year and dividing this by the </w:t>
      </w:r>
      <w:r w:rsidRPr="0068094B">
        <w:rPr>
          <w:rFonts w:asciiTheme="minorHAnsi" w:hAnsiTheme="minorHAnsi" w:cstheme="minorHAnsi"/>
          <w:sz w:val="22"/>
          <w:szCs w:val="22"/>
        </w:rPr>
        <w:t>Council</w:t>
      </w:r>
      <w:r w:rsidR="00FF03A2" w:rsidRPr="0068094B">
        <w:rPr>
          <w:rFonts w:asciiTheme="minorHAnsi" w:hAnsiTheme="minorHAnsi" w:cstheme="minorHAnsi"/>
          <w:sz w:val="22"/>
          <w:szCs w:val="22"/>
        </w:rPr>
        <w:t xml:space="preserve"> Tax base (i.e. the equivalent number of Band D dwellings)</w:t>
      </w:r>
      <w:r w:rsidR="00C84EDC">
        <w:rPr>
          <w:rFonts w:asciiTheme="minorHAnsi" w:hAnsiTheme="minorHAnsi" w:cstheme="minorHAnsi"/>
          <w:sz w:val="22"/>
          <w:szCs w:val="22"/>
        </w:rPr>
        <w:t>.</w:t>
      </w:r>
    </w:p>
    <w:p w:rsidR="00FF03A2" w:rsidRPr="0068094B" w:rsidRDefault="00FF03A2">
      <w:pPr>
        <w:pStyle w:val="BodyTextIndent"/>
        <w:ind w:left="426"/>
        <w:jc w:val="left"/>
        <w:rPr>
          <w:rFonts w:asciiTheme="minorHAnsi" w:hAnsiTheme="minorHAnsi" w:cstheme="minorHAnsi"/>
          <w:sz w:val="22"/>
          <w:szCs w:val="22"/>
        </w:rPr>
      </w:pPr>
    </w:p>
    <w:p w:rsidR="00C84EDC" w:rsidRDefault="00A2581F" w:rsidP="00C84EDC">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For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setting purposes, the number of dwellings in each valuation band, converted to Band D equivalents and allowing for a collection rate 99.0%, was estimated to be as follows</w:t>
      </w:r>
      <w:r w:rsidR="00C84EDC">
        <w:rPr>
          <w:rFonts w:asciiTheme="minorHAnsi" w:hAnsiTheme="minorHAnsi" w:cstheme="minorHAnsi"/>
          <w:sz w:val="22"/>
          <w:szCs w:val="22"/>
        </w:rPr>
        <w:t>:</w:t>
      </w:r>
    </w:p>
    <w:p w:rsidR="00C84EDC" w:rsidRDefault="00C84EDC">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rsidR="00183652" w:rsidRPr="00C84EDC" w:rsidRDefault="00183652" w:rsidP="00C84EDC">
      <w:pPr>
        <w:pStyle w:val="BodyTextIndent"/>
        <w:ind w:left="426"/>
        <w:jc w:val="left"/>
        <w:rPr>
          <w:rFonts w:asciiTheme="minorHAnsi" w:hAnsiTheme="minorHAnsi" w:cstheme="minorHAnsi"/>
          <w:sz w:val="22"/>
          <w:szCs w:val="22"/>
        </w:rPr>
      </w:pPr>
    </w:p>
    <w:tbl>
      <w:tblPr>
        <w:tblW w:w="0" w:type="auto"/>
        <w:tblInd w:w="534" w:type="dxa"/>
        <w:tblLayout w:type="fixed"/>
        <w:tblLook w:val="0000" w:firstRow="0" w:lastRow="0" w:firstColumn="0" w:lastColumn="0" w:noHBand="0" w:noVBand="0"/>
      </w:tblPr>
      <w:tblGrid>
        <w:gridCol w:w="2268"/>
        <w:gridCol w:w="1275"/>
        <w:gridCol w:w="284"/>
        <w:gridCol w:w="1276"/>
        <w:gridCol w:w="1559"/>
        <w:gridCol w:w="1749"/>
      </w:tblGrid>
      <w:tr w:rsidR="002C1262" w:rsidRPr="0068094B" w:rsidTr="002C1262">
        <w:trPr>
          <w:trHeight w:val="922"/>
        </w:trPr>
        <w:tc>
          <w:tcPr>
            <w:tcW w:w="3543" w:type="dxa"/>
            <w:gridSpan w:val="2"/>
            <w:tcBorders>
              <w:bottom w:val="single" w:sz="4" w:space="0" w:color="000000"/>
            </w:tcBorders>
            <w:vAlign w:val="center"/>
          </w:tcPr>
          <w:p w:rsidR="002C1262" w:rsidRPr="0068094B" w:rsidRDefault="002C1262">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Council Tax Band</w:t>
            </w:r>
          </w:p>
        </w:tc>
        <w:tc>
          <w:tcPr>
            <w:tcW w:w="284" w:type="dxa"/>
            <w:tcBorders>
              <w:bottom w:val="single" w:sz="4" w:space="0" w:color="000000"/>
            </w:tcBorders>
            <w:vAlign w:val="center"/>
          </w:tcPr>
          <w:p w:rsidR="002C1262" w:rsidRPr="0068094B" w:rsidRDefault="002C1262">
            <w:pPr>
              <w:pStyle w:val="BodyTextIndent"/>
              <w:snapToGrid w:val="0"/>
              <w:ind w:left="0"/>
              <w:jc w:val="center"/>
              <w:rPr>
                <w:rFonts w:asciiTheme="minorHAnsi" w:hAnsiTheme="minorHAnsi" w:cstheme="minorHAnsi"/>
                <w:sz w:val="22"/>
                <w:szCs w:val="22"/>
              </w:rPr>
            </w:pPr>
          </w:p>
        </w:tc>
        <w:tc>
          <w:tcPr>
            <w:tcW w:w="1276" w:type="dxa"/>
            <w:tcBorders>
              <w:bottom w:val="single" w:sz="4" w:space="0" w:color="000000"/>
            </w:tcBorders>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No. of Chargeable Dwellings</w:t>
            </w:r>
          </w:p>
        </w:tc>
        <w:tc>
          <w:tcPr>
            <w:tcW w:w="1559" w:type="dxa"/>
            <w:tcBorders>
              <w:bottom w:val="single" w:sz="4" w:space="0" w:color="000000"/>
            </w:tcBorders>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Ratio to Band D</w:t>
            </w:r>
          </w:p>
        </w:tc>
        <w:tc>
          <w:tcPr>
            <w:tcW w:w="1749" w:type="dxa"/>
            <w:tcBorders>
              <w:bottom w:val="single" w:sz="4" w:space="0" w:color="000000"/>
            </w:tcBorders>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Chargeable Base</w:t>
            </w:r>
          </w:p>
        </w:tc>
      </w:tr>
      <w:tr w:rsidR="002C1262" w:rsidRPr="0068094B" w:rsidTr="002C1262">
        <w:trPr>
          <w:trHeight w:val="371"/>
        </w:trPr>
        <w:tc>
          <w:tcPr>
            <w:tcW w:w="3543" w:type="dxa"/>
            <w:gridSpan w:val="2"/>
            <w:tcBorders>
              <w:top w:val="single" w:sz="4" w:space="0" w:color="000000"/>
            </w:tcBorders>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Disabled Band A</w:t>
            </w:r>
          </w:p>
        </w:tc>
        <w:tc>
          <w:tcPr>
            <w:tcW w:w="284" w:type="dxa"/>
            <w:tcBorders>
              <w:top w:val="single" w:sz="4" w:space="0" w:color="000000"/>
            </w:tcBorders>
            <w:shd w:val="clear" w:color="auto" w:fill="FFFFFF" w:themeFill="background1"/>
            <w:vAlign w:val="center"/>
          </w:tcPr>
          <w:p w:rsidR="002C1262" w:rsidRPr="0068094B" w:rsidRDefault="002C1262" w:rsidP="008E28C1">
            <w:pPr>
              <w:pStyle w:val="BodyTextIndent"/>
              <w:snapToGrid w:val="0"/>
              <w:ind w:left="0"/>
              <w:jc w:val="right"/>
              <w:rPr>
                <w:rFonts w:asciiTheme="minorHAnsi" w:hAnsiTheme="minorHAnsi" w:cstheme="minorHAnsi"/>
                <w:sz w:val="22"/>
                <w:szCs w:val="22"/>
              </w:rPr>
            </w:pPr>
          </w:p>
        </w:tc>
        <w:tc>
          <w:tcPr>
            <w:tcW w:w="1276" w:type="dxa"/>
            <w:tcBorders>
              <w:top w:val="single" w:sz="4" w:space="0" w:color="000000"/>
            </w:tcBorders>
            <w:shd w:val="clear" w:color="auto" w:fill="FFFFFF" w:themeFill="background1"/>
            <w:vAlign w:val="center"/>
          </w:tcPr>
          <w:p w:rsidR="002C1262" w:rsidRPr="0068094B" w:rsidRDefault="0002299E"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2.7</w:t>
            </w:r>
          </w:p>
        </w:tc>
        <w:tc>
          <w:tcPr>
            <w:tcW w:w="1559" w:type="dxa"/>
            <w:tcBorders>
              <w:top w:val="single" w:sz="4" w:space="0" w:color="000000"/>
            </w:tcBorders>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5/9</w:t>
            </w:r>
          </w:p>
        </w:tc>
        <w:tc>
          <w:tcPr>
            <w:tcW w:w="1749" w:type="dxa"/>
            <w:tcBorders>
              <w:top w:val="single" w:sz="4" w:space="0" w:color="000000"/>
            </w:tcBorders>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1.5</w:t>
            </w:r>
          </w:p>
        </w:tc>
      </w:tr>
      <w:tr w:rsidR="002C1262" w:rsidRPr="0068094B" w:rsidTr="002C1262">
        <w:trPr>
          <w:trHeight w:val="415"/>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A</w:t>
            </w:r>
          </w:p>
        </w:tc>
        <w:tc>
          <w:tcPr>
            <w:tcW w:w="284" w:type="dxa"/>
            <w:shd w:val="clear" w:color="auto" w:fill="FFFFFF" w:themeFill="background1"/>
            <w:vAlign w:val="center"/>
          </w:tcPr>
          <w:p w:rsidR="002C1262" w:rsidRPr="0068094B" w:rsidRDefault="002C1262" w:rsidP="008E28C1">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2,327.5</w:t>
            </w:r>
          </w:p>
        </w:tc>
        <w:tc>
          <w:tcPr>
            <w:tcW w:w="1559" w:type="dxa"/>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6/9</w:t>
            </w:r>
          </w:p>
        </w:tc>
        <w:tc>
          <w:tcPr>
            <w:tcW w:w="1749"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1,551.6</w:t>
            </w:r>
          </w:p>
        </w:tc>
      </w:tr>
      <w:tr w:rsidR="002C1262" w:rsidRPr="0068094B" w:rsidTr="002C1262">
        <w:trPr>
          <w:trHeight w:val="436"/>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B</w:t>
            </w:r>
          </w:p>
        </w:tc>
        <w:tc>
          <w:tcPr>
            <w:tcW w:w="284" w:type="dxa"/>
            <w:shd w:val="clear" w:color="auto" w:fill="FFFFFF" w:themeFill="background1"/>
            <w:vAlign w:val="center"/>
          </w:tcPr>
          <w:p w:rsidR="002C1262" w:rsidRPr="0068094B" w:rsidRDefault="002C1262" w:rsidP="009F3B70">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5,030.3</w:t>
            </w:r>
          </w:p>
        </w:tc>
        <w:tc>
          <w:tcPr>
            <w:tcW w:w="1559" w:type="dxa"/>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7/9</w:t>
            </w:r>
          </w:p>
        </w:tc>
        <w:tc>
          <w:tcPr>
            <w:tcW w:w="1749"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3,912.4</w:t>
            </w:r>
          </w:p>
        </w:tc>
      </w:tr>
      <w:tr w:rsidR="002C1262" w:rsidRPr="0068094B" w:rsidTr="002C1262">
        <w:trPr>
          <w:trHeight w:val="428"/>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C</w:t>
            </w:r>
          </w:p>
        </w:tc>
        <w:tc>
          <w:tcPr>
            <w:tcW w:w="284" w:type="dxa"/>
            <w:shd w:val="clear" w:color="auto" w:fill="FFFFFF" w:themeFill="background1"/>
            <w:vAlign w:val="center"/>
          </w:tcPr>
          <w:p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12,798.5</w:t>
            </w:r>
          </w:p>
        </w:tc>
        <w:tc>
          <w:tcPr>
            <w:tcW w:w="1559" w:type="dxa"/>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8/9</w:t>
            </w:r>
          </w:p>
        </w:tc>
        <w:tc>
          <w:tcPr>
            <w:tcW w:w="1749" w:type="dxa"/>
            <w:shd w:val="clear" w:color="auto" w:fill="FFFFFF" w:themeFill="background1"/>
            <w:vAlign w:val="center"/>
          </w:tcPr>
          <w:p w:rsidR="002C1262" w:rsidRPr="0068094B" w:rsidRDefault="00A25D72" w:rsidP="00552BAF">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11,376.4</w:t>
            </w:r>
          </w:p>
        </w:tc>
      </w:tr>
      <w:tr w:rsidR="002C1262" w:rsidRPr="0068094B" w:rsidTr="002C1262">
        <w:trPr>
          <w:trHeight w:val="419"/>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D</w:t>
            </w:r>
          </w:p>
        </w:tc>
        <w:tc>
          <w:tcPr>
            <w:tcW w:w="284" w:type="dxa"/>
            <w:shd w:val="clear" w:color="auto" w:fill="FFFFFF" w:themeFill="background1"/>
            <w:vAlign w:val="center"/>
          </w:tcPr>
          <w:p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10,962.5</w:t>
            </w:r>
          </w:p>
        </w:tc>
        <w:tc>
          <w:tcPr>
            <w:tcW w:w="1559" w:type="dxa"/>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9/9</w:t>
            </w:r>
          </w:p>
        </w:tc>
        <w:tc>
          <w:tcPr>
            <w:tcW w:w="1749"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10,962.5</w:t>
            </w:r>
          </w:p>
        </w:tc>
      </w:tr>
      <w:tr w:rsidR="002C1262" w:rsidRPr="0068094B" w:rsidTr="002C1262">
        <w:trPr>
          <w:trHeight w:val="411"/>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E</w:t>
            </w:r>
          </w:p>
        </w:tc>
        <w:tc>
          <w:tcPr>
            <w:tcW w:w="284" w:type="dxa"/>
            <w:shd w:val="clear" w:color="auto" w:fill="FFFFFF" w:themeFill="background1"/>
            <w:vAlign w:val="center"/>
          </w:tcPr>
          <w:p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7,825.0</w:t>
            </w:r>
          </w:p>
        </w:tc>
        <w:tc>
          <w:tcPr>
            <w:tcW w:w="1559" w:type="dxa"/>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11/9</w:t>
            </w:r>
          </w:p>
        </w:tc>
        <w:tc>
          <w:tcPr>
            <w:tcW w:w="1749"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9,563.9</w:t>
            </w:r>
          </w:p>
        </w:tc>
      </w:tr>
      <w:tr w:rsidR="002C1262" w:rsidRPr="0068094B" w:rsidTr="002C1262">
        <w:trPr>
          <w:trHeight w:val="432"/>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F</w:t>
            </w:r>
          </w:p>
        </w:tc>
        <w:tc>
          <w:tcPr>
            <w:tcW w:w="284" w:type="dxa"/>
            <w:shd w:val="clear" w:color="auto" w:fill="FFFFFF" w:themeFill="background1"/>
            <w:vAlign w:val="center"/>
          </w:tcPr>
          <w:p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5,412.0</w:t>
            </w:r>
          </w:p>
        </w:tc>
        <w:tc>
          <w:tcPr>
            <w:tcW w:w="1559" w:type="dxa"/>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13/9</w:t>
            </w:r>
          </w:p>
        </w:tc>
        <w:tc>
          <w:tcPr>
            <w:tcW w:w="1749"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7,817.3</w:t>
            </w:r>
          </w:p>
        </w:tc>
      </w:tr>
      <w:tr w:rsidR="002C1262" w:rsidRPr="0068094B" w:rsidTr="00FA58F8">
        <w:trPr>
          <w:trHeight w:val="423"/>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G</w:t>
            </w:r>
          </w:p>
        </w:tc>
        <w:tc>
          <w:tcPr>
            <w:tcW w:w="284" w:type="dxa"/>
            <w:shd w:val="clear" w:color="auto" w:fill="FFFFFF" w:themeFill="background1"/>
            <w:vAlign w:val="center"/>
          </w:tcPr>
          <w:p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5,280.0</w:t>
            </w:r>
          </w:p>
        </w:tc>
        <w:tc>
          <w:tcPr>
            <w:tcW w:w="1559" w:type="dxa"/>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15/9</w:t>
            </w:r>
          </w:p>
        </w:tc>
        <w:tc>
          <w:tcPr>
            <w:tcW w:w="1749" w:type="dxa"/>
            <w:shd w:val="clear" w:color="auto" w:fill="FFFFFF" w:themeFill="background1"/>
            <w:vAlign w:val="center"/>
          </w:tcPr>
          <w:p w:rsidR="002C1262" w:rsidRPr="0068094B" w:rsidRDefault="00A25D72" w:rsidP="00552BAF">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8,800.0</w:t>
            </w:r>
          </w:p>
        </w:tc>
      </w:tr>
      <w:tr w:rsidR="002C1262" w:rsidRPr="0068094B" w:rsidTr="00FA58F8">
        <w:trPr>
          <w:trHeight w:val="429"/>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H</w:t>
            </w:r>
          </w:p>
        </w:tc>
        <w:tc>
          <w:tcPr>
            <w:tcW w:w="284" w:type="dxa"/>
            <w:shd w:val="clear" w:color="auto" w:fill="FFFFFF" w:themeFill="background1"/>
            <w:vAlign w:val="center"/>
          </w:tcPr>
          <w:p w:rsidR="002C1262" w:rsidRPr="0068094B" w:rsidRDefault="002C1262" w:rsidP="003A7304">
            <w:pPr>
              <w:pStyle w:val="BodyTextIndent"/>
              <w:snapToGrid w:val="0"/>
              <w:ind w:left="0"/>
              <w:jc w:val="right"/>
              <w:rPr>
                <w:rFonts w:asciiTheme="minorHAnsi" w:hAnsiTheme="minorHAnsi" w:cstheme="minorHAnsi"/>
                <w:sz w:val="22"/>
                <w:szCs w:val="22"/>
              </w:rPr>
            </w:pPr>
          </w:p>
        </w:tc>
        <w:tc>
          <w:tcPr>
            <w:tcW w:w="1276" w:type="dxa"/>
            <w:tcBorders>
              <w:bottom w:val="single" w:sz="4" w:space="0" w:color="auto"/>
            </w:tcBorders>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1,133.3</w:t>
            </w:r>
          </w:p>
        </w:tc>
        <w:tc>
          <w:tcPr>
            <w:tcW w:w="1559" w:type="dxa"/>
            <w:tcBorders>
              <w:bottom w:val="single" w:sz="4" w:space="0" w:color="auto"/>
            </w:tcBorders>
            <w:shd w:val="clear" w:color="auto" w:fill="FFFFFF" w:themeFill="background1"/>
            <w:vAlign w:val="center"/>
          </w:tcPr>
          <w:p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18/9</w:t>
            </w:r>
          </w:p>
        </w:tc>
        <w:tc>
          <w:tcPr>
            <w:tcW w:w="1749" w:type="dxa"/>
            <w:tcBorders>
              <w:bottom w:val="single" w:sz="4" w:space="0" w:color="auto"/>
            </w:tcBorders>
            <w:shd w:val="clear" w:color="auto" w:fill="FFFFFF" w:themeFill="background1"/>
            <w:vAlign w:val="center"/>
          </w:tcPr>
          <w:p w:rsidR="002C1262" w:rsidRPr="0068094B" w:rsidRDefault="00A25D72"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2,266.5</w:t>
            </w:r>
          </w:p>
        </w:tc>
      </w:tr>
      <w:tr w:rsidR="002C1262" w:rsidRPr="0068094B" w:rsidTr="00FA58F8">
        <w:trPr>
          <w:trHeight w:val="421"/>
        </w:trPr>
        <w:tc>
          <w:tcPr>
            <w:tcW w:w="3543" w:type="dxa"/>
            <w:gridSpan w:val="2"/>
            <w:vAlign w:val="center"/>
          </w:tcPr>
          <w:p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Total</w:t>
            </w:r>
          </w:p>
        </w:tc>
        <w:tc>
          <w:tcPr>
            <w:tcW w:w="284" w:type="dxa"/>
            <w:vAlign w:val="center"/>
          </w:tcPr>
          <w:p w:rsidR="002C1262" w:rsidRPr="0068094B" w:rsidRDefault="002C1262" w:rsidP="00C55D90">
            <w:pPr>
              <w:pStyle w:val="BodyTextIndent"/>
              <w:snapToGrid w:val="0"/>
              <w:ind w:left="0"/>
              <w:jc w:val="right"/>
              <w:rPr>
                <w:rFonts w:asciiTheme="minorHAnsi" w:hAnsiTheme="minorHAnsi" w:cstheme="minorHAnsi"/>
                <w:b/>
                <w:sz w:val="22"/>
                <w:szCs w:val="22"/>
              </w:rPr>
            </w:pPr>
          </w:p>
        </w:tc>
        <w:tc>
          <w:tcPr>
            <w:tcW w:w="1276" w:type="dxa"/>
            <w:tcBorders>
              <w:top w:val="single" w:sz="4" w:space="0" w:color="auto"/>
            </w:tcBorders>
            <w:vAlign w:val="center"/>
          </w:tcPr>
          <w:p w:rsidR="002C1262" w:rsidRPr="0068094B" w:rsidRDefault="00A25D72" w:rsidP="00552BAF">
            <w:pPr>
              <w:pStyle w:val="BodyTextIndent"/>
              <w:snapToGrid w:val="0"/>
              <w:ind w:left="0"/>
              <w:jc w:val="right"/>
              <w:rPr>
                <w:rFonts w:asciiTheme="minorHAnsi" w:hAnsiTheme="minorHAnsi" w:cstheme="minorHAnsi"/>
                <w:b/>
                <w:sz w:val="22"/>
                <w:szCs w:val="22"/>
              </w:rPr>
            </w:pPr>
            <w:r>
              <w:rPr>
                <w:rFonts w:asciiTheme="minorHAnsi" w:hAnsiTheme="minorHAnsi" w:cstheme="minorHAnsi"/>
                <w:b/>
                <w:sz w:val="22"/>
                <w:szCs w:val="22"/>
              </w:rPr>
              <w:t>50,771.8</w:t>
            </w:r>
          </w:p>
        </w:tc>
        <w:tc>
          <w:tcPr>
            <w:tcW w:w="1559" w:type="dxa"/>
            <w:tcBorders>
              <w:top w:val="single" w:sz="4" w:space="0" w:color="auto"/>
            </w:tcBorders>
            <w:vAlign w:val="center"/>
          </w:tcPr>
          <w:p w:rsidR="002C1262" w:rsidRPr="0068094B" w:rsidRDefault="002C1262" w:rsidP="00846255">
            <w:pPr>
              <w:pStyle w:val="BodyTextIndent"/>
              <w:snapToGrid w:val="0"/>
              <w:ind w:left="0"/>
              <w:jc w:val="right"/>
              <w:rPr>
                <w:rFonts w:asciiTheme="minorHAnsi" w:hAnsiTheme="minorHAnsi" w:cstheme="minorHAnsi"/>
                <w:b/>
                <w:sz w:val="22"/>
                <w:szCs w:val="22"/>
              </w:rPr>
            </w:pPr>
          </w:p>
        </w:tc>
        <w:tc>
          <w:tcPr>
            <w:tcW w:w="1749" w:type="dxa"/>
            <w:tcBorders>
              <w:top w:val="single" w:sz="4" w:space="0" w:color="auto"/>
            </w:tcBorders>
            <w:vAlign w:val="center"/>
          </w:tcPr>
          <w:p w:rsidR="002C1262" w:rsidRPr="0068094B" w:rsidRDefault="00A25D72" w:rsidP="002C5536">
            <w:pPr>
              <w:pStyle w:val="BodyTextIndent"/>
              <w:snapToGrid w:val="0"/>
              <w:ind w:left="0"/>
              <w:jc w:val="right"/>
              <w:rPr>
                <w:rFonts w:asciiTheme="minorHAnsi" w:hAnsiTheme="minorHAnsi" w:cstheme="minorHAnsi"/>
                <w:b/>
                <w:sz w:val="22"/>
                <w:szCs w:val="22"/>
              </w:rPr>
            </w:pPr>
            <w:r>
              <w:rPr>
                <w:rFonts w:asciiTheme="minorHAnsi" w:hAnsiTheme="minorHAnsi" w:cstheme="minorHAnsi"/>
                <w:b/>
                <w:sz w:val="22"/>
                <w:szCs w:val="22"/>
              </w:rPr>
              <w:t>56,252.1</w:t>
            </w:r>
          </w:p>
        </w:tc>
      </w:tr>
      <w:tr w:rsidR="002C1262" w:rsidRPr="0068094B" w:rsidTr="002C1262">
        <w:tc>
          <w:tcPr>
            <w:tcW w:w="3543" w:type="dxa"/>
            <w:gridSpan w:val="2"/>
          </w:tcPr>
          <w:p w:rsidR="002C1262" w:rsidRPr="0068094B" w:rsidRDefault="002C1262">
            <w:pPr>
              <w:pStyle w:val="BodyTextIndent"/>
              <w:snapToGrid w:val="0"/>
              <w:ind w:left="0"/>
              <w:rPr>
                <w:rFonts w:asciiTheme="minorHAnsi" w:hAnsiTheme="minorHAnsi" w:cstheme="minorHAnsi"/>
                <w:sz w:val="22"/>
                <w:szCs w:val="22"/>
              </w:rPr>
            </w:pPr>
          </w:p>
        </w:tc>
        <w:tc>
          <w:tcPr>
            <w:tcW w:w="284" w:type="dxa"/>
            <w:vAlign w:val="center"/>
          </w:tcPr>
          <w:p w:rsidR="002C1262" w:rsidRPr="0068094B" w:rsidRDefault="002C1262">
            <w:pPr>
              <w:pStyle w:val="BodyTextIndent"/>
              <w:snapToGrid w:val="0"/>
              <w:ind w:left="0"/>
              <w:jc w:val="center"/>
              <w:rPr>
                <w:rFonts w:asciiTheme="minorHAnsi" w:hAnsiTheme="minorHAnsi" w:cstheme="minorHAnsi"/>
                <w:sz w:val="22"/>
                <w:szCs w:val="22"/>
              </w:rPr>
            </w:pPr>
          </w:p>
        </w:tc>
        <w:tc>
          <w:tcPr>
            <w:tcW w:w="1276" w:type="dxa"/>
          </w:tcPr>
          <w:p w:rsidR="002C1262" w:rsidRPr="0068094B" w:rsidRDefault="002C1262">
            <w:pPr>
              <w:pStyle w:val="BodyTextIndent"/>
              <w:snapToGrid w:val="0"/>
              <w:ind w:left="0"/>
              <w:jc w:val="right"/>
              <w:rPr>
                <w:rFonts w:asciiTheme="minorHAnsi" w:hAnsiTheme="minorHAnsi" w:cstheme="minorHAnsi"/>
                <w:sz w:val="22"/>
                <w:szCs w:val="22"/>
              </w:rPr>
            </w:pPr>
          </w:p>
        </w:tc>
        <w:tc>
          <w:tcPr>
            <w:tcW w:w="1559" w:type="dxa"/>
          </w:tcPr>
          <w:p w:rsidR="002C1262" w:rsidRPr="0068094B" w:rsidRDefault="002C1262">
            <w:pPr>
              <w:pStyle w:val="BodyTextIndent"/>
              <w:snapToGrid w:val="0"/>
              <w:ind w:left="0"/>
              <w:jc w:val="right"/>
              <w:rPr>
                <w:rFonts w:asciiTheme="minorHAnsi" w:hAnsiTheme="minorHAnsi" w:cstheme="minorHAnsi"/>
                <w:sz w:val="22"/>
                <w:szCs w:val="22"/>
              </w:rPr>
            </w:pPr>
          </w:p>
        </w:tc>
        <w:tc>
          <w:tcPr>
            <w:tcW w:w="1749" w:type="dxa"/>
          </w:tcPr>
          <w:p w:rsidR="002C1262" w:rsidRPr="0068094B" w:rsidRDefault="002C1262">
            <w:pPr>
              <w:pStyle w:val="BodyTextIndent"/>
              <w:snapToGrid w:val="0"/>
              <w:ind w:left="0"/>
              <w:jc w:val="right"/>
              <w:rPr>
                <w:rFonts w:asciiTheme="minorHAnsi" w:hAnsiTheme="minorHAnsi" w:cstheme="minorHAnsi"/>
                <w:b/>
                <w:bCs/>
                <w:sz w:val="22"/>
                <w:szCs w:val="22"/>
              </w:rPr>
            </w:pPr>
          </w:p>
        </w:tc>
      </w:tr>
      <w:tr w:rsidR="002C1262" w:rsidRPr="0068094B">
        <w:tc>
          <w:tcPr>
            <w:tcW w:w="6662" w:type="dxa"/>
            <w:gridSpan w:val="5"/>
          </w:tcPr>
          <w:p w:rsidR="002C1262" w:rsidRPr="0068094B" w:rsidRDefault="002C1262" w:rsidP="004140AA">
            <w:pPr>
              <w:pStyle w:val="BodyTextIndent"/>
              <w:snapToGrid w:val="0"/>
              <w:ind w:left="0"/>
              <w:jc w:val="left"/>
              <w:rPr>
                <w:rFonts w:asciiTheme="minorHAnsi" w:hAnsiTheme="minorHAnsi" w:cstheme="minorHAnsi"/>
                <w:sz w:val="22"/>
                <w:szCs w:val="22"/>
                <w:u w:val="single"/>
              </w:rPr>
            </w:pPr>
            <w:r w:rsidRPr="0068094B">
              <w:rPr>
                <w:rFonts w:asciiTheme="minorHAnsi" w:hAnsiTheme="minorHAnsi" w:cstheme="minorHAnsi"/>
                <w:sz w:val="22"/>
                <w:szCs w:val="22"/>
                <w:u w:val="single"/>
              </w:rPr>
              <w:t>Adjustments required as per Regulatio</w:t>
            </w:r>
            <w:r w:rsidR="004140AA">
              <w:rPr>
                <w:rFonts w:asciiTheme="minorHAnsi" w:hAnsiTheme="minorHAnsi" w:cstheme="minorHAnsi"/>
                <w:sz w:val="22"/>
                <w:szCs w:val="22"/>
                <w:u w:val="single"/>
              </w:rPr>
              <w:t>ns</w:t>
            </w:r>
          </w:p>
        </w:tc>
        <w:tc>
          <w:tcPr>
            <w:tcW w:w="1749" w:type="dxa"/>
          </w:tcPr>
          <w:p w:rsidR="002C1262" w:rsidRPr="0068094B" w:rsidRDefault="002C1262">
            <w:pPr>
              <w:pStyle w:val="BodyTextIndent"/>
              <w:snapToGrid w:val="0"/>
              <w:ind w:left="0"/>
              <w:jc w:val="right"/>
              <w:rPr>
                <w:rFonts w:asciiTheme="minorHAnsi" w:hAnsiTheme="minorHAnsi" w:cstheme="minorHAnsi"/>
                <w:b/>
                <w:bCs/>
                <w:sz w:val="22"/>
                <w:szCs w:val="22"/>
              </w:rPr>
            </w:pPr>
          </w:p>
        </w:tc>
      </w:tr>
      <w:tr w:rsidR="002C1262" w:rsidRPr="0068094B" w:rsidTr="009F3B70">
        <w:tc>
          <w:tcPr>
            <w:tcW w:w="2268" w:type="dxa"/>
          </w:tcPr>
          <w:p w:rsidR="002C1262" w:rsidRPr="0068094B" w:rsidRDefault="002C1262">
            <w:pPr>
              <w:pStyle w:val="BodyTextIndent"/>
              <w:snapToGrid w:val="0"/>
              <w:ind w:left="0"/>
              <w:rPr>
                <w:rFonts w:asciiTheme="minorHAnsi" w:hAnsiTheme="minorHAnsi" w:cstheme="minorHAnsi"/>
                <w:sz w:val="22"/>
                <w:szCs w:val="22"/>
              </w:rPr>
            </w:pPr>
          </w:p>
        </w:tc>
        <w:tc>
          <w:tcPr>
            <w:tcW w:w="1559" w:type="dxa"/>
            <w:gridSpan w:val="2"/>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276"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shd w:val="clear" w:color="auto" w:fill="FFFFFF" w:themeFill="background1"/>
          </w:tcPr>
          <w:p w:rsidR="002C1262" w:rsidRPr="0068094B" w:rsidRDefault="002C1262">
            <w:pPr>
              <w:pStyle w:val="BodyTextIndent"/>
              <w:snapToGrid w:val="0"/>
              <w:ind w:left="0"/>
              <w:jc w:val="right"/>
              <w:rPr>
                <w:rFonts w:asciiTheme="minorHAnsi" w:hAnsiTheme="minorHAnsi" w:cstheme="minorHAnsi"/>
                <w:b/>
                <w:bCs/>
                <w:color w:val="000000" w:themeColor="text1"/>
                <w:sz w:val="22"/>
                <w:szCs w:val="22"/>
              </w:rPr>
            </w:pPr>
          </w:p>
        </w:tc>
      </w:tr>
      <w:tr w:rsidR="002C1262" w:rsidRPr="0068094B" w:rsidTr="009136A4">
        <w:trPr>
          <w:trHeight w:val="289"/>
        </w:trPr>
        <w:tc>
          <w:tcPr>
            <w:tcW w:w="3827" w:type="dxa"/>
            <w:gridSpan w:val="3"/>
            <w:vAlign w:val="center"/>
          </w:tcPr>
          <w:p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Classes A &amp; B (Second homes)</w:t>
            </w:r>
          </w:p>
        </w:tc>
        <w:tc>
          <w:tcPr>
            <w:tcW w:w="1276"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shd w:val="clear" w:color="auto" w:fill="FFFFFF" w:themeFill="background1"/>
            <w:vAlign w:val="center"/>
          </w:tcPr>
          <w:p w:rsidR="002C1262" w:rsidRPr="0068094B" w:rsidRDefault="00A25D72" w:rsidP="00846255">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1,729.6</w:t>
            </w:r>
          </w:p>
        </w:tc>
      </w:tr>
      <w:tr w:rsidR="002C1262" w:rsidRPr="0068094B" w:rsidTr="009136A4">
        <w:trPr>
          <w:trHeight w:val="289"/>
        </w:trPr>
        <w:tc>
          <w:tcPr>
            <w:tcW w:w="3827" w:type="dxa"/>
            <w:gridSpan w:val="3"/>
            <w:vAlign w:val="center"/>
          </w:tcPr>
          <w:p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Class C (Exempt properties)</w:t>
            </w:r>
          </w:p>
        </w:tc>
        <w:tc>
          <w:tcPr>
            <w:tcW w:w="1276"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shd w:val="clear" w:color="auto" w:fill="FFFFFF" w:themeFill="background1"/>
            <w:vAlign w:val="center"/>
          </w:tcPr>
          <w:p w:rsidR="002C1262" w:rsidRPr="0068094B" w:rsidRDefault="00A25D72" w:rsidP="00846255">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89.6</w:t>
            </w:r>
          </w:p>
        </w:tc>
      </w:tr>
      <w:tr w:rsidR="002C1262" w:rsidRPr="0068094B" w:rsidTr="009136A4">
        <w:trPr>
          <w:trHeight w:val="289"/>
        </w:trPr>
        <w:tc>
          <w:tcPr>
            <w:tcW w:w="5103" w:type="dxa"/>
            <w:gridSpan w:val="4"/>
            <w:vAlign w:val="center"/>
          </w:tcPr>
          <w:p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Tax base reduction for Council tax support</w:t>
            </w:r>
          </w:p>
        </w:tc>
        <w:tc>
          <w:tcPr>
            <w:tcW w:w="1559"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tcBorders>
              <w:bottom w:val="single" w:sz="4" w:space="0" w:color="000000"/>
            </w:tcBorders>
            <w:shd w:val="clear" w:color="auto" w:fill="FFFFFF" w:themeFill="background1"/>
            <w:vAlign w:val="center"/>
          </w:tcPr>
          <w:p w:rsidR="002C1262" w:rsidRPr="0068094B" w:rsidRDefault="00A25D72" w:rsidP="00422723">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(4,192.9)</w:t>
            </w:r>
          </w:p>
        </w:tc>
      </w:tr>
      <w:tr w:rsidR="002C1262" w:rsidRPr="0068094B" w:rsidTr="00F07106">
        <w:trPr>
          <w:trHeight w:val="420"/>
        </w:trPr>
        <w:tc>
          <w:tcPr>
            <w:tcW w:w="2268" w:type="dxa"/>
            <w:vAlign w:val="center"/>
          </w:tcPr>
          <w:p w:rsidR="002C1262" w:rsidRPr="0068094B" w:rsidRDefault="002C1262">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b/>
                <w:bCs/>
                <w:sz w:val="22"/>
                <w:szCs w:val="22"/>
              </w:rPr>
              <w:t>Tax Base</w:t>
            </w:r>
          </w:p>
        </w:tc>
        <w:tc>
          <w:tcPr>
            <w:tcW w:w="1559" w:type="dxa"/>
            <w:gridSpan w:val="2"/>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276"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shd w:val="clear" w:color="auto" w:fill="FFFFFF" w:themeFill="background1"/>
            <w:vAlign w:val="center"/>
          </w:tcPr>
          <w:p w:rsidR="002C1262" w:rsidRPr="0068094B" w:rsidRDefault="00A25D72" w:rsidP="00552BAF">
            <w:pPr>
              <w:pStyle w:val="BodyTextIndent"/>
              <w:snapToGrid w:val="0"/>
              <w:ind w:left="0"/>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53,878.40</w:t>
            </w:r>
          </w:p>
        </w:tc>
      </w:tr>
      <w:tr w:rsidR="002C1262" w:rsidRPr="0068094B" w:rsidTr="002C5536">
        <w:trPr>
          <w:trHeight w:val="420"/>
        </w:trPr>
        <w:tc>
          <w:tcPr>
            <w:tcW w:w="6662" w:type="dxa"/>
            <w:gridSpan w:val="5"/>
            <w:vAlign w:val="center"/>
          </w:tcPr>
          <w:p w:rsidR="002C1262" w:rsidRPr="0068094B" w:rsidRDefault="002C1262" w:rsidP="002C1262">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b/>
                <w:bCs/>
                <w:sz w:val="22"/>
                <w:szCs w:val="22"/>
              </w:rPr>
              <w:t>Adjusted for assumed collection rate of 99%</w:t>
            </w:r>
          </w:p>
        </w:tc>
        <w:tc>
          <w:tcPr>
            <w:tcW w:w="1749" w:type="dxa"/>
            <w:shd w:val="clear" w:color="auto" w:fill="FFFFFF" w:themeFill="background1"/>
            <w:vAlign w:val="center"/>
          </w:tcPr>
          <w:p w:rsidR="002C1262" w:rsidRPr="0068094B" w:rsidRDefault="00A25D72" w:rsidP="00846255">
            <w:pPr>
              <w:pStyle w:val="BodyTextIndent"/>
              <w:snapToGrid w:val="0"/>
              <w:ind w:left="0"/>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53,339.60</w:t>
            </w:r>
          </w:p>
        </w:tc>
      </w:tr>
    </w:tbl>
    <w:p w:rsidR="00CF5D6F" w:rsidRPr="0068094B" w:rsidRDefault="00CF5D6F" w:rsidP="005807EF">
      <w:pPr>
        <w:pStyle w:val="BodyTextIndent"/>
        <w:ind w:left="426"/>
        <w:jc w:val="left"/>
        <w:rPr>
          <w:rFonts w:asciiTheme="minorHAnsi" w:hAnsiTheme="minorHAnsi" w:cstheme="minorHAnsi"/>
          <w:sz w:val="22"/>
          <w:szCs w:val="22"/>
        </w:rPr>
      </w:pPr>
    </w:p>
    <w:p w:rsidR="00BC6E2A" w:rsidRPr="0068094B" w:rsidRDefault="00BC6E2A" w:rsidP="005807EF">
      <w:pPr>
        <w:pStyle w:val="BodyTextIndent"/>
        <w:ind w:left="426"/>
        <w:jc w:val="left"/>
        <w:rPr>
          <w:rFonts w:asciiTheme="minorHAnsi" w:hAnsiTheme="minorHAnsi" w:cstheme="minorHAnsi"/>
          <w:sz w:val="22"/>
          <w:szCs w:val="22"/>
        </w:rPr>
      </w:pPr>
    </w:p>
    <w:p w:rsidR="00BC6E2A" w:rsidRPr="0068094B" w:rsidRDefault="005807EF" w:rsidP="005807EF">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The surplus or deficit on the Collection Fund </w:t>
      </w:r>
      <w:r w:rsidR="00D26AC8" w:rsidRPr="0068094B">
        <w:rPr>
          <w:rFonts w:asciiTheme="minorHAnsi" w:hAnsiTheme="minorHAnsi" w:cstheme="minorHAnsi"/>
          <w:sz w:val="22"/>
          <w:szCs w:val="22"/>
        </w:rPr>
        <w:t xml:space="preserve">for </w:t>
      </w:r>
      <w:r w:rsidR="00E16274" w:rsidRPr="0068094B">
        <w:rPr>
          <w:rFonts w:asciiTheme="minorHAnsi" w:hAnsiTheme="minorHAnsi" w:cstheme="minorHAnsi"/>
          <w:sz w:val="22"/>
          <w:szCs w:val="22"/>
        </w:rPr>
        <w:t>Council</w:t>
      </w:r>
      <w:r w:rsidR="00D26AC8" w:rsidRPr="0068094B">
        <w:rPr>
          <w:rFonts w:asciiTheme="minorHAnsi" w:hAnsiTheme="minorHAnsi" w:cstheme="minorHAnsi"/>
          <w:sz w:val="22"/>
          <w:szCs w:val="22"/>
        </w:rPr>
        <w:t xml:space="preserve"> tax </w:t>
      </w:r>
      <w:r w:rsidRPr="0068094B">
        <w:rPr>
          <w:rFonts w:asciiTheme="minorHAnsi" w:hAnsiTheme="minorHAnsi" w:cstheme="minorHAnsi"/>
          <w:sz w:val="22"/>
          <w:szCs w:val="22"/>
        </w:rPr>
        <w:t xml:space="preserve">at the end of the year is required to be distributed to or made good by contributions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and The Police and Crime Commissioner for Sussex </w:t>
      </w:r>
      <w:r w:rsidR="00D26AC8" w:rsidRPr="0068094B">
        <w:rPr>
          <w:rFonts w:asciiTheme="minorHAnsi" w:hAnsiTheme="minorHAnsi" w:cstheme="minorHAnsi"/>
          <w:sz w:val="22"/>
          <w:szCs w:val="22"/>
        </w:rPr>
        <w:t>in a subsequent financial year</w:t>
      </w:r>
      <w:r w:rsidR="00FF03A2" w:rsidRPr="0068094B">
        <w:rPr>
          <w:rFonts w:asciiTheme="minorHAnsi" w:hAnsiTheme="minorHAnsi" w:cstheme="minorHAnsi"/>
          <w:sz w:val="22"/>
          <w:szCs w:val="22"/>
        </w:rPr>
        <w:t>.</w:t>
      </w:r>
    </w:p>
    <w:p w:rsidR="001B5347" w:rsidRPr="0068094B" w:rsidRDefault="001B5347" w:rsidP="005807EF">
      <w:pPr>
        <w:pStyle w:val="BodyTextIndent"/>
        <w:ind w:left="426"/>
        <w:jc w:val="left"/>
        <w:rPr>
          <w:rFonts w:asciiTheme="minorHAnsi" w:hAnsiTheme="minorHAnsi" w:cstheme="minorHAnsi"/>
          <w:sz w:val="22"/>
          <w:szCs w:val="22"/>
        </w:rPr>
      </w:pPr>
    </w:p>
    <w:p w:rsidR="001B5347" w:rsidRPr="0068094B" w:rsidRDefault="001B5347" w:rsidP="005807EF">
      <w:pPr>
        <w:pStyle w:val="BodyTextIndent"/>
        <w:ind w:left="426"/>
        <w:jc w:val="left"/>
        <w:rPr>
          <w:rFonts w:asciiTheme="minorHAnsi" w:hAnsiTheme="minorHAnsi" w:cstheme="minorHAnsi"/>
          <w:sz w:val="22"/>
          <w:szCs w:val="22"/>
        </w:rPr>
      </w:pPr>
    </w:p>
    <w:p w:rsidR="003D2620" w:rsidRPr="0068094B" w:rsidRDefault="003D2620">
      <w:pPr>
        <w:widowControl/>
        <w:suppressAutoHyphens w:val="0"/>
        <w:rPr>
          <w:rFonts w:asciiTheme="minorHAnsi" w:hAnsiTheme="minorHAnsi" w:cstheme="minorHAnsi"/>
          <w:sz w:val="22"/>
          <w:szCs w:val="22"/>
        </w:rPr>
      </w:pPr>
      <w:r w:rsidRPr="0068094B">
        <w:rPr>
          <w:rFonts w:asciiTheme="minorHAnsi" w:hAnsiTheme="minorHAnsi" w:cstheme="minorHAnsi"/>
          <w:sz w:val="22"/>
          <w:szCs w:val="22"/>
        </w:rPr>
        <w:br w:type="page"/>
      </w:r>
    </w:p>
    <w:p w:rsidR="00183652" w:rsidRPr="00C84EDC" w:rsidRDefault="00EF6CEB" w:rsidP="00C84EDC">
      <w:pPr>
        <w:tabs>
          <w:tab w:val="left" w:pos="240"/>
          <w:tab w:val="left" w:pos="540"/>
          <w:tab w:val="left" w:pos="7110"/>
          <w:tab w:val="left" w:pos="7650"/>
          <w:tab w:val="left" w:pos="8550"/>
        </w:tabs>
        <w:spacing w:after="840"/>
        <w:rPr>
          <w:rFonts w:asciiTheme="minorHAnsi" w:hAnsiTheme="minorHAnsi" w:cstheme="minorHAnsi"/>
          <w:b/>
          <w:iCs/>
          <w:szCs w:val="24"/>
        </w:rPr>
      </w:pPr>
      <w:r w:rsidRPr="00576433">
        <w:rPr>
          <w:rFonts w:asciiTheme="minorHAnsi" w:hAnsiTheme="minorHAnsi" w:cstheme="minorHAnsi"/>
          <w:b/>
          <w:iCs/>
          <w:szCs w:val="24"/>
        </w:rPr>
        <w:lastRenderedPageBreak/>
        <w:t>Glossary of Terms</w:t>
      </w: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Accrual</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This concept recognises income and expenditure as it is earned or incurred, not as the money is received or paid.</w:t>
      </w:r>
    </w:p>
    <w:p w:rsidR="00183652" w:rsidRPr="0068094B" w:rsidRDefault="00183652">
      <w:pPr>
        <w:autoSpaceDE w:val="0"/>
        <w:rPr>
          <w:rFonts w:asciiTheme="minorHAnsi" w:hAnsiTheme="minorHAnsi" w:cstheme="minorHAnsi"/>
          <w:b/>
          <w:bCs/>
          <w:sz w:val="22"/>
          <w:szCs w:val="22"/>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Asset</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An object tangible or intangible, that is of value to its owner. Tangible assets include land and buildings, plant and machinery, and fixtures and fittings.  Intangible assets include goodwill, computer software licenses, copyright and patents</w:t>
      </w:r>
      <w:r w:rsidR="00F11364">
        <w:rPr>
          <w:rFonts w:asciiTheme="minorHAnsi" w:hAnsiTheme="minorHAnsi" w:cstheme="minorHAnsi"/>
          <w:sz w:val="22"/>
          <w:szCs w:val="22"/>
        </w:rPr>
        <w:t>.</w:t>
      </w:r>
    </w:p>
    <w:p w:rsidR="00183652" w:rsidRPr="0068094B" w:rsidRDefault="00183652">
      <w:pPr>
        <w:autoSpaceDE w:val="0"/>
        <w:rPr>
          <w:rFonts w:asciiTheme="minorHAnsi" w:hAnsiTheme="minorHAnsi" w:cstheme="minorHAnsi"/>
          <w:b/>
          <w:bCs/>
          <w:sz w:val="22"/>
          <w:szCs w:val="22"/>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Ac</w:t>
      </w:r>
      <w:r w:rsidR="00795556" w:rsidRPr="0068094B">
        <w:rPr>
          <w:rFonts w:asciiTheme="minorHAnsi" w:hAnsiTheme="minorHAnsi" w:cstheme="minorHAnsi"/>
          <w:b/>
          <w:bCs/>
          <w:sz w:val="22"/>
          <w:szCs w:val="22"/>
        </w:rPr>
        <w:t xml:space="preserve">tuarial Gains &amp; Losses </w:t>
      </w:r>
      <w:r w:rsidR="00E2432C" w:rsidRPr="0068094B">
        <w:rPr>
          <w:rFonts w:asciiTheme="minorHAnsi" w:hAnsiTheme="minorHAnsi" w:cstheme="minorHAnsi"/>
          <w:b/>
          <w:bCs/>
          <w:sz w:val="22"/>
          <w:szCs w:val="22"/>
        </w:rPr>
        <w:t xml:space="preserve">Re-measurement of Net Defined Benefit Liability </w:t>
      </w:r>
      <w:r w:rsidR="00795556" w:rsidRPr="0068094B">
        <w:rPr>
          <w:rFonts w:asciiTheme="minorHAnsi" w:hAnsiTheme="minorHAnsi" w:cstheme="minorHAnsi"/>
          <w:b/>
          <w:bCs/>
          <w:sz w:val="22"/>
          <w:szCs w:val="22"/>
        </w:rPr>
        <w:t>(Pension</w:t>
      </w:r>
      <w:r w:rsidRPr="0068094B">
        <w:rPr>
          <w:rFonts w:asciiTheme="minorHAnsi" w:hAnsiTheme="minorHAnsi" w:cstheme="minorHAnsi"/>
          <w:b/>
          <w:bCs/>
          <w:sz w:val="22"/>
          <w:szCs w:val="22"/>
        </w:rPr>
        <w:t>)</w:t>
      </w:r>
    </w:p>
    <w:p w:rsidR="00010722" w:rsidRPr="0068094B" w:rsidRDefault="00010722">
      <w:pPr>
        <w:autoSpaceDE w:val="0"/>
        <w:rPr>
          <w:rFonts w:asciiTheme="minorHAnsi" w:hAnsiTheme="minorHAnsi" w:cstheme="minorHAnsi"/>
          <w:sz w:val="22"/>
          <w:szCs w:val="22"/>
        </w:rPr>
      </w:pPr>
      <w:r w:rsidRPr="0068094B">
        <w:rPr>
          <w:rFonts w:asciiTheme="minorHAnsi" w:hAnsiTheme="minorHAnsi" w:cstheme="minorHAnsi"/>
          <w:sz w:val="22"/>
          <w:szCs w:val="22"/>
        </w:rPr>
        <w:t xml:space="preserve">Actuaries assess financial and non-financial information provided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to project levels of future pension fund requirements</w:t>
      </w:r>
      <w:r w:rsidR="00CC19EE" w:rsidRPr="0068094B">
        <w:rPr>
          <w:rFonts w:asciiTheme="minorHAnsi" w:hAnsiTheme="minorHAnsi" w:cstheme="minorHAnsi"/>
          <w:sz w:val="22"/>
          <w:szCs w:val="22"/>
        </w:rPr>
        <w:t>.  Changes in actuarial surpluses or deficits can arise leading to a loss or a gain due to</w:t>
      </w:r>
      <w:r w:rsidR="00F11364">
        <w:rPr>
          <w:rFonts w:asciiTheme="minorHAnsi" w:hAnsiTheme="minorHAnsi" w:cstheme="minorHAnsi"/>
          <w:sz w:val="22"/>
          <w:szCs w:val="22"/>
        </w:rPr>
        <w:t>:</w:t>
      </w:r>
    </w:p>
    <w:p w:rsidR="00010722" w:rsidRPr="0068094B" w:rsidRDefault="00010722">
      <w:pPr>
        <w:autoSpaceDE w:val="0"/>
        <w:rPr>
          <w:rFonts w:asciiTheme="minorHAnsi" w:hAnsiTheme="minorHAnsi" w:cstheme="minorHAnsi"/>
          <w:sz w:val="22"/>
          <w:szCs w:val="22"/>
        </w:rPr>
      </w:pPr>
    </w:p>
    <w:p w:rsidR="00183652" w:rsidRPr="0068094B" w:rsidRDefault="00CC19EE" w:rsidP="007D7B32">
      <w:pPr>
        <w:numPr>
          <w:ilvl w:val="0"/>
          <w:numId w:val="29"/>
        </w:numPr>
        <w:autoSpaceDE w:val="0"/>
        <w:rPr>
          <w:rFonts w:asciiTheme="minorHAnsi" w:hAnsiTheme="minorHAnsi" w:cstheme="minorHAnsi"/>
          <w:sz w:val="22"/>
          <w:szCs w:val="22"/>
        </w:rPr>
      </w:pPr>
      <w:r w:rsidRPr="0068094B">
        <w:rPr>
          <w:rFonts w:asciiTheme="minorHAnsi" w:hAnsiTheme="minorHAnsi" w:cstheme="minorHAnsi"/>
          <w:sz w:val="22"/>
          <w:szCs w:val="22"/>
        </w:rPr>
        <w:t xml:space="preserve">events have not coincided with the actuarial assumptions made for the last valuation </w:t>
      </w:r>
    </w:p>
    <w:p w:rsidR="00183652" w:rsidRPr="0068094B" w:rsidRDefault="00CC19EE" w:rsidP="007D7B32">
      <w:pPr>
        <w:numPr>
          <w:ilvl w:val="0"/>
          <w:numId w:val="29"/>
        </w:numPr>
        <w:autoSpaceDE w:val="0"/>
        <w:rPr>
          <w:rFonts w:asciiTheme="minorHAnsi" w:hAnsiTheme="minorHAnsi" w:cstheme="minorHAnsi"/>
          <w:sz w:val="22"/>
          <w:szCs w:val="22"/>
        </w:rPr>
      </w:pPr>
      <w:r w:rsidRPr="0068094B">
        <w:rPr>
          <w:rFonts w:asciiTheme="minorHAnsi" w:hAnsiTheme="minorHAnsi" w:cstheme="minorHAnsi"/>
          <w:sz w:val="22"/>
          <w:szCs w:val="22"/>
        </w:rPr>
        <w:t>the</w:t>
      </w:r>
      <w:r w:rsidR="004A6511" w:rsidRPr="0068094B">
        <w:rPr>
          <w:rFonts w:asciiTheme="minorHAnsi" w:hAnsiTheme="minorHAnsi" w:cstheme="minorHAnsi"/>
          <w:sz w:val="22"/>
          <w:szCs w:val="22"/>
        </w:rPr>
        <w:t xml:space="preserve"> actuarial assumptions</w:t>
      </w:r>
      <w:r w:rsidRPr="0068094B">
        <w:rPr>
          <w:rFonts w:asciiTheme="minorHAnsi" w:hAnsiTheme="minorHAnsi" w:cstheme="minorHAnsi"/>
          <w:sz w:val="22"/>
          <w:szCs w:val="22"/>
        </w:rPr>
        <w:t xml:space="preserve"> have changed</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rsidR="00E2432C" w:rsidRPr="0068094B"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Agency Services</w:t>
      </w:r>
    </w:p>
    <w:p w:rsidR="00E2432C" w:rsidRPr="0068094B" w:rsidRDefault="00E2432C">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These are services that are performed by or for another Authority of public body where the principal (the Authority responsible for the service) reimburses the Agent (the Authority carry out the work) for the costs of the work.</w:t>
      </w:r>
    </w:p>
    <w:p w:rsidR="00E2432C" w:rsidRPr="0068094B"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p>
    <w:p w:rsidR="00DD7160" w:rsidRPr="0068094B"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Appointed Auditors</w:t>
      </w:r>
    </w:p>
    <w:p w:rsidR="00DD7160" w:rsidRPr="0068094B" w:rsidRDefault="002C1262">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Public Sector Audit Appointments Ltd is regulates the appointment of</w:t>
      </w:r>
      <w:r w:rsidR="00DD7160" w:rsidRPr="0068094B">
        <w:rPr>
          <w:rFonts w:asciiTheme="minorHAnsi" w:hAnsiTheme="minorHAnsi" w:cstheme="minorHAnsi"/>
          <w:sz w:val="22"/>
          <w:szCs w:val="22"/>
        </w:rPr>
        <w:t xml:space="preserve"> external auditors to every local authority from one of the major firms of registered auditors. Ernst </w:t>
      </w:r>
      <w:r w:rsidRPr="0068094B">
        <w:rPr>
          <w:rFonts w:asciiTheme="minorHAnsi" w:hAnsiTheme="minorHAnsi" w:cstheme="minorHAnsi"/>
          <w:sz w:val="22"/>
          <w:szCs w:val="22"/>
        </w:rPr>
        <w:t xml:space="preserve">&amp; </w:t>
      </w:r>
      <w:r w:rsidR="00DD7160" w:rsidRPr="0068094B">
        <w:rPr>
          <w:rFonts w:asciiTheme="minorHAnsi" w:hAnsiTheme="minorHAnsi" w:cstheme="minorHAnsi"/>
          <w:sz w:val="22"/>
          <w:szCs w:val="22"/>
        </w:rPr>
        <w:t xml:space="preserve">Young LLP is the </w:t>
      </w:r>
      <w:r w:rsidR="00E16274" w:rsidRPr="0068094B">
        <w:rPr>
          <w:rFonts w:asciiTheme="minorHAnsi" w:hAnsiTheme="minorHAnsi" w:cstheme="minorHAnsi"/>
          <w:sz w:val="22"/>
          <w:szCs w:val="22"/>
        </w:rPr>
        <w:t>Council</w:t>
      </w:r>
      <w:r w:rsidR="00DD7160" w:rsidRPr="0068094B">
        <w:rPr>
          <w:rFonts w:asciiTheme="minorHAnsi" w:hAnsiTheme="minorHAnsi" w:cstheme="minorHAnsi"/>
          <w:sz w:val="22"/>
          <w:szCs w:val="22"/>
        </w:rPr>
        <w:t xml:space="preserve">’s appointed Auditor. </w:t>
      </w:r>
    </w:p>
    <w:p w:rsidR="00DD7160" w:rsidRPr="0068094B"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Billing Authority</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The local authority responsible for administering the collection fund.  In shire areas the District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the billing authority.</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Expenditure</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Expenditure on the acquisition or construction of non-current assets or expenditure that adds to and not merely maintains the value of an existing non-current asset that has a long-term value to the authority e.g. land and buildings.</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Capital Adjustment Account (CAA)</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A book-keeping reserve which forms part of the capital accounting system and is not available for use.  It represents amounts set aside from revenue resources or capital rece</w:t>
      </w:r>
      <w:r w:rsidR="00B37095" w:rsidRPr="0068094B">
        <w:rPr>
          <w:rFonts w:asciiTheme="minorHAnsi" w:hAnsiTheme="minorHAnsi" w:cstheme="minorHAnsi"/>
          <w:sz w:val="22"/>
          <w:szCs w:val="22"/>
        </w:rPr>
        <w:t>ipts to finance expenditure on non-current</w:t>
      </w:r>
      <w:r w:rsidRPr="0068094B">
        <w:rPr>
          <w:rFonts w:asciiTheme="minorHAnsi" w:hAnsiTheme="minorHAnsi" w:cstheme="minorHAnsi"/>
          <w:sz w:val="22"/>
          <w:szCs w:val="22"/>
        </w:rPr>
        <w:t xml:space="preserve"> assets or for the repayment of external loans.</w:t>
      </w:r>
    </w:p>
    <w:p w:rsidR="00183652" w:rsidRPr="0068094B" w:rsidRDefault="00183652">
      <w:pPr>
        <w:tabs>
          <w:tab w:val="left" w:pos="240"/>
          <w:tab w:val="left" w:pos="540"/>
          <w:tab w:val="left" w:pos="7110"/>
          <w:tab w:val="left" w:pos="7650"/>
          <w:tab w:val="left" w:pos="8550"/>
        </w:tabs>
        <w:ind w:right="-450"/>
        <w:jc w:val="both"/>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Programme</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The authority’s plan of capital projects and spending over future years.  Included in this category is the purchase of land and buildings, the construction of new buildings, design fees, and major items of equipment.</w:t>
      </w:r>
    </w:p>
    <w:p w:rsidR="00576433" w:rsidRPr="0068094B" w:rsidRDefault="00576433">
      <w:pPr>
        <w:tabs>
          <w:tab w:val="left" w:pos="240"/>
          <w:tab w:val="left" w:pos="540"/>
          <w:tab w:val="left" w:pos="7110"/>
          <w:tab w:val="left" w:pos="7650"/>
          <w:tab w:val="left" w:pos="8550"/>
        </w:tabs>
        <w:ind w:right="-450"/>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Receipts</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Income from the sale of land or buildings which can be (partially) used to finance new capital expenditure, or to repay outstanding debt on assets originally financed from loan.</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shd w:val="clear" w:color="auto" w:fill="FFFFFF"/>
        </w:rPr>
      </w:pPr>
      <w:r w:rsidRPr="0068094B">
        <w:rPr>
          <w:rFonts w:asciiTheme="minorHAnsi" w:hAnsiTheme="minorHAnsi" w:cstheme="minorHAnsi"/>
          <w:b/>
          <w:sz w:val="22"/>
          <w:szCs w:val="22"/>
          <w:shd w:val="clear" w:color="auto" w:fill="FFFFFF"/>
        </w:rPr>
        <w:t>Carrying Amount</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sz w:val="22"/>
          <w:szCs w:val="22"/>
        </w:rPr>
        <w:t>The cost or value less depreciation.</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CIPFA</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Chartered Institute of Public Finance and Accountancy</w:t>
      </w:r>
      <w:r w:rsidR="00ED5F7A">
        <w:rPr>
          <w:rFonts w:asciiTheme="minorHAnsi" w:hAnsiTheme="minorHAnsi" w:cstheme="minorHAnsi"/>
          <w:bCs/>
          <w:sz w:val="22"/>
          <w:szCs w:val="22"/>
        </w:rPr>
        <w:t>.</w:t>
      </w:r>
      <w:r w:rsidRPr="0068094B">
        <w:rPr>
          <w:rFonts w:asciiTheme="minorHAnsi" w:hAnsiTheme="minorHAnsi" w:cstheme="minorHAnsi"/>
          <w:bCs/>
          <w:sz w:val="22"/>
          <w:szCs w:val="22"/>
        </w:rPr>
        <w:t xml:space="preserve"> </w:t>
      </w:r>
    </w:p>
    <w:p w:rsidR="00654E9F" w:rsidRPr="0068094B" w:rsidRDefault="00654E9F">
      <w:pPr>
        <w:tabs>
          <w:tab w:val="left" w:pos="240"/>
          <w:tab w:val="left" w:pos="540"/>
          <w:tab w:val="left" w:pos="7110"/>
          <w:tab w:val="left" w:pos="7650"/>
          <w:tab w:val="left" w:pos="8550"/>
        </w:tabs>
        <w:ind w:right="-450"/>
        <w:rPr>
          <w:rFonts w:asciiTheme="minorHAnsi" w:hAnsiTheme="minorHAnsi" w:cstheme="minorHAnsi"/>
          <w:bCs/>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Community Assets</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 xml:space="preserve">Assets that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intend to hold in perpetuity, that have no determinable useful life and that may have restrictions on their disposal.</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rsidR="00183652" w:rsidRPr="0068094B" w:rsidRDefault="004A6511">
      <w:pPr>
        <w:pStyle w:val="BodyTextIndent"/>
        <w:ind w:left="0"/>
        <w:jc w:val="left"/>
        <w:rPr>
          <w:rFonts w:asciiTheme="minorHAnsi" w:hAnsiTheme="minorHAnsi" w:cstheme="minorHAnsi"/>
          <w:b/>
          <w:bCs/>
          <w:sz w:val="22"/>
          <w:szCs w:val="22"/>
        </w:rPr>
      </w:pPr>
      <w:r w:rsidRPr="0068094B">
        <w:rPr>
          <w:rFonts w:asciiTheme="minorHAnsi" w:hAnsiTheme="minorHAnsi" w:cstheme="minorHAnsi"/>
          <w:b/>
          <w:bCs/>
          <w:sz w:val="22"/>
          <w:szCs w:val="22"/>
        </w:rPr>
        <w:t>Contingent Liability</w:t>
      </w:r>
    </w:p>
    <w:p w:rsidR="00183652" w:rsidRPr="0068094B" w:rsidRDefault="004A6511">
      <w:pPr>
        <w:pStyle w:val="BodyTextIndent"/>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A liability that, at the balance sheet date, can be anticipated to arise if a particular event occurs.  A typical example is a court case pending against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outcome of which is uncertain, but if the judgement were to be awarded against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contingent liability would be required.</w:t>
      </w:r>
    </w:p>
    <w:p w:rsidR="00183652" w:rsidRPr="0068094B" w:rsidRDefault="004A6511">
      <w:pPr>
        <w:pStyle w:val="BodyTextIndent"/>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 </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b/>
          <w:bCs/>
          <w:sz w:val="22"/>
          <w:szCs w:val="22"/>
        </w:rPr>
        <w:t>Creditors</w:t>
      </w:r>
      <w:r w:rsidRPr="0068094B">
        <w:rPr>
          <w:rFonts w:asciiTheme="minorHAnsi" w:hAnsiTheme="minorHAnsi" w:cstheme="minorHAnsi"/>
          <w:sz w:val="22"/>
          <w:szCs w:val="22"/>
        </w:rPr>
        <w:t xml:space="preserve"> </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A creditor is an organisation, body or individual from whom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purchased goods or services but the payment for which has not been made.</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Current Service Cost</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The increase in the present value of the defined benefit obligation resulting from employee service in the current period.</w:t>
      </w:r>
    </w:p>
    <w:p w:rsidR="00183652" w:rsidRPr="0068094B" w:rsidRDefault="00183652">
      <w:pPr>
        <w:pStyle w:val="xl33"/>
        <w:widowControl w:val="0"/>
        <w:autoSpaceDE w:val="0"/>
        <w:spacing w:before="0" w:after="0"/>
        <w:rPr>
          <w:rFonts w:asciiTheme="minorHAnsi" w:eastAsia="Times New Roman" w:hAnsiTheme="minorHAnsi" w:cstheme="minorHAnsi"/>
          <w:sz w:val="22"/>
          <w:szCs w:val="22"/>
          <w:lang w:val="en-US"/>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Curtailment</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Curtailments show the cost of the early payment of pension benefits if any employee has been made redundant in the previous financial year.</w:t>
      </w:r>
    </w:p>
    <w:p w:rsidR="00183652" w:rsidRPr="0068094B" w:rsidRDefault="00183652">
      <w:pPr>
        <w:autoSpaceDE w:val="0"/>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Debtors</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Organisations, bodies or individuals who have received goods or services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for which the payment has not been received.</w:t>
      </w:r>
    </w:p>
    <w:p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autoSpaceDE w:val="0"/>
        <w:rPr>
          <w:rFonts w:asciiTheme="minorHAnsi" w:hAnsiTheme="minorHAnsi" w:cstheme="minorHAnsi"/>
          <w:bCs/>
          <w:sz w:val="22"/>
          <w:szCs w:val="22"/>
        </w:rPr>
      </w:pPr>
    </w:p>
    <w:p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Deferred Credit</w:t>
      </w:r>
    </w:p>
    <w:p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This is income that has been received before the period or periods to which it relates. The income is shown in the Balance Sheet.</w:t>
      </w:r>
    </w:p>
    <w:p w:rsidR="00183652" w:rsidRPr="0068094B" w:rsidRDefault="00183652">
      <w:pPr>
        <w:rPr>
          <w:rFonts w:asciiTheme="minorHAnsi" w:hAnsiTheme="minorHAnsi" w:cstheme="minorHAnsi"/>
          <w:sz w:val="22"/>
          <w:szCs w:val="22"/>
        </w:rPr>
      </w:pPr>
    </w:p>
    <w:p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Deficit</w:t>
      </w:r>
    </w:p>
    <w:p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A deficit will arise where expenditure exceeds income. A deficit can be financed by reserves. </w:t>
      </w:r>
    </w:p>
    <w:p w:rsidR="00183652" w:rsidRPr="0068094B" w:rsidRDefault="00183652">
      <w:pPr>
        <w:rPr>
          <w:rFonts w:asciiTheme="minorHAnsi" w:hAnsiTheme="minorHAnsi" w:cstheme="minorHAnsi"/>
          <w:b/>
          <w:bCs/>
          <w:sz w:val="22"/>
          <w:szCs w:val="22"/>
        </w:rPr>
      </w:pPr>
    </w:p>
    <w:p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Depreciation</w:t>
      </w:r>
    </w:p>
    <w:p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An annual charge made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revenue account to reduce the value of an asset held on the balance sheet over a period of years.</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Existing Use Value</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This is a method of valuing property that achieves a valuation based on the current use of the asset.</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bCs/>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Fair Value</w:t>
      </w:r>
    </w:p>
    <w:p w:rsidR="00183652" w:rsidRDefault="009F5739">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F</w:t>
      </w:r>
      <w:r w:rsidR="004A6511" w:rsidRPr="0068094B">
        <w:rPr>
          <w:rFonts w:asciiTheme="minorHAnsi" w:hAnsiTheme="minorHAnsi" w:cstheme="minorHAnsi"/>
          <w:bCs/>
          <w:sz w:val="22"/>
          <w:szCs w:val="22"/>
        </w:rPr>
        <w:t>air Value</w:t>
      </w:r>
      <w:r w:rsidRPr="0068094B">
        <w:rPr>
          <w:rFonts w:asciiTheme="minorHAnsi" w:hAnsiTheme="minorHAnsi" w:cstheme="minorHAnsi"/>
          <w:bCs/>
          <w:sz w:val="22"/>
          <w:szCs w:val="22"/>
        </w:rPr>
        <w:t xml:space="preserve"> is the amount for which an asset could be exchanged, or a liability settled, between knowledgeable, willing parties in an arms-length transaction</w:t>
      </w:r>
      <w:r w:rsidR="004A6511" w:rsidRPr="0068094B">
        <w:rPr>
          <w:rFonts w:asciiTheme="minorHAnsi" w:hAnsiTheme="minorHAnsi" w:cstheme="minorHAnsi"/>
          <w:bCs/>
          <w:sz w:val="22"/>
          <w:szCs w:val="22"/>
        </w:rPr>
        <w:t xml:space="preserve">. </w:t>
      </w:r>
      <w:r w:rsidRPr="0068094B">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For land and buildings it is the amount that would be paid for an asset in its existing use.</w:t>
      </w:r>
    </w:p>
    <w:p w:rsidR="00D350BC" w:rsidRPr="0068094B" w:rsidRDefault="00D350BC">
      <w:pPr>
        <w:tabs>
          <w:tab w:val="left" w:pos="240"/>
          <w:tab w:val="left" w:pos="540"/>
          <w:tab w:val="left" w:pos="7110"/>
          <w:tab w:val="left" w:pos="7650"/>
          <w:tab w:val="left" w:pos="8550"/>
        </w:tabs>
        <w:ind w:right="-450"/>
        <w:rPr>
          <w:rFonts w:asciiTheme="minorHAnsi" w:hAnsiTheme="minorHAnsi" w:cstheme="minorHAnsi"/>
          <w:bCs/>
          <w:sz w:val="22"/>
          <w:szCs w:val="22"/>
        </w:rPr>
      </w:pPr>
    </w:p>
    <w:p w:rsidR="0000588C" w:rsidRPr="0068094B" w:rsidRDefault="0000588C">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Finance Lease</w:t>
      </w:r>
    </w:p>
    <w:p w:rsidR="00183652" w:rsidRPr="0068094B" w:rsidRDefault="0000588C">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A finance lease is a lease that transfers substantially all of the risks and rewards of ownership of a fixed asset to the lessee. </w:t>
      </w:r>
    </w:p>
    <w:p w:rsidR="0000588C" w:rsidRDefault="0000588C">
      <w:pPr>
        <w:tabs>
          <w:tab w:val="left" w:pos="240"/>
          <w:tab w:val="left" w:pos="540"/>
          <w:tab w:val="left" w:pos="7110"/>
          <w:tab w:val="left" w:pos="7650"/>
          <w:tab w:val="left" w:pos="8550"/>
        </w:tabs>
        <w:ind w:right="-450"/>
        <w:rPr>
          <w:rFonts w:asciiTheme="minorHAnsi" w:hAnsiTheme="minorHAnsi" w:cstheme="minorHAnsi"/>
          <w:b/>
          <w:sz w:val="22"/>
          <w:szCs w:val="22"/>
        </w:rPr>
      </w:pPr>
    </w:p>
    <w:p w:rsidR="00D350BC"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Financial Instruments</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 xml:space="preserve">A financial instrument is any contract that gives rise to a financial asset of one entity and a financial </w:t>
      </w:r>
      <w:r w:rsidRPr="0068094B">
        <w:rPr>
          <w:rFonts w:asciiTheme="minorHAnsi" w:hAnsiTheme="minorHAnsi" w:cstheme="minorHAnsi"/>
          <w:bCs/>
          <w:sz w:val="22"/>
          <w:szCs w:val="22"/>
        </w:rPr>
        <w:lastRenderedPageBreak/>
        <w:t>liability or equity instrument of another. In a simple terms it covers both financial assets and financial liabilities such as trade debtors and trade creditors, to the more complex of derivatives e.g. swaps, and embedded derivatives e.g. debt instruments with embedded swaps.</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General Fund</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The main revenue fund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008B1146" w:rsidRPr="0068094B">
        <w:rPr>
          <w:rFonts w:asciiTheme="minorHAnsi" w:hAnsiTheme="minorHAnsi" w:cstheme="minorHAnsi"/>
          <w:sz w:val="22"/>
          <w:szCs w:val="22"/>
        </w:rPr>
        <w:t>that</w:t>
      </w:r>
      <w:r w:rsidRPr="0068094B">
        <w:rPr>
          <w:rFonts w:asciiTheme="minorHAnsi" w:hAnsiTheme="minorHAnsi" w:cstheme="minorHAnsi"/>
          <w:sz w:val="22"/>
          <w:szCs w:val="22"/>
        </w:rPr>
        <w:t xml:space="preserve"> contains the </w:t>
      </w:r>
      <w:r w:rsidR="008B1146" w:rsidRPr="0068094B">
        <w:rPr>
          <w:rFonts w:asciiTheme="minorHAnsi" w:hAnsiTheme="minorHAnsi" w:cstheme="minorHAnsi"/>
          <w:sz w:val="22"/>
          <w:szCs w:val="22"/>
        </w:rPr>
        <w:t xml:space="preserve">net cost of </w:t>
      </w:r>
      <w:r w:rsidRPr="0068094B">
        <w:rPr>
          <w:rFonts w:asciiTheme="minorHAnsi" w:hAnsiTheme="minorHAnsi" w:cstheme="minorHAnsi"/>
          <w:sz w:val="22"/>
          <w:szCs w:val="22"/>
        </w:rPr>
        <w:t xml:space="preserve">all services provided by the District </w:t>
      </w:r>
      <w:r w:rsidR="00E16274" w:rsidRPr="0068094B">
        <w:rPr>
          <w:rFonts w:asciiTheme="minorHAnsi" w:hAnsiTheme="minorHAnsi" w:cstheme="minorHAnsi"/>
          <w:sz w:val="22"/>
          <w:szCs w:val="22"/>
        </w:rPr>
        <w:t>Council</w:t>
      </w:r>
      <w:r w:rsidR="008B1146" w:rsidRPr="0068094B">
        <w:rPr>
          <w:rFonts w:asciiTheme="minorHAnsi" w:hAnsiTheme="minorHAnsi" w:cstheme="minorHAnsi"/>
          <w:sz w:val="22"/>
          <w:szCs w:val="22"/>
        </w:rPr>
        <w:t xml:space="preserve"> financed by local taxpayers and government grants.</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Gross Book </w:t>
      </w:r>
      <w:proofErr w:type="gramStart"/>
      <w:r w:rsidRPr="0068094B">
        <w:rPr>
          <w:rFonts w:asciiTheme="minorHAnsi" w:hAnsiTheme="minorHAnsi" w:cstheme="minorHAnsi"/>
          <w:b/>
          <w:bCs/>
          <w:sz w:val="22"/>
          <w:szCs w:val="22"/>
        </w:rPr>
        <w:t>Value  (</w:t>
      </w:r>
      <w:proofErr w:type="gramEnd"/>
      <w:r w:rsidRPr="0068094B">
        <w:rPr>
          <w:rFonts w:asciiTheme="minorHAnsi" w:hAnsiTheme="minorHAnsi" w:cstheme="minorHAnsi"/>
          <w:b/>
          <w:bCs/>
          <w:sz w:val="22"/>
          <w:szCs w:val="22"/>
        </w:rPr>
        <w:t>GBV)</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The GBV of a </w:t>
      </w:r>
      <w:r w:rsidR="00B37095" w:rsidRPr="0068094B">
        <w:rPr>
          <w:rFonts w:asciiTheme="minorHAnsi" w:hAnsiTheme="minorHAnsi" w:cstheme="minorHAnsi"/>
          <w:sz w:val="22"/>
          <w:szCs w:val="22"/>
        </w:rPr>
        <w:t>non-current</w:t>
      </w:r>
      <w:r w:rsidRPr="0068094B">
        <w:rPr>
          <w:rFonts w:asciiTheme="minorHAnsi" w:hAnsiTheme="minorHAnsi" w:cstheme="minorHAnsi"/>
          <w:sz w:val="22"/>
          <w:szCs w:val="22"/>
        </w:rPr>
        <w:t xml:space="preserve"> asset is the purchase of re</w:t>
      </w:r>
      <w:r w:rsidR="00B039CE" w:rsidRPr="0068094B">
        <w:rPr>
          <w:rFonts w:asciiTheme="minorHAnsi" w:hAnsiTheme="minorHAnsi" w:cstheme="minorHAnsi"/>
          <w:sz w:val="22"/>
          <w:szCs w:val="22"/>
        </w:rPr>
        <w:t>-</w:t>
      </w:r>
      <w:r w:rsidRPr="0068094B">
        <w:rPr>
          <w:rFonts w:asciiTheme="minorHAnsi" w:hAnsiTheme="minorHAnsi" w:cstheme="minorHAnsi"/>
          <w:sz w:val="22"/>
          <w:szCs w:val="22"/>
        </w:rPr>
        <w:t>valued value before depreciation has been deducted.</w:t>
      </w:r>
    </w:p>
    <w:p w:rsidR="003D6747" w:rsidRPr="0068094B" w:rsidRDefault="003D6747">
      <w:pPr>
        <w:autoSpaceDE w:val="0"/>
        <w:rPr>
          <w:rFonts w:asciiTheme="minorHAnsi" w:hAnsiTheme="minorHAnsi" w:cstheme="minorHAnsi"/>
          <w:b/>
          <w:bCs/>
          <w:sz w:val="22"/>
          <w:szCs w:val="22"/>
        </w:rPr>
      </w:pPr>
    </w:p>
    <w:p w:rsidR="008E7345" w:rsidRPr="0068094B" w:rsidRDefault="008E7345">
      <w:pPr>
        <w:autoSpaceDE w:val="0"/>
        <w:rPr>
          <w:rFonts w:asciiTheme="minorHAnsi" w:hAnsiTheme="minorHAnsi" w:cstheme="minorHAnsi"/>
          <w:b/>
          <w:bCs/>
          <w:sz w:val="22"/>
          <w:szCs w:val="22"/>
        </w:rPr>
      </w:pPr>
      <w:r w:rsidRPr="0068094B">
        <w:rPr>
          <w:rFonts w:asciiTheme="minorHAnsi" w:hAnsiTheme="minorHAnsi" w:cstheme="minorHAnsi"/>
          <w:b/>
          <w:bCs/>
          <w:sz w:val="22"/>
          <w:szCs w:val="22"/>
        </w:rPr>
        <w:t>Heritage Asset</w:t>
      </w:r>
    </w:p>
    <w:p w:rsidR="008E7345" w:rsidRPr="0068094B" w:rsidRDefault="008E7345">
      <w:pPr>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An asset with historical, artistic, scientific, technological, geophysical or environmental qualities that is held and maintained principally for its contribution to knowledge and culture. </w:t>
      </w:r>
    </w:p>
    <w:p w:rsidR="008E7345" w:rsidRPr="0068094B" w:rsidRDefault="008E7345">
      <w:pPr>
        <w:autoSpaceDE w:val="0"/>
        <w:rPr>
          <w:rFonts w:asciiTheme="minorHAnsi" w:hAnsiTheme="minorHAnsi" w:cstheme="minorHAnsi"/>
          <w:b/>
          <w:bCs/>
          <w:sz w:val="22"/>
          <w:szCs w:val="22"/>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Historic Cost </w:t>
      </w:r>
    </w:p>
    <w:p w:rsidR="00183652"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T</w:t>
      </w:r>
      <w:r w:rsidR="004A6511" w:rsidRPr="0068094B">
        <w:rPr>
          <w:rFonts w:asciiTheme="minorHAnsi" w:hAnsiTheme="minorHAnsi" w:cstheme="minorHAnsi"/>
          <w:sz w:val="22"/>
          <w:szCs w:val="22"/>
        </w:rPr>
        <w:t>he carrying amount of an asset as at 1 April 2007 (the date the revaluation reserve was created) or at the date of acquisition, whichever date is the later, and adjusted for subsequent depreciation or impairment (if applicable).</w:t>
      </w:r>
    </w:p>
    <w:p w:rsidR="00183652" w:rsidRPr="0068094B" w:rsidRDefault="00183652">
      <w:pPr>
        <w:autoSpaceDE w:val="0"/>
        <w:rPr>
          <w:rFonts w:asciiTheme="minorHAnsi" w:hAnsiTheme="minorHAnsi" w:cstheme="minorHAnsi"/>
          <w:b/>
          <w:bCs/>
          <w:sz w:val="22"/>
          <w:szCs w:val="22"/>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IFRS</w:t>
      </w:r>
    </w:p>
    <w:p w:rsidR="00D618B5"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International Financial Reporting Standards</w:t>
      </w:r>
      <w:r w:rsidR="00D618B5" w:rsidRPr="0068094B">
        <w:rPr>
          <w:rFonts w:asciiTheme="minorHAnsi" w:hAnsiTheme="minorHAnsi" w:cstheme="minorHAnsi"/>
          <w:sz w:val="22"/>
          <w:szCs w:val="22"/>
        </w:rPr>
        <w:t>. These are defined accounting standards that must be applied by all reporting entities to all financial statements in order to provide a true and fair view of the entity’s financial position, and a standardised method of comparison with financial statements of other entities.</w:t>
      </w:r>
    </w:p>
    <w:p w:rsidR="00FA535F" w:rsidRPr="0068094B" w:rsidRDefault="00D618B5">
      <w:pPr>
        <w:autoSpaceDE w:val="0"/>
        <w:rPr>
          <w:rFonts w:asciiTheme="minorHAnsi" w:hAnsiTheme="minorHAnsi" w:cstheme="minorHAnsi"/>
          <w:b/>
          <w:bCs/>
          <w:sz w:val="22"/>
          <w:szCs w:val="22"/>
        </w:rPr>
      </w:pPr>
      <w:r w:rsidRPr="0068094B">
        <w:rPr>
          <w:rFonts w:asciiTheme="minorHAnsi" w:hAnsiTheme="minorHAnsi" w:cstheme="minorHAnsi"/>
          <w:sz w:val="22"/>
          <w:szCs w:val="22"/>
        </w:rPr>
        <w:t xml:space="preserve"> </w:t>
      </w: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Impairment Loss</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 significant decline in the value of an asset that is specific to that asset.</w:t>
      </w:r>
    </w:p>
    <w:p w:rsidR="000A44D3" w:rsidRPr="0068094B" w:rsidRDefault="000A44D3">
      <w:pPr>
        <w:autoSpaceDE w:val="0"/>
        <w:rPr>
          <w:rFonts w:asciiTheme="minorHAnsi" w:hAnsiTheme="minorHAnsi" w:cstheme="minorHAnsi"/>
          <w:sz w:val="22"/>
          <w:szCs w:val="22"/>
        </w:rPr>
      </w:pPr>
    </w:p>
    <w:p w:rsidR="000A44D3" w:rsidRPr="0068094B" w:rsidRDefault="000A44D3">
      <w:pPr>
        <w:autoSpaceDE w:val="0"/>
        <w:rPr>
          <w:rFonts w:asciiTheme="minorHAnsi" w:hAnsiTheme="minorHAnsi" w:cstheme="minorHAnsi"/>
          <w:b/>
          <w:sz w:val="22"/>
          <w:szCs w:val="22"/>
        </w:rPr>
      </w:pPr>
      <w:r w:rsidRPr="0068094B">
        <w:rPr>
          <w:rFonts w:asciiTheme="minorHAnsi" w:hAnsiTheme="minorHAnsi" w:cstheme="minorHAnsi"/>
          <w:b/>
          <w:sz w:val="22"/>
          <w:szCs w:val="22"/>
        </w:rPr>
        <w:t>Infrastructure Assets</w:t>
      </w:r>
    </w:p>
    <w:p w:rsidR="000A44D3"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Assets that form the fabric of the land and provide a valuable service such as land drainage channels, footpaths and roads.</w:t>
      </w:r>
    </w:p>
    <w:p w:rsidR="000A44D3" w:rsidRPr="0068094B" w:rsidRDefault="000A44D3">
      <w:pPr>
        <w:autoSpaceDE w:val="0"/>
        <w:rPr>
          <w:rFonts w:asciiTheme="minorHAnsi" w:hAnsiTheme="minorHAnsi" w:cstheme="minorHAnsi"/>
          <w:sz w:val="22"/>
          <w:szCs w:val="22"/>
        </w:rPr>
      </w:pPr>
    </w:p>
    <w:p w:rsidR="000A44D3" w:rsidRPr="0068094B" w:rsidRDefault="000A44D3">
      <w:pPr>
        <w:autoSpaceDE w:val="0"/>
        <w:rPr>
          <w:rFonts w:asciiTheme="minorHAnsi" w:hAnsiTheme="minorHAnsi" w:cstheme="minorHAnsi"/>
          <w:b/>
          <w:sz w:val="22"/>
          <w:szCs w:val="22"/>
        </w:rPr>
      </w:pPr>
      <w:r w:rsidRPr="0068094B">
        <w:rPr>
          <w:rFonts w:asciiTheme="minorHAnsi" w:hAnsiTheme="minorHAnsi" w:cstheme="minorHAnsi"/>
          <w:b/>
          <w:sz w:val="22"/>
          <w:szCs w:val="22"/>
        </w:rPr>
        <w:t>Intangible Asset</w:t>
      </w:r>
    </w:p>
    <w:p w:rsidR="000A44D3"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These assets lack physical substance and represent purchased software and software licences.</w:t>
      </w:r>
    </w:p>
    <w:p w:rsidR="00183652" w:rsidRPr="0068094B" w:rsidRDefault="00183652">
      <w:pPr>
        <w:autoSpaceDE w:val="0"/>
        <w:rPr>
          <w:rFonts w:asciiTheme="minorHAnsi" w:hAnsiTheme="minorHAnsi" w:cstheme="minorHAnsi"/>
          <w:b/>
          <w:bCs/>
          <w:sz w:val="22"/>
          <w:szCs w:val="22"/>
        </w:rPr>
      </w:pPr>
    </w:p>
    <w:p w:rsidR="007A40BF" w:rsidRPr="0068094B" w:rsidRDefault="007A40BF">
      <w:pPr>
        <w:autoSpaceDE w:val="0"/>
        <w:rPr>
          <w:rFonts w:asciiTheme="minorHAnsi" w:hAnsiTheme="minorHAnsi" w:cstheme="minorHAnsi"/>
          <w:b/>
          <w:bCs/>
          <w:sz w:val="22"/>
          <w:szCs w:val="22"/>
        </w:rPr>
      </w:pPr>
      <w:r w:rsidRPr="0068094B">
        <w:rPr>
          <w:rFonts w:asciiTheme="minorHAnsi" w:hAnsiTheme="minorHAnsi" w:cstheme="minorHAnsi"/>
          <w:b/>
          <w:bCs/>
          <w:sz w:val="22"/>
          <w:szCs w:val="22"/>
        </w:rPr>
        <w:t>Investment Property</w:t>
      </w:r>
    </w:p>
    <w:p w:rsidR="007A40BF" w:rsidRPr="0068094B" w:rsidRDefault="007A40BF">
      <w:pPr>
        <w:autoSpaceDE w:val="0"/>
        <w:rPr>
          <w:rFonts w:asciiTheme="minorHAnsi" w:hAnsiTheme="minorHAnsi" w:cstheme="minorHAnsi"/>
          <w:bCs/>
          <w:sz w:val="22"/>
          <w:szCs w:val="22"/>
        </w:rPr>
      </w:pPr>
      <w:r w:rsidRPr="0068094B">
        <w:rPr>
          <w:rFonts w:asciiTheme="minorHAnsi" w:hAnsiTheme="minorHAnsi" w:cstheme="minorHAnsi"/>
          <w:bCs/>
          <w:sz w:val="22"/>
          <w:szCs w:val="22"/>
        </w:rPr>
        <w:t>An asset that is solely used to earn rentals, for capital appreciation, or both</w:t>
      </w:r>
      <w:r w:rsidR="00F11364">
        <w:rPr>
          <w:rFonts w:asciiTheme="minorHAnsi" w:hAnsiTheme="minorHAnsi" w:cstheme="minorHAnsi"/>
          <w:bCs/>
          <w:sz w:val="22"/>
          <w:szCs w:val="22"/>
        </w:rPr>
        <w:t>.</w:t>
      </w:r>
    </w:p>
    <w:p w:rsidR="00183652" w:rsidRPr="0068094B" w:rsidRDefault="00183652">
      <w:pPr>
        <w:rPr>
          <w:rFonts w:asciiTheme="minorHAnsi" w:hAnsiTheme="minorHAnsi" w:cstheme="minorHAnsi"/>
          <w:sz w:val="22"/>
          <w:szCs w:val="22"/>
        </w:rPr>
      </w:pPr>
    </w:p>
    <w:p w:rsidR="00183652" w:rsidRPr="0068094B" w:rsidRDefault="003728F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w:t>
      </w:r>
      <w:r w:rsidR="00795556" w:rsidRPr="0068094B">
        <w:rPr>
          <w:rFonts w:asciiTheme="minorHAnsi" w:hAnsiTheme="minorHAnsi" w:cstheme="minorHAnsi"/>
          <w:b/>
          <w:bCs/>
          <w:sz w:val="22"/>
          <w:szCs w:val="22"/>
        </w:rPr>
        <w:t>rrecoverable Surplus (Pension</w:t>
      </w:r>
      <w:r w:rsidR="004A6511" w:rsidRPr="0068094B">
        <w:rPr>
          <w:rFonts w:asciiTheme="minorHAnsi" w:hAnsiTheme="minorHAnsi" w:cstheme="minorHAnsi"/>
          <w:b/>
          <w:bCs/>
          <w:sz w:val="22"/>
          <w:szCs w:val="22"/>
        </w:rPr>
        <w:t>)</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The employer may not control or be able to benefit from the whole of a surplus – it may be so large that the employer cannot absorb it all through reduced contributions. The amount recoverable through reduced contributions reflects the maximum possible to be recovered without assuming an increase in the number of employees covered by the scheme.</w:t>
      </w:r>
    </w:p>
    <w:p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rsidR="00B06B78" w:rsidRPr="0068094B" w:rsidRDefault="00B06B78">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Liability</w:t>
      </w:r>
    </w:p>
    <w:p w:rsidR="00B06B78" w:rsidRPr="0068094B" w:rsidRDefault="00B06B78">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An obligation to transfer economic benefits (usually money) as a result of a past transactions, for example the purchase of services will generate a liability to pay that suppler for the services received</w:t>
      </w:r>
      <w:r w:rsidR="00F11364">
        <w:rPr>
          <w:rFonts w:asciiTheme="minorHAnsi" w:hAnsiTheme="minorHAnsi" w:cstheme="minorHAnsi"/>
          <w:sz w:val="22"/>
          <w:szCs w:val="22"/>
        </w:rPr>
        <w:t>.</w:t>
      </w:r>
    </w:p>
    <w:p w:rsidR="00B06B78" w:rsidRPr="0068094B" w:rsidRDefault="00B06B78">
      <w:pPr>
        <w:tabs>
          <w:tab w:val="left" w:pos="240"/>
          <w:tab w:val="left" w:pos="540"/>
          <w:tab w:val="left" w:pos="7110"/>
          <w:tab w:val="left" w:pos="7650"/>
          <w:tab w:val="left" w:pos="8550"/>
        </w:tabs>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Market Value</w:t>
      </w:r>
    </w:p>
    <w:p w:rsidR="00183652" w:rsidRPr="0068094B" w:rsidRDefault="004A6511">
      <w:pPr>
        <w:tabs>
          <w:tab w:val="left" w:pos="240"/>
          <w:tab w:val="left" w:pos="540"/>
          <w:tab w:val="left" w:pos="7110"/>
          <w:tab w:val="left" w:pos="7650"/>
          <w:tab w:val="left" w:pos="8550"/>
        </w:tabs>
        <w:rPr>
          <w:rFonts w:asciiTheme="minorHAnsi" w:hAnsiTheme="minorHAnsi" w:cstheme="minorHAnsi"/>
          <w:bCs/>
          <w:sz w:val="22"/>
          <w:szCs w:val="22"/>
        </w:rPr>
      </w:pPr>
      <w:r w:rsidRPr="0068094B">
        <w:rPr>
          <w:rFonts w:asciiTheme="minorHAnsi" w:hAnsiTheme="minorHAnsi" w:cstheme="minorHAnsi"/>
          <w:bCs/>
          <w:sz w:val="22"/>
          <w:szCs w:val="22"/>
        </w:rPr>
        <w:t xml:space="preserve">This term is generally </w:t>
      </w:r>
      <w:r w:rsidR="0001542C" w:rsidRPr="0068094B">
        <w:rPr>
          <w:rFonts w:asciiTheme="minorHAnsi" w:hAnsiTheme="minorHAnsi" w:cstheme="minorHAnsi"/>
          <w:bCs/>
          <w:sz w:val="22"/>
          <w:szCs w:val="22"/>
        </w:rPr>
        <w:t>applied to the valuation of non-</w:t>
      </w:r>
      <w:r w:rsidRPr="0068094B">
        <w:rPr>
          <w:rFonts w:asciiTheme="minorHAnsi" w:hAnsiTheme="minorHAnsi" w:cstheme="minorHAnsi"/>
          <w:bCs/>
          <w:sz w:val="22"/>
          <w:szCs w:val="22"/>
        </w:rPr>
        <w:t>current assets. The market Value is the value that could be achieved if the asset were offered for sale with no restrictions that could affect its value.</w:t>
      </w:r>
    </w:p>
    <w:p w:rsidR="00183652" w:rsidRPr="0068094B" w:rsidRDefault="00183652">
      <w:pPr>
        <w:tabs>
          <w:tab w:val="left" w:pos="240"/>
          <w:tab w:val="left" w:pos="540"/>
          <w:tab w:val="left" w:pos="7110"/>
          <w:tab w:val="left" w:pos="7650"/>
          <w:tab w:val="left" w:pos="8550"/>
        </w:tabs>
        <w:rPr>
          <w:rFonts w:asciiTheme="minorHAnsi" w:hAnsiTheme="minorHAnsi" w:cstheme="minorHAnsi"/>
          <w:b/>
          <w:sz w:val="22"/>
          <w:szCs w:val="22"/>
          <w:shd w:val="clear" w:color="auto" w:fill="FFFF00"/>
        </w:rPr>
      </w:pPr>
    </w:p>
    <w:p w:rsidR="001146BF" w:rsidRPr="0068094B" w:rsidRDefault="001146BF">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Materiality</w:t>
      </w:r>
    </w:p>
    <w:p w:rsidR="001146BF" w:rsidRPr="0068094B" w:rsidRDefault="001146BF">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An item would be considered material to the</w:t>
      </w:r>
      <w:r w:rsidR="00960059" w:rsidRPr="0068094B">
        <w:rPr>
          <w:rFonts w:asciiTheme="minorHAnsi" w:hAnsiTheme="minorHAnsi" w:cstheme="minorHAnsi"/>
          <w:sz w:val="22"/>
          <w:szCs w:val="22"/>
        </w:rPr>
        <w:t xml:space="preserve"> financial statements if, through its omission or non-disclosure, the financial statements would no longer show a true and fair view.</w:t>
      </w:r>
      <w:r w:rsidRPr="0068094B">
        <w:rPr>
          <w:rFonts w:asciiTheme="minorHAnsi" w:hAnsiTheme="minorHAnsi" w:cstheme="minorHAnsi"/>
          <w:sz w:val="22"/>
          <w:szCs w:val="22"/>
        </w:rPr>
        <w:t xml:space="preserve"> </w:t>
      </w:r>
    </w:p>
    <w:p w:rsidR="001146BF" w:rsidRPr="0068094B" w:rsidRDefault="001146BF">
      <w:pPr>
        <w:tabs>
          <w:tab w:val="left" w:pos="240"/>
          <w:tab w:val="left" w:pos="540"/>
          <w:tab w:val="left" w:pos="7110"/>
          <w:tab w:val="left" w:pos="7650"/>
          <w:tab w:val="left" w:pos="8550"/>
        </w:tabs>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National Non-Domestic Rates (NNDR)</w:t>
      </w:r>
      <w:r w:rsidR="00C25CD8" w:rsidRPr="0068094B">
        <w:rPr>
          <w:rFonts w:asciiTheme="minorHAnsi" w:hAnsiTheme="minorHAnsi" w:cstheme="minorHAnsi"/>
          <w:b/>
          <w:sz w:val="22"/>
          <w:szCs w:val="22"/>
        </w:rPr>
        <w:t xml:space="preserve"> or Business Rates</w:t>
      </w:r>
    </w:p>
    <w:p w:rsidR="00183652" w:rsidRPr="0068094B" w:rsidRDefault="00C25CD8">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Th</w:t>
      </w:r>
      <w:r w:rsidR="003B130A" w:rsidRPr="0068094B">
        <w:rPr>
          <w:rFonts w:asciiTheme="minorHAnsi" w:hAnsiTheme="minorHAnsi" w:cstheme="minorHAnsi"/>
          <w:sz w:val="22"/>
          <w:szCs w:val="22"/>
        </w:rPr>
        <w:t>is</w:t>
      </w:r>
      <w:r w:rsidRPr="0068094B">
        <w:rPr>
          <w:rFonts w:asciiTheme="minorHAnsi" w:hAnsiTheme="minorHAnsi" w:cstheme="minorHAnsi"/>
          <w:sz w:val="22"/>
          <w:szCs w:val="22"/>
        </w:rPr>
        <w:t xml:space="preserve"> is a levy (or tax)</w:t>
      </w:r>
      <w:r w:rsidR="004A6511" w:rsidRPr="0068094B">
        <w:rPr>
          <w:rFonts w:asciiTheme="minorHAnsi" w:hAnsiTheme="minorHAnsi" w:cstheme="minorHAnsi"/>
          <w:sz w:val="22"/>
          <w:szCs w:val="22"/>
        </w:rPr>
        <w:t xml:space="preserve"> charged on the rateable value of non-domestic properties (business properties)</w:t>
      </w:r>
      <w:r w:rsidRPr="0068094B">
        <w:rPr>
          <w:rFonts w:asciiTheme="minorHAnsi" w:hAnsiTheme="minorHAnsi" w:cstheme="minorHAnsi"/>
          <w:sz w:val="22"/>
          <w:szCs w:val="22"/>
        </w:rPr>
        <w:t xml:space="preserve"> based upon a national rate in the pound set by the Government applicable to all local authorities.</w:t>
      </w:r>
      <w:r w:rsidR="004A6511" w:rsidRPr="0068094B">
        <w:rPr>
          <w:rFonts w:asciiTheme="minorHAnsi" w:hAnsiTheme="minorHAnsi" w:cstheme="minorHAnsi"/>
          <w:sz w:val="22"/>
          <w:szCs w:val="22"/>
        </w:rPr>
        <w:t xml:space="preserve">  The proceeds are </w:t>
      </w:r>
      <w:r w:rsidRPr="0068094B">
        <w:rPr>
          <w:rFonts w:asciiTheme="minorHAnsi" w:hAnsiTheme="minorHAnsi" w:cstheme="minorHAnsi"/>
          <w:sz w:val="22"/>
          <w:szCs w:val="22"/>
        </w:rPr>
        <w:t xml:space="preserve">collected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004A6511" w:rsidRPr="0068094B">
        <w:rPr>
          <w:rFonts w:asciiTheme="minorHAnsi" w:hAnsiTheme="minorHAnsi" w:cstheme="minorHAnsi"/>
          <w:sz w:val="22"/>
          <w:szCs w:val="22"/>
        </w:rPr>
        <w:t xml:space="preserve">and </w:t>
      </w:r>
      <w:r w:rsidR="003B130A" w:rsidRPr="0068094B">
        <w:rPr>
          <w:rFonts w:asciiTheme="minorHAnsi" w:hAnsiTheme="minorHAnsi" w:cstheme="minorHAnsi"/>
          <w:sz w:val="22"/>
          <w:szCs w:val="22"/>
        </w:rPr>
        <w:t>then</w:t>
      </w:r>
      <w:r w:rsidR="004A6511" w:rsidRPr="0068094B">
        <w:rPr>
          <w:rFonts w:asciiTheme="minorHAnsi" w:hAnsiTheme="minorHAnsi" w:cstheme="minorHAnsi"/>
          <w:sz w:val="22"/>
          <w:szCs w:val="22"/>
        </w:rPr>
        <w:t xml:space="preserve"> redistributed </w:t>
      </w:r>
      <w:r w:rsidR="003B130A" w:rsidRPr="0068094B">
        <w:rPr>
          <w:rFonts w:asciiTheme="minorHAnsi" w:hAnsiTheme="minorHAnsi" w:cstheme="minorHAnsi"/>
          <w:sz w:val="22"/>
          <w:szCs w:val="22"/>
        </w:rPr>
        <w:t>to preceptors in accordance to the proportions (shares) prescribed in the Business Rate Retention Scheme.</w:t>
      </w:r>
    </w:p>
    <w:p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rsidR="00B06B78" w:rsidRPr="0068094B" w:rsidRDefault="00B06B78">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w:t>
      </w:r>
    </w:p>
    <w:p w:rsidR="00B06B78" w:rsidRPr="0068094B" w:rsidRDefault="00B06B78">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This term is used where income for a service has been taken into account (i.e. offset against expenditure) thus reducing the total cost of that service.</w:t>
      </w:r>
    </w:p>
    <w:p w:rsidR="00295194" w:rsidRPr="0068094B" w:rsidRDefault="00295194">
      <w:pPr>
        <w:tabs>
          <w:tab w:val="left" w:pos="240"/>
          <w:tab w:val="left" w:pos="540"/>
          <w:tab w:val="left" w:pos="7110"/>
          <w:tab w:val="left" w:pos="7650"/>
          <w:tab w:val="left" w:pos="8550"/>
        </w:tabs>
        <w:ind w:right="-450"/>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Book Value</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purchase value or revalue of an asset less depreciation that has been applied to the asset since its purchase or revaluation.</w:t>
      </w:r>
    </w:p>
    <w:p w:rsidR="003D6747" w:rsidRPr="0068094B" w:rsidRDefault="003D6747">
      <w:pPr>
        <w:tabs>
          <w:tab w:val="left" w:pos="240"/>
          <w:tab w:val="left" w:pos="540"/>
          <w:tab w:val="left" w:pos="7110"/>
          <w:tab w:val="left" w:pos="7650"/>
          <w:tab w:val="left" w:pos="8550"/>
        </w:tabs>
        <w:ind w:right="-450"/>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Current Replacement Cost</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Gross current replacement cost reduced to reflect obsolescence and environmental factors.</w:t>
      </w:r>
    </w:p>
    <w:p w:rsidR="003C610C" w:rsidRPr="0068094B"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p>
    <w:p w:rsidR="003C610C" w:rsidRPr="0068094B" w:rsidRDefault="003C610C">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 xml:space="preserve">Net defined benefit liability </w:t>
      </w:r>
      <w:r w:rsidRPr="0068094B">
        <w:rPr>
          <w:rFonts w:asciiTheme="minorHAnsi" w:hAnsiTheme="minorHAnsi" w:cstheme="minorHAnsi"/>
          <w:b/>
          <w:bCs/>
          <w:i/>
          <w:sz w:val="22"/>
          <w:szCs w:val="22"/>
        </w:rPr>
        <w:t xml:space="preserve">(asset) </w:t>
      </w:r>
      <w:r w:rsidR="00795556" w:rsidRPr="0068094B">
        <w:rPr>
          <w:rFonts w:asciiTheme="minorHAnsi" w:hAnsiTheme="minorHAnsi" w:cstheme="minorHAnsi"/>
          <w:b/>
          <w:bCs/>
          <w:sz w:val="22"/>
          <w:szCs w:val="22"/>
        </w:rPr>
        <w:t>(Pension</w:t>
      </w:r>
      <w:r w:rsidRPr="0068094B">
        <w:rPr>
          <w:rFonts w:asciiTheme="minorHAnsi" w:hAnsiTheme="minorHAnsi" w:cstheme="minorHAnsi"/>
          <w:b/>
          <w:bCs/>
          <w:sz w:val="22"/>
          <w:szCs w:val="22"/>
        </w:rPr>
        <w:t>)</w:t>
      </w:r>
    </w:p>
    <w:p w:rsidR="00795556" w:rsidRPr="0068094B"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present value during the period in the net d</w:t>
      </w:r>
      <w:r w:rsidR="00795556" w:rsidRPr="0068094B">
        <w:rPr>
          <w:rFonts w:asciiTheme="minorHAnsi" w:hAnsiTheme="minorHAnsi" w:cstheme="minorHAnsi"/>
          <w:bCs/>
          <w:sz w:val="22"/>
          <w:szCs w:val="22"/>
        </w:rPr>
        <w:t>efined benefit liability obligation less the fair value of the plan assets (adjusted for the asset ceiling).</w:t>
      </w:r>
    </w:p>
    <w:p w:rsidR="00795556" w:rsidRPr="0068094B"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p>
    <w:p w:rsidR="00795556" w:rsidRPr="0068094B" w:rsidRDefault="00795556">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 xml:space="preserve">Net interest income </w:t>
      </w:r>
      <w:r w:rsidRPr="0068094B">
        <w:rPr>
          <w:rFonts w:asciiTheme="minorHAnsi" w:hAnsiTheme="minorHAnsi" w:cstheme="minorHAnsi"/>
          <w:b/>
          <w:bCs/>
          <w:i/>
          <w:sz w:val="22"/>
          <w:szCs w:val="22"/>
        </w:rPr>
        <w:t>(expense)</w:t>
      </w:r>
      <w:r w:rsidRPr="0068094B">
        <w:rPr>
          <w:rFonts w:asciiTheme="minorHAnsi" w:hAnsiTheme="minorHAnsi" w:cstheme="minorHAnsi"/>
          <w:b/>
          <w:bCs/>
          <w:sz w:val="22"/>
          <w:szCs w:val="22"/>
        </w:rPr>
        <w:t xml:space="preserve"> (Pension)</w:t>
      </w:r>
    </w:p>
    <w:p w:rsidR="00795556" w:rsidRPr="0068094B"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change during the period in the net defined benefit liability (asset) that arises from the passage of time. This includes allowance for interest on the current service cost.</w:t>
      </w:r>
    </w:p>
    <w:p w:rsidR="00183652" w:rsidRPr="0068094B"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Realisable Value</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existing use value of the (non-current) asset less any additional costs likely to be incurred in getting the assets into the ownership of the customer.</w:t>
      </w:r>
    </w:p>
    <w:p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Non-Current Assets</w:t>
      </w:r>
    </w:p>
    <w:p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Tangible and Intangible assets that yield benefits to the authority for a period of more than one year e.g. land and buildings.</w:t>
      </w:r>
    </w:p>
    <w:p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rsidR="00130D86" w:rsidRPr="0068094B" w:rsidRDefault="00130D86">
      <w:pPr>
        <w:autoSpaceDE w:val="0"/>
        <w:rPr>
          <w:rFonts w:asciiTheme="minorHAnsi" w:hAnsiTheme="minorHAnsi" w:cstheme="minorHAnsi"/>
          <w:b/>
          <w:bCs/>
          <w:sz w:val="22"/>
          <w:szCs w:val="22"/>
        </w:rPr>
      </w:pPr>
      <w:r w:rsidRPr="0068094B">
        <w:rPr>
          <w:rFonts w:asciiTheme="minorHAnsi" w:hAnsiTheme="minorHAnsi" w:cstheme="minorHAnsi"/>
          <w:b/>
          <w:bCs/>
          <w:sz w:val="22"/>
          <w:szCs w:val="22"/>
        </w:rPr>
        <w:t>Non-distributed Costs</w:t>
      </w:r>
    </w:p>
    <w:p w:rsidR="00130D86" w:rsidRPr="0068094B" w:rsidRDefault="00130D86">
      <w:pPr>
        <w:autoSpaceDE w:val="0"/>
        <w:rPr>
          <w:rFonts w:asciiTheme="minorHAnsi" w:hAnsiTheme="minorHAnsi" w:cstheme="minorHAnsi"/>
          <w:bCs/>
          <w:sz w:val="22"/>
          <w:szCs w:val="22"/>
        </w:rPr>
      </w:pPr>
      <w:r w:rsidRPr="0068094B">
        <w:rPr>
          <w:rFonts w:asciiTheme="minorHAnsi" w:hAnsiTheme="minorHAnsi" w:cstheme="minorHAnsi"/>
          <w:bCs/>
          <w:sz w:val="22"/>
          <w:szCs w:val="22"/>
        </w:rPr>
        <w:t>This mainly relates to retirement benefits and charges in relation in relation to non-operational assets.</w:t>
      </w:r>
    </w:p>
    <w:p w:rsidR="00130D86" w:rsidRPr="0068094B" w:rsidRDefault="00130D86">
      <w:pPr>
        <w:autoSpaceDE w:val="0"/>
        <w:rPr>
          <w:rFonts w:asciiTheme="minorHAnsi" w:hAnsiTheme="minorHAnsi" w:cstheme="minorHAnsi"/>
          <w:b/>
          <w:bCs/>
          <w:sz w:val="22"/>
          <w:szCs w:val="22"/>
        </w:rPr>
      </w:pPr>
    </w:p>
    <w:p w:rsidR="00B76EFE" w:rsidRPr="0068094B" w:rsidRDefault="00B76EFE">
      <w:pPr>
        <w:autoSpaceDE w:val="0"/>
        <w:rPr>
          <w:rFonts w:asciiTheme="minorHAnsi" w:hAnsiTheme="minorHAnsi" w:cstheme="minorHAnsi"/>
          <w:b/>
          <w:bCs/>
          <w:sz w:val="22"/>
          <w:szCs w:val="22"/>
        </w:rPr>
      </w:pPr>
      <w:r w:rsidRPr="0068094B">
        <w:rPr>
          <w:rFonts w:asciiTheme="minorHAnsi" w:hAnsiTheme="minorHAnsi" w:cstheme="minorHAnsi"/>
          <w:b/>
          <w:bCs/>
          <w:sz w:val="22"/>
          <w:szCs w:val="22"/>
        </w:rPr>
        <w:t>Outturn</w:t>
      </w:r>
    </w:p>
    <w:p w:rsidR="00B76EFE" w:rsidRPr="0068094B" w:rsidRDefault="00B76EFE">
      <w:pPr>
        <w:autoSpaceDE w:val="0"/>
        <w:rPr>
          <w:rFonts w:asciiTheme="minorHAnsi" w:hAnsiTheme="minorHAnsi" w:cstheme="minorHAnsi"/>
          <w:bCs/>
          <w:sz w:val="22"/>
          <w:szCs w:val="22"/>
        </w:rPr>
      </w:pPr>
      <w:r w:rsidRPr="0068094B">
        <w:rPr>
          <w:rFonts w:asciiTheme="minorHAnsi" w:hAnsiTheme="minorHAnsi" w:cstheme="minorHAnsi"/>
          <w:bCs/>
          <w:sz w:val="22"/>
          <w:szCs w:val="22"/>
        </w:rPr>
        <w:t>Total income and expenditure in the financial year.</w:t>
      </w:r>
    </w:p>
    <w:p w:rsidR="00B76EFE" w:rsidRPr="0068094B" w:rsidRDefault="00B76EFE">
      <w:pPr>
        <w:autoSpaceDE w:val="0"/>
        <w:rPr>
          <w:rFonts w:asciiTheme="minorHAnsi" w:hAnsiTheme="minorHAnsi" w:cstheme="minorHAnsi"/>
          <w:b/>
          <w:bCs/>
          <w:sz w:val="22"/>
          <w:szCs w:val="22"/>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Past Service Cost</w:t>
      </w:r>
      <w:r w:rsidR="00103BE4" w:rsidRPr="0068094B">
        <w:rPr>
          <w:rFonts w:asciiTheme="minorHAnsi" w:hAnsiTheme="minorHAnsi" w:cstheme="minorHAnsi"/>
          <w:b/>
          <w:bCs/>
          <w:sz w:val="22"/>
          <w:szCs w:val="22"/>
        </w:rPr>
        <w:t xml:space="preserve"> </w:t>
      </w:r>
      <w:r w:rsidR="00795556" w:rsidRPr="0068094B">
        <w:rPr>
          <w:rFonts w:asciiTheme="minorHAnsi" w:hAnsiTheme="minorHAnsi" w:cstheme="minorHAnsi"/>
          <w:b/>
          <w:bCs/>
          <w:sz w:val="22"/>
          <w:szCs w:val="22"/>
        </w:rPr>
        <w:t>(Pension)</w:t>
      </w:r>
    </w:p>
    <w:p w:rsidR="00183652" w:rsidRPr="0068094B" w:rsidRDefault="00795556" w:rsidP="00795556">
      <w:pPr>
        <w:autoSpaceDE w:val="0"/>
        <w:rPr>
          <w:rFonts w:asciiTheme="minorHAnsi" w:hAnsiTheme="minorHAnsi" w:cstheme="minorHAnsi"/>
          <w:sz w:val="22"/>
          <w:szCs w:val="22"/>
        </w:rPr>
      </w:pPr>
      <w:r w:rsidRPr="0068094B">
        <w:rPr>
          <w:rFonts w:asciiTheme="minorHAnsi" w:hAnsiTheme="minorHAnsi" w:cstheme="minorHAnsi"/>
          <w:sz w:val="22"/>
          <w:szCs w:val="22"/>
        </w:rPr>
        <w:t>The change</w:t>
      </w:r>
      <w:r w:rsidR="004A6511" w:rsidRPr="0068094B">
        <w:rPr>
          <w:rFonts w:asciiTheme="minorHAnsi" w:hAnsiTheme="minorHAnsi" w:cstheme="minorHAnsi"/>
          <w:sz w:val="22"/>
          <w:szCs w:val="22"/>
        </w:rPr>
        <w:t xml:space="preserve"> in the present value of the defined benefit obligation for employee service in prior periods, resulting</w:t>
      </w:r>
      <w:r w:rsidRPr="0068094B">
        <w:rPr>
          <w:rFonts w:asciiTheme="minorHAnsi" w:hAnsiTheme="minorHAnsi" w:cstheme="minorHAnsi"/>
          <w:sz w:val="22"/>
          <w:szCs w:val="22"/>
        </w:rPr>
        <w:t xml:space="preserve"> from a plan amendment (the introduction or withdrawal of, or changes to, a defined benefit plan) or a curtailment (a significant reduction by the entity in the number of employees covered by the plan)</w:t>
      </w:r>
      <w:r w:rsidR="00F11364">
        <w:rPr>
          <w:rFonts w:asciiTheme="minorHAnsi" w:hAnsiTheme="minorHAnsi" w:cstheme="minorHAnsi"/>
          <w:sz w:val="22"/>
          <w:szCs w:val="22"/>
        </w:rPr>
        <w:t>.</w:t>
      </w:r>
    </w:p>
    <w:p w:rsidR="00795556" w:rsidRPr="0068094B" w:rsidRDefault="00795556" w:rsidP="00795556">
      <w:pPr>
        <w:autoSpaceDE w:val="0"/>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Precept</w:t>
      </w:r>
    </w:p>
    <w:p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The levy (demand) made by the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Parish and Town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on the District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Collection Fund for their net expenditure requirements.</w:t>
      </w:r>
    </w:p>
    <w:p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lastRenderedPageBreak/>
        <w:t>Present value of defined benefit obligation</w:t>
      </w:r>
      <w:r w:rsidR="00795556" w:rsidRPr="0068094B">
        <w:rPr>
          <w:rFonts w:asciiTheme="minorHAnsi" w:hAnsiTheme="minorHAnsi" w:cstheme="minorHAnsi"/>
          <w:b/>
          <w:bCs/>
          <w:sz w:val="22"/>
          <w:szCs w:val="22"/>
        </w:rPr>
        <w:t xml:space="preserve"> (Pension)</w:t>
      </w:r>
    </w:p>
    <w:p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The present value, without deducting any plan assets, of expected future payments required to settle the obligation resulting from employee service in the current and prior periods.</w:t>
      </w:r>
    </w:p>
    <w:p w:rsidR="00795556" w:rsidRPr="0068094B" w:rsidRDefault="00795556">
      <w:pPr>
        <w:tabs>
          <w:tab w:val="left" w:pos="240"/>
          <w:tab w:val="left" w:pos="540"/>
          <w:tab w:val="left" w:pos="7110"/>
          <w:tab w:val="left" w:pos="7650"/>
          <w:tab w:val="left" w:pos="8550"/>
        </w:tabs>
        <w:rPr>
          <w:rFonts w:asciiTheme="minorHAnsi" w:hAnsiTheme="minorHAnsi" w:cstheme="minorHAnsi"/>
          <w:b/>
          <w:sz w:val="22"/>
          <w:szCs w:val="22"/>
        </w:rPr>
      </w:pPr>
    </w:p>
    <w:p w:rsidR="002A1252" w:rsidRPr="0068094B" w:rsidRDefault="002A1252">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Property, Plant and Equipment</w:t>
      </w:r>
    </w:p>
    <w:p w:rsidR="002A1252" w:rsidRPr="0068094B" w:rsidRDefault="002A1252">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Assets held, occupied, or used or consumed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in the direct delivery of the services for which it is has a either a statutory or a discretionary responsibility</w:t>
      </w:r>
      <w:r w:rsidR="00F11364">
        <w:rPr>
          <w:rFonts w:asciiTheme="minorHAnsi" w:hAnsiTheme="minorHAnsi" w:cstheme="minorHAnsi"/>
          <w:sz w:val="22"/>
          <w:szCs w:val="22"/>
        </w:rPr>
        <w:t>.</w:t>
      </w:r>
    </w:p>
    <w:p w:rsidR="002A1252" w:rsidRPr="0068094B" w:rsidRDefault="002A1252">
      <w:pPr>
        <w:tabs>
          <w:tab w:val="left" w:pos="240"/>
          <w:tab w:val="left" w:pos="540"/>
          <w:tab w:val="left" w:pos="7110"/>
          <w:tab w:val="left" w:pos="7650"/>
          <w:tab w:val="left" w:pos="8550"/>
        </w:tabs>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Provisions</w:t>
      </w:r>
    </w:p>
    <w:p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Amounts set aside to meet liabilities or losses which are likely to occur, or certain to occur in the future, but where the exact amounts and/or dates are uncertain.</w:t>
      </w:r>
    </w:p>
    <w:p w:rsidR="009A56BD" w:rsidRPr="0068094B" w:rsidRDefault="009A56BD">
      <w:pPr>
        <w:tabs>
          <w:tab w:val="left" w:pos="240"/>
          <w:tab w:val="left" w:pos="540"/>
          <w:tab w:val="left" w:pos="7110"/>
          <w:tab w:val="left" w:pos="7650"/>
          <w:tab w:val="left" w:pos="8550"/>
        </w:tabs>
        <w:rPr>
          <w:rFonts w:asciiTheme="minorHAnsi" w:hAnsiTheme="minorHAnsi" w:cstheme="minorHAnsi"/>
          <w:b/>
          <w:sz w:val="22"/>
          <w:szCs w:val="22"/>
        </w:rPr>
      </w:pPr>
    </w:p>
    <w:p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Reserves</w:t>
      </w:r>
    </w:p>
    <w:p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Amounts set aside to meet capital or revenue expenditure which do not fall under the definition of Provisions.</w:t>
      </w:r>
    </w:p>
    <w:p w:rsidR="0089710C" w:rsidRPr="0068094B" w:rsidRDefault="0089710C">
      <w:pPr>
        <w:tabs>
          <w:tab w:val="left" w:pos="240"/>
          <w:tab w:val="left" w:pos="540"/>
          <w:tab w:val="left" w:pos="7110"/>
          <w:tab w:val="left" w:pos="7650"/>
          <w:tab w:val="left" w:pos="8550"/>
        </w:tabs>
        <w:rPr>
          <w:rFonts w:asciiTheme="minorHAnsi" w:hAnsiTheme="minorHAnsi" w:cstheme="minorHAnsi"/>
          <w:sz w:val="22"/>
          <w:szCs w:val="22"/>
        </w:rPr>
      </w:pPr>
    </w:p>
    <w:p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Revenue Expenditure</w:t>
      </w:r>
    </w:p>
    <w:p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Day to day expenditure on the running of services.  Includes staff costs, utility charges, rent and business rates. </w:t>
      </w:r>
    </w:p>
    <w:p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rsidR="000A66E2" w:rsidRPr="0068094B" w:rsidRDefault="000A66E2">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Revenue Expenditure Funded from Capital under Statute (REFCUS)</w:t>
      </w:r>
    </w:p>
    <w:p w:rsidR="000A66E2" w:rsidRPr="0068094B" w:rsidRDefault="003535E2">
      <w:pPr>
        <w:tabs>
          <w:tab w:val="left" w:pos="240"/>
          <w:tab w:val="left" w:pos="540"/>
          <w:tab w:val="left" w:pos="7110"/>
          <w:tab w:val="left" w:pos="7650"/>
          <w:tab w:val="left" w:pos="8550"/>
        </w:tabs>
        <w:rPr>
          <w:rFonts w:asciiTheme="minorHAnsi" w:hAnsiTheme="minorHAnsi" w:cstheme="minorHAnsi"/>
          <w:bCs/>
          <w:sz w:val="22"/>
          <w:szCs w:val="22"/>
        </w:rPr>
      </w:pPr>
      <w:r w:rsidRPr="0068094B">
        <w:rPr>
          <w:rFonts w:asciiTheme="minorHAnsi" w:hAnsiTheme="minorHAnsi" w:cstheme="minorHAnsi"/>
          <w:bCs/>
          <w:sz w:val="22"/>
          <w:szCs w:val="22"/>
        </w:rPr>
        <w:t>Expenditure incurred in the year that may be capitalised under statutory provision but that does not result in the creation of a non-current asset that has been charged as expenditure to the Comprehensive Income and Expenditure Statement</w:t>
      </w:r>
      <w:r w:rsidR="00F11364">
        <w:rPr>
          <w:rFonts w:asciiTheme="minorHAnsi" w:hAnsiTheme="minorHAnsi" w:cstheme="minorHAnsi"/>
          <w:bCs/>
          <w:sz w:val="22"/>
          <w:szCs w:val="22"/>
        </w:rPr>
        <w:t>.</w:t>
      </w:r>
    </w:p>
    <w:p w:rsidR="003535E2" w:rsidRPr="0068094B" w:rsidRDefault="003535E2">
      <w:pPr>
        <w:tabs>
          <w:tab w:val="left" w:pos="240"/>
          <w:tab w:val="left" w:pos="540"/>
          <w:tab w:val="left" w:pos="7110"/>
          <w:tab w:val="left" w:pos="7650"/>
          <w:tab w:val="left" w:pos="8550"/>
        </w:tabs>
        <w:rPr>
          <w:rFonts w:asciiTheme="minorHAnsi" w:hAnsiTheme="minorHAnsi" w:cstheme="minorHAnsi"/>
          <w:b/>
          <w:bCs/>
          <w:sz w:val="22"/>
          <w:szCs w:val="22"/>
        </w:rPr>
      </w:pPr>
    </w:p>
    <w:p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Revaluation Reserve (RR)</w:t>
      </w:r>
    </w:p>
    <w:p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 reserve that over time will be built up by the upward revaluations of individual assets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Settlement (Pension)</w:t>
      </w:r>
      <w:r w:rsidR="00795556" w:rsidRPr="0068094B">
        <w:rPr>
          <w:rFonts w:asciiTheme="minorHAnsi" w:hAnsiTheme="minorHAnsi" w:cstheme="minorHAnsi"/>
          <w:b/>
          <w:bCs/>
          <w:sz w:val="22"/>
          <w:szCs w:val="22"/>
        </w:rPr>
        <w:t xml:space="preserve"> </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Settlement occurs when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enters into a transaction that eliminates all further legal or constructive obligation for part or all of the benefits provided under a defined benefit plan, for example, when a lump-sum cash payment is made to, or on behalf of, plan participants in exchange for their rights to receive specified post-employment benefits.</w:t>
      </w:r>
      <w:r w:rsidRPr="0068094B">
        <w:rPr>
          <w:rFonts w:asciiTheme="minorHAnsi" w:hAnsiTheme="minorHAnsi" w:cstheme="minorHAnsi"/>
          <w:sz w:val="22"/>
          <w:szCs w:val="22"/>
        </w:rPr>
        <w:br/>
      </w:r>
    </w:p>
    <w:p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Surplus</w:t>
      </w:r>
    </w:p>
    <w:p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 surplus will be generated where income exceeds expenditure. In some cases, a surplus will be transferred to an appropriate reserve.</w:t>
      </w:r>
      <w:r w:rsidRPr="0068094B">
        <w:rPr>
          <w:rFonts w:asciiTheme="minorHAnsi" w:hAnsiTheme="minorHAnsi" w:cstheme="minorHAnsi"/>
          <w:sz w:val="22"/>
          <w:szCs w:val="22"/>
        </w:rPr>
        <w:br/>
      </w:r>
    </w:p>
    <w:p w:rsidR="00442965" w:rsidRPr="0068094B" w:rsidRDefault="00442965" w:rsidP="00795556">
      <w:pPr>
        <w:autoSpaceDE w:val="0"/>
        <w:rPr>
          <w:rFonts w:asciiTheme="minorHAnsi" w:hAnsiTheme="minorHAnsi" w:cstheme="minorHAnsi"/>
          <w:b/>
          <w:sz w:val="22"/>
          <w:szCs w:val="22"/>
        </w:rPr>
      </w:pPr>
      <w:r w:rsidRPr="0068094B">
        <w:rPr>
          <w:rFonts w:asciiTheme="minorHAnsi" w:hAnsiTheme="minorHAnsi" w:cstheme="minorHAnsi"/>
          <w:b/>
          <w:sz w:val="22"/>
          <w:szCs w:val="22"/>
        </w:rPr>
        <w:t>Treasury Management</w:t>
      </w:r>
    </w:p>
    <w:p w:rsidR="00D350BC" w:rsidRPr="0068094B" w:rsidRDefault="0001689E" w:rsidP="00795556">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This is the process by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controls its cash flow and its borrowing and lending activities.</w:t>
      </w:r>
    </w:p>
    <w:p w:rsidR="00442965" w:rsidRPr="0068094B" w:rsidRDefault="00442965" w:rsidP="00795556">
      <w:pPr>
        <w:autoSpaceDE w:val="0"/>
        <w:rPr>
          <w:rFonts w:asciiTheme="minorHAnsi" w:hAnsiTheme="minorHAnsi" w:cstheme="minorHAnsi"/>
          <w:b/>
          <w:sz w:val="22"/>
          <w:szCs w:val="22"/>
        </w:rPr>
      </w:pPr>
    </w:p>
    <w:p w:rsidR="00183652" w:rsidRPr="0068094B" w:rsidRDefault="00183652">
      <w:pPr>
        <w:pStyle w:val="List"/>
        <w:tabs>
          <w:tab w:val="clear" w:pos="-1440"/>
          <w:tab w:val="clear" w:pos="-720"/>
          <w:tab w:val="clear" w:pos="0"/>
          <w:tab w:val="clear" w:pos="780"/>
          <w:tab w:val="left" w:pos="3240"/>
          <w:tab w:val="left" w:pos="5760"/>
          <w:tab w:val="left" w:pos="7380"/>
        </w:tabs>
        <w:rPr>
          <w:rFonts w:asciiTheme="minorHAnsi" w:hAnsiTheme="minorHAnsi" w:cstheme="minorHAnsi"/>
          <w:strike w:val="0"/>
          <w:sz w:val="22"/>
          <w:szCs w:val="22"/>
          <w:lang w:val="en-US"/>
        </w:rPr>
      </w:pPr>
    </w:p>
    <w:sectPr w:rsidR="00183652" w:rsidRPr="0068094B" w:rsidSect="00420C36">
      <w:footnotePr>
        <w:pos w:val="beneathText"/>
      </w:footnotePr>
      <w:pgSz w:w="11906" w:h="16838" w:code="9"/>
      <w:pgMar w:top="284" w:right="1735" w:bottom="1276" w:left="1440" w:header="284"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C3D" w:rsidRDefault="000B6C3D">
      <w:r>
        <w:separator/>
      </w:r>
    </w:p>
  </w:endnote>
  <w:endnote w:type="continuationSeparator" w:id="0">
    <w:p w:rsidR="000B6C3D" w:rsidRDefault="000B6C3D">
      <w:r>
        <w:continuationSeparator/>
      </w:r>
    </w:p>
  </w:endnote>
  <w:endnote w:type="continuationNotice" w:id="1">
    <w:p w:rsidR="000B6C3D" w:rsidRDefault="000B6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721BT-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Pr="00117698" w:rsidRDefault="00D53CFD">
    <w:pPr>
      <w:pStyle w:val="Footer"/>
      <w:jc w:val="center"/>
      <w:rPr>
        <w:rFonts w:ascii="Arial" w:hAnsi="Arial" w:cs="Arial"/>
        <w:sz w:val="20"/>
      </w:rPr>
    </w:pPr>
  </w:p>
  <w:p w:rsidR="00D53CFD" w:rsidRDefault="00D53CF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922677"/>
      <w:docPartObj>
        <w:docPartGallery w:val="Page Numbers (Bottom of Page)"/>
        <w:docPartUnique/>
      </w:docPartObj>
    </w:sdtPr>
    <w:sdtEndPr>
      <w:rPr>
        <w:noProof/>
      </w:rPr>
    </w:sdtEndPr>
    <w:sdtContent>
      <w:p w:rsidR="00D53CFD" w:rsidRDefault="00D53CFD">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sidR="00163156">
          <w:rPr>
            <w:rFonts w:ascii="Arial" w:hAnsi="Arial" w:cs="Arial"/>
            <w:noProof/>
          </w:rPr>
          <w:t>21</w:t>
        </w:r>
        <w:r w:rsidRPr="00415E85">
          <w:rPr>
            <w:rFonts w:ascii="Arial" w:hAnsi="Arial" w:cs="Arial"/>
            <w:noProof/>
          </w:rPr>
          <w:fldChar w:fldCharType="end"/>
        </w:r>
      </w:p>
    </w:sdtContent>
  </w:sdt>
  <w:p w:rsidR="00D53CFD" w:rsidRPr="00D53CFD" w:rsidRDefault="00D53CFD" w:rsidP="00BB6AFF">
    <w:pPr>
      <w:pStyle w:val="Footer"/>
      <w:jc w:val="right"/>
      <w:rPr>
        <w:rFonts w:ascii="Arial" w:hAnsi="Arial" w:cs="Arial"/>
        <w:color w:val="4A442A" w:themeColor="background2" w:themeShade="40"/>
        <w:sz w:val="16"/>
        <w:szCs w:val="16"/>
      </w:rPr>
    </w:pPr>
    <w:r w:rsidRPr="00D53CFD">
      <w:rPr>
        <w:rFonts w:ascii="Arial" w:hAnsi="Arial" w:cs="Arial"/>
        <w:color w:val="4A442A" w:themeColor="background2" w:themeShade="40"/>
        <w:sz w:val="16"/>
        <w:szCs w:val="16"/>
      </w:rPr>
      <w:t>Chichester District Council</w:t>
    </w:r>
  </w:p>
  <w:p w:rsidR="00D53CFD" w:rsidRPr="00D53CFD" w:rsidRDefault="00D53CFD">
    <w:pPr>
      <w:pStyle w:val="Footer"/>
      <w:jc w:val="right"/>
      <w:rPr>
        <w:rFonts w:ascii="Arial" w:hAnsi="Arial" w:cs="Arial"/>
        <w:color w:val="4A442A" w:themeColor="background2" w:themeShade="40"/>
        <w:sz w:val="16"/>
        <w:szCs w:val="16"/>
      </w:rPr>
    </w:pPr>
    <w:r w:rsidRPr="00D53CFD">
      <w:rPr>
        <w:rFonts w:ascii="Arial" w:hAnsi="Arial" w:cs="Arial"/>
        <w:color w:val="4A442A" w:themeColor="background2" w:themeShade="40"/>
        <w:sz w:val="16"/>
        <w:szCs w:val="16"/>
      </w:rPr>
      <w:t xml:space="preserve">Statement of Accounts 2019-20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718144"/>
      <w:docPartObj>
        <w:docPartGallery w:val="Page Numbers (Bottom of Page)"/>
        <w:docPartUnique/>
      </w:docPartObj>
    </w:sdtPr>
    <w:sdtEndPr>
      <w:rPr>
        <w:rFonts w:ascii="Arial" w:hAnsi="Arial" w:cs="Arial"/>
        <w:noProof/>
      </w:rPr>
    </w:sdtEndPr>
    <w:sdtContent>
      <w:p w:rsidR="00D53CFD" w:rsidRPr="00A54F47" w:rsidRDefault="00D53CFD">
        <w:pPr>
          <w:pStyle w:val="Footer"/>
          <w:jc w:val="center"/>
          <w:rPr>
            <w:rFonts w:ascii="Arial" w:hAnsi="Arial" w:cs="Arial"/>
          </w:rPr>
        </w:pPr>
        <w:r w:rsidRPr="00BB6AFF">
          <w:rPr>
            <w:rFonts w:ascii="Arial" w:hAnsi="Arial" w:cs="Arial"/>
            <w:color w:val="000000" w:themeColor="text1"/>
          </w:rPr>
          <w:fldChar w:fldCharType="begin"/>
        </w:r>
        <w:r w:rsidRPr="00BB6AFF">
          <w:rPr>
            <w:rFonts w:ascii="Arial" w:hAnsi="Arial" w:cs="Arial"/>
            <w:color w:val="000000" w:themeColor="text1"/>
          </w:rPr>
          <w:instrText xml:space="preserve"> PAGE   \* MERGEFORMAT </w:instrText>
        </w:r>
        <w:r w:rsidRPr="00BB6AFF">
          <w:rPr>
            <w:rFonts w:ascii="Arial" w:hAnsi="Arial" w:cs="Arial"/>
            <w:color w:val="000000" w:themeColor="text1"/>
          </w:rPr>
          <w:fldChar w:fldCharType="separate"/>
        </w:r>
        <w:r w:rsidR="00163156">
          <w:rPr>
            <w:rFonts w:ascii="Arial" w:hAnsi="Arial" w:cs="Arial"/>
            <w:noProof/>
            <w:color w:val="000000" w:themeColor="text1"/>
          </w:rPr>
          <w:t>4</w:t>
        </w:r>
        <w:r w:rsidRPr="00BB6AFF">
          <w:rPr>
            <w:rFonts w:ascii="Arial" w:hAnsi="Arial" w:cs="Arial"/>
            <w:noProof/>
            <w:color w:val="000000" w:themeColor="text1"/>
          </w:rPr>
          <w:fldChar w:fldCharType="end"/>
        </w:r>
      </w:p>
    </w:sdtContent>
  </w:sdt>
  <w:p w:rsidR="00D53CFD" w:rsidRPr="00D53CFD" w:rsidRDefault="00D53CFD" w:rsidP="00BB6AFF">
    <w:pPr>
      <w:pStyle w:val="Footer"/>
      <w:jc w:val="right"/>
      <w:rPr>
        <w:rFonts w:ascii="Arial" w:hAnsi="Arial" w:cs="Arial"/>
        <w:color w:val="4A442A" w:themeColor="background2" w:themeShade="40"/>
        <w:sz w:val="16"/>
        <w:szCs w:val="16"/>
      </w:rPr>
    </w:pPr>
    <w:r w:rsidRPr="00D53CFD">
      <w:rPr>
        <w:rFonts w:ascii="Arial" w:hAnsi="Arial" w:cs="Arial"/>
        <w:color w:val="4A442A" w:themeColor="background2" w:themeShade="40"/>
        <w:sz w:val="16"/>
        <w:szCs w:val="16"/>
      </w:rPr>
      <w:t>Chichester District Council</w:t>
    </w:r>
  </w:p>
  <w:p w:rsidR="00D53CFD" w:rsidRPr="00D53CFD" w:rsidRDefault="00D53CFD" w:rsidP="00747637">
    <w:pPr>
      <w:pStyle w:val="Footer"/>
      <w:jc w:val="right"/>
      <w:rPr>
        <w:rFonts w:ascii="Arial" w:hAnsi="Arial" w:cs="Arial"/>
        <w:color w:val="4A442A" w:themeColor="background2" w:themeShade="40"/>
        <w:sz w:val="16"/>
        <w:szCs w:val="16"/>
      </w:rPr>
    </w:pPr>
    <w:r w:rsidRPr="00D53CFD">
      <w:rPr>
        <w:rFonts w:ascii="Arial" w:hAnsi="Arial" w:cs="Arial"/>
        <w:color w:val="4A442A" w:themeColor="background2" w:themeShade="40"/>
        <w:sz w:val="16"/>
        <w:szCs w:val="16"/>
      </w:rPr>
      <w:t xml:space="preserve">Statement of Accounts 2019-20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730190"/>
      <w:docPartObj>
        <w:docPartGallery w:val="Page Numbers (Bottom of Page)"/>
        <w:docPartUnique/>
      </w:docPartObj>
    </w:sdtPr>
    <w:sdtEndPr>
      <w:rPr>
        <w:noProof/>
      </w:rPr>
    </w:sdtEndPr>
    <w:sdtContent>
      <w:p w:rsidR="00D53CFD" w:rsidRDefault="00D53CFD">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sidR="00163156">
          <w:rPr>
            <w:rFonts w:ascii="Arial" w:hAnsi="Arial" w:cs="Arial"/>
            <w:noProof/>
          </w:rPr>
          <w:t>20</w:t>
        </w:r>
        <w:r w:rsidRPr="00415E85">
          <w:rPr>
            <w:rFonts w:ascii="Arial" w:hAnsi="Arial" w:cs="Arial"/>
            <w:noProof/>
          </w:rPr>
          <w:fldChar w:fldCharType="end"/>
        </w:r>
      </w:p>
    </w:sdtContent>
  </w:sdt>
  <w:p w:rsidR="00D53CFD" w:rsidRPr="00D53CFD" w:rsidRDefault="00D53CFD" w:rsidP="00BB6AFF">
    <w:pPr>
      <w:pStyle w:val="Footer"/>
      <w:jc w:val="right"/>
      <w:rPr>
        <w:rFonts w:ascii="Arial" w:hAnsi="Arial" w:cs="Arial"/>
        <w:color w:val="4A442A" w:themeColor="background2" w:themeShade="40"/>
        <w:sz w:val="16"/>
        <w:szCs w:val="16"/>
      </w:rPr>
    </w:pPr>
    <w:r w:rsidRPr="00D53CFD">
      <w:rPr>
        <w:rFonts w:ascii="Arial" w:hAnsi="Arial" w:cs="Arial"/>
        <w:color w:val="4A442A" w:themeColor="background2" w:themeShade="40"/>
        <w:sz w:val="16"/>
        <w:szCs w:val="16"/>
      </w:rPr>
      <w:t>Chichester District Council</w:t>
    </w:r>
  </w:p>
  <w:p w:rsidR="00D53CFD" w:rsidRPr="00D53CFD" w:rsidRDefault="00D53CFD">
    <w:pPr>
      <w:pStyle w:val="Footer"/>
      <w:jc w:val="right"/>
      <w:rPr>
        <w:rFonts w:ascii="Arial" w:hAnsi="Arial" w:cs="Arial"/>
        <w:color w:val="7F7F7F" w:themeColor="text1" w:themeTint="80"/>
        <w:sz w:val="16"/>
        <w:szCs w:val="16"/>
      </w:rPr>
    </w:pPr>
    <w:r w:rsidRPr="00D53CFD">
      <w:rPr>
        <w:rFonts w:ascii="Arial" w:hAnsi="Arial" w:cs="Arial"/>
        <w:color w:val="4A442A" w:themeColor="background2" w:themeShade="40"/>
        <w:sz w:val="16"/>
        <w:szCs w:val="16"/>
      </w:rPr>
      <w:t>Statement of Accounts 2019-20</w:t>
    </w:r>
    <w:r w:rsidRPr="00D53CFD">
      <w:rPr>
        <w:rFonts w:ascii="Arial" w:hAnsi="Arial" w:cs="Arial"/>
        <w:color w:val="7F7F7F" w:themeColor="text1" w:themeTint="80"/>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C3D" w:rsidRDefault="000B6C3D">
      <w:r>
        <w:separator/>
      </w:r>
    </w:p>
  </w:footnote>
  <w:footnote w:type="continuationSeparator" w:id="0">
    <w:p w:rsidR="000B6C3D" w:rsidRDefault="000B6C3D">
      <w:r>
        <w:continuationSeparator/>
      </w:r>
    </w:p>
  </w:footnote>
  <w:footnote w:type="continuationNotice" w:id="1">
    <w:p w:rsidR="000B6C3D" w:rsidRDefault="000B6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FD" w:rsidRDefault="00D53C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5"/>
    <w:lvl w:ilvl="0">
      <w:start w:val="1"/>
      <w:numFmt w:val="bullet"/>
      <w:pStyle w:val="ListBullet5"/>
      <w:lvlText w:val=""/>
      <w:lvlJc w:val="left"/>
      <w:pPr>
        <w:tabs>
          <w:tab w:val="num" w:pos="1800"/>
        </w:tabs>
        <w:ind w:left="1800" w:hanging="360"/>
      </w:pPr>
      <w:rPr>
        <w:rFonts w:ascii="Symbol" w:hAnsi="Symbol"/>
      </w:rPr>
    </w:lvl>
  </w:abstractNum>
  <w:abstractNum w:abstractNumId="3" w15:restartNumberingAfterBreak="0">
    <w:nsid w:val="00000003"/>
    <w:multiLevelType w:val="singleLevel"/>
    <w:tmpl w:val="00000003"/>
    <w:name w:val="WW8Num6"/>
    <w:lvl w:ilvl="0">
      <w:start w:val="1"/>
      <w:numFmt w:val="bullet"/>
      <w:pStyle w:val="ListBullet4"/>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5"/>
    <w:multiLevelType w:val="singleLevel"/>
    <w:tmpl w:val="00000005"/>
    <w:name w:val="WW8Num8"/>
    <w:lvl w:ilvl="0">
      <w:start w:val="1"/>
      <w:numFmt w:val="bullet"/>
      <w:pStyle w:val="ListBullet2"/>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0"/>
    <w:lvl w:ilvl="0">
      <w:start w:val="1"/>
      <w:numFmt w:val="bullet"/>
      <w:pStyle w:val="ListBullet"/>
      <w:lvlText w:val=""/>
      <w:lvlJc w:val="left"/>
      <w:pPr>
        <w:tabs>
          <w:tab w:val="num" w:pos="360"/>
        </w:tabs>
        <w:ind w:left="360" w:hanging="360"/>
      </w:pPr>
      <w:rPr>
        <w:rFonts w:ascii="Symbol" w:hAnsi="Symbol"/>
      </w:rPr>
    </w:lvl>
  </w:abstractNum>
  <w:abstractNum w:abstractNumId="7" w15:restartNumberingAfterBreak="0">
    <w:nsid w:val="00000007"/>
    <w:multiLevelType w:val="singleLevel"/>
    <w:tmpl w:val="00000007"/>
    <w:name w:val="WW8Num11"/>
    <w:lvl w:ilvl="0">
      <w:start w:val="1"/>
      <w:numFmt w:val="lowerRoman"/>
      <w:lvlText w:val="%1."/>
      <w:lvlJc w:val="left"/>
      <w:pPr>
        <w:tabs>
          <w:tab w:val="num" w:pos="720"/>
        </w:tabs>
        <w:ind w:left="720" w:hanging="360"/>
      </w:pPr>
    </w:lvl>
  </w:abstractNum>
  <w:abstractNum w:abstractNumId="8" w15:restartNumberingAfterBreak="0">
    <w:nsid w:val="00000008"/>
    <w:multiLevelType w:val="multilevel"/>
    <w:tmpl w:val="70584F4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0000009"/>
    <w:multiLevelType w:val="singleLevel"/>
    <w:tmpl w:val="00000009"/>
    <w:name w:val="WW8Num15"/>
    <w:lvl w:ilvl="0">
      <w:start w:val="1"/>
      <w:numFmt w:val="decimal"/>
      <w:pStyle w:val="Bodytextnumbered"/>
      <w:lvlText w:val="%1"/>
      <w:lvlJc w:val="left"/>
      <w:pPr>
        <w:tabs>
          <w:tab w:val="num" w:pos="397"/>
        </w:tabs>
        <w:ind w:left="397" w:hanging="397"/>
      </w:pPr>
      <w:rPr>
        <w:b/>
        <w:i w:val="0"/>
        <w:color w:val="7AB800"/>
        <w:sz w:val="24"/>
        <w:szCs w:val="20"/>
      </w:rPr>
    </w:lvl>
  </w:abstractNum>
  <w:abstractNum w:abstractNumId="10" w15:restartNumberingAfterBreak="0">
    <w:nsid w:val="0000000A"/>
    <w:multiLevelType w:val="multilevel"/>
    <w:tmpl w:val="693ED24E"/>
    <w:name w:val="WW8Num16"/>
    <w:lvl w:ilvl="0">
      <w:start w:val="1"/>
      <w:numFmt w:val="decimal"/>
      <w:lvlText w:val="%1."/>
      <w:lvlJc w:val="left"/>
      <w:pPr>
        <w:tabs>
          <w:tab w:val="num" w:pos="885"/>
        </w:tabs>
        <w:ind w:left="885" w:hanging="525"/>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singleLevel"/>
    <w:tmpl w:val="0000000B"/>
    <w:name w:val="WW8Num17"/>
    <w:lvl w:ilvl="0">
      <w:start w:val="2"/>
      <w:numFmt w:val="lowerRoman"/>
      <w:lvlText w:val="%1)"/>
      <w:lvlJc w:val="left"/>
      <w:pPr>
        <w:tabs>
          <w:tab w:val="num" w:pos="1080"/>
        </w:tabs>
        <w:ind w:left="1080" w:hanging="720"/>
      </w:pPr>
      <w:rPr>
        <w:b/>
      </w:rPr>
    </w:lvl>
  </w:abstractNum>
  <w:abstractNum w:abstractNumId="12"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25"/>
    <w:lvl w:ilvl="0">
      <w:start w:val="4"/>
      <w:numFmt w:val="decimal"/>
      <w:lvlText w:val="%1."/>
      <w:lvlJc w:val="left"/>
      <w:pPr>
        <w:tabs>
          <w:tab w:val="num" w:pos="705"/>
        </w:tabs>
        <w:ind w:left="705" w:hanging="705"/>
      </w:pPr>
      <w:rPr>
        <w:b/>
      </w:rPr>
    </w:lvl>
  </w:abstractNum>
  <w:abstractNum w:abstractNumId="14" w15:restartNumberingAfterBreak="0">
    <w:nsid w:val="0000000E"/>
    <w:multiLevelType w:val="singleLevel"/>
    <w:tmpl w:val="0000000E"/>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F"/>
    <w:multiLevelType w:val="singleLevel"/>
    <w:tmpl w:val="0000000F"/>
    <w:name w:val="WW8Num30"/>
    <w:lvl w:ilvl="0">
      <w:start w:val="1"/>
      <w:numFmt w:val="bullet"/>
      <w:lvlText w:val=""/>
      <w:lvlJc w:val="left"/>
      <w:pPr>
        <w:tabs>
          <w:tab w:val="num" w:pos="1260"/>
        </w:tabs>
        <w:ind w:left="1260" w:hanging="360"/>
      </w:pPr>
      <w:rPr>
        <w:rFonts w:ascii="Symbol" w:hAnsi="Symbol"/>
      </w:rPr>
    </w:lvl>
  </w:abstractNum>
  <w:abstractNum w:abstractNumId="16" w15:restartNumberingAfterBreak="0">
    <w:nsid w:val="00000010"/>
    <w:multiLevelType w:val="singleLevel"/>
    <w:tmpl w:val="00000010"/>
    <w:name w:val="WW8Num3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1"/>
    <w:multiLevelType w:val="singleLevel"/>
    <w:tmpl w:val="00000011"/>
    <w:name w:val="WW8Num33"/>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3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3"/>
    <w:multiLevelType w:val="singleLevel"/>
    <w:tmpl w:val="00000013"/>
    <w:name w:val="WW8Num37"/>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4"/>
    <w:multiLevelType w:val="multilevel"/>
    <w:tmpl w:val="4E86C97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00000015"/>
    <w:multiLevelType w:val="multilevel"/>
    <w:tmpl w:val="B0B82F06"/>
    <w:name w:val="WW8Num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6"/>
    <w:multiLevelType w:val="singleLevel"/>
    <w:tmpl w:val="00000016"/>
    <w:name w:val="WW8Num44"/>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7"/>
    <w:multiLevelType w:val="singleLevel"/>
    <w:tmpl w:val="00000017"/>
    <w:name w:val="WW8Num51"/>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8"/>
    <w:multiLevelType w:val="singleLevel"/>
    <w:tmpl w:val="00000018"/>
    <w:name w:val="WW8Num52"/>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19"/>
    <w:multiLevelType w:val="singleLevel"/>
    <w:tmpl w:val="00000019"/>
    <w:name w:val="WW8Num54"/>
    <w:lvl w:ilvl="0">
      <w:start w:val="1"/>
      <w:numFmt w:val="bullet"/>
      <w:lvlText w:val=""/>
      <w:lvlJc w:val="left"/>
      <w:pPr>
        <w:tabs>
          <w:tab w:val="num" w:pos="1440"/>
        </w:tabs>
        <w:ind w:left="1440" w:hanging="360"/>
      </w:pPr>
      <w:rPr>
        <w:rFonts w:ascii="Symbol" w:hAnsi="Symbol"/>
      </w:rPr>
    </w:lvl>
  </w:abstractNum>
  <w:abstractNum w:abstractNumId="26" w15:restartNumberingAfterBreak="0">
    <w:nsid w:val="0000001A"/>
    <w:multiLevelType w:val="multilevel"/>
    <w:tmpl w:val="0000001A"/>
    <w:name w:val="WW8Num56"/>
    <w:lvl w:ilvl="0">
      <w:start w:val="1"/>
      <w:numFmt w:val="decimal"/>
      <w:lvlText w:val="%1"/>
      <w:lvlJc w:val="left"/>
      <w:pPr>
        <w:tabs>
          <w:tab w:val="num" w:pos="720"/>
        </w:tabs>
        <w:ind w:left="720" w:hanging="720"/>
      </w:pPr>
      <w:rPr>
        <w:sz w:val="18"/>
      </w:rPr>
    </w:lvl>
    <w:lvl w:ilvl="1">
      <w:start w:val="2"/>
      <w:numFmt w:val="decimal"/>
      <w:lvlText w:val="%1.%2"/>
      <w:lvlJc w:val="left"/>
      <w:pPr>
        <w:tabs>
          <w:tab w:val="num" w:pos="720"/>
        </w:tabs>
        <w:ind w:left="720" w:hanging="720"/>
      </w:pPr>
      <w:rPr>
        <w:sz w:val="18"/>
      </w:rPr>
    </w:lvl>
    <w:lvl w:ilvl="2">
      <w:start w:val="1"/>
      <w:numFmt w:val="decimal"/>
      <w:lvlText w:val="%1.%2.%3"/>
      <w:lvlJc w:val="left"/>
      <w:pPr>
        <w:tabs>
          <w:tab w:val="num" w:pos="720"/>
        </w:tabs>
        <w:ind w:left="720" w:hanging="720"/>
      </w:pPr>
      <w:rPr>
        <w:sz w:val="18"/>
      </w:rPr>
    </w:lvl>
    <w:lvl w:ilvl="3">
      <w:start w:val="1"/>
      <w:numFmt w:val="decimal"/>
      <w:lvlText w:val="%1.%2.%3.%4"/>
      <w:lvlJc w:val="left"/>
      <w:pPr>
        <w:tabs>
          <w:tab w:val="num" w:pos="720"/>
        </w:tabs>
        <w:ind w:left="720" w:hanging="720"/>
      </w:pPr>
      <w:rPr>
        <w:sz w:val="18"/>
      </w:rPr>
    </w:lvl>
    <w:lvl w:ilvl="4">
      <w:start w:val="1"/>
      <w:numFmt w:val="decimal"/>
      <w:lvlText w:val="%1.%2.%3.%4.%5"/>
      <w:lvlJc w:val="left"/>
      <w:pPr>
        <w:tabs>
          <w:tab w:val="num" w:pos="1080"/>
        </w:tabs>
        <w:ind w:left="1080" w:hanging="1080"/>
      </w:pPr>
      <w:rPr>
        <w:sz w:val="18"/>
      </w:rPr>
    </w:lvl>
    <w:lvl w:ilvl="5">
      <w:start w:val="1"/>
      <w:numFmt w:val="decimal"/>
      <w:lvlText w:val="%1.%2.%3.%4.%5.%6"/>
      <w:lvlJc w:val="left"/>
      <w:pPr>
        <w:tabs>
          <w:tab w:val="num" w:pos="1080"/>
        </w:tabs>
        <w:ind w:left="1080" w:hanging="1080"/>
      </w:pPr>
      <w:rPr>
        <w:sz w:val="18"/>
      </w:rPr>
    </w:lvl>
    <w:lvl w:ilvl="6">
      <w:start w:val="1"/>
      <w:numFmt w:val="decimal"/>
      <w:lvlText w:val="%1.%2.%3.%4.%5.%6.%7"/>
      <w:lvlJc w:val="left"/>
      <w:pPr>
        <w:tabs>
          <w:tab w:val="num" w:pos="1440"/>
        </w:tabs>
        <w:ind w:left="1440" w:hanging="1440"/>
      </w:pPr>
      <w:rPr>
        <w:sz w:val="18"/>
      </w:rPr>
    </w:lvl>
    <w:lvl w:ilvl="7">
      <w:start w:val="1"/>
      <w:numFmt w:val="decimal"/>
      <w:lvlText w:val="%1.%2.%3.%4.%5.%6.%7.%8"/>
      <w:lvlJc w:val="left"/>
      <w:pPr>
        <w:tabs>
          <w:tab w:val="num" w:pos="1440"/>
        </w:tabs>
        <w:ind w:left="1440" w:hanging="1440"/>
      </w:pPr>
      <w:rPr>
        <w:sz w:val="18"/>
      </w:rPr>
    </w:lvl>
    <w:lvl w:ilvl="8">
      <w:start w:val="1"/>
      <w:numFmt w:val="decimal"/>
      <w:lvlText w:val="%1.%2.%3.%4.%5.%6.%7.%8.%9"/>
      <w:lvlJc w:val="left"/>
      <w:pPr>
        <w:tabs>
          <w:tab w:val="num" w:pos="1440"/>
        </w:tabs>
        <w:ind w:left="1440" w:hanging="1440"/>
      </w:pPr>
      <w:rPr>
        <w:sz w:val="18"/>
      </w:rPr>
    </w:lvl>
  </w:abstractNum>
  <w:abstractNum w:abstractNumId="27" w15:restartNumberingAfterBreak="0">
    <w:nsid w:val="0000001B"/>
    <w:multiLevelType w:val="singleLevel"/>
    <w:tmpl w:val="0000001B"/>
    <w:name w:val="WW8Num59"/>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C"/>
    <w:multiLevelType w:val="singleLevel"/>
    <w:tmpl w:val="0000001C"/>
    <w:name w:val="WW8Num60"/>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1D"/>
    <w:multiLevelType w:val="singleLevel"/>
    <w:tmpl w:val="0000001D"/>
    <w:name w:val="WW8Num63"/>
    <w:lvl w:ilvl="0">
      <w:start w:val="1"/>
      <w:numFmt w:val="bullet"/>
      <w:lvlText w:val=""/>
      <w:lvlJc w:val="left"/>
      <w:pPr>
        <w:tabs>
          <w:tab w:val="num" w:pos="360"/>
        </w:tabs>
        <w:ind w:left="360" w:hanging="360"/>
      </w:pPr>
      <w:rPr>
        <w:rFonts w:ascii="Symbol" w:hAnsi="Symbol"/>
      </w:rPr>
    </w:lvl>
  </w:abstractNum>
  <w:abstractNum w:abstractNumId="30" w15:restartNumberingAfterBreak="0">
    <w:nsid w:val="0000001E"/>
    <w:multiLevelType w:val="singleLevel"/>
    <w:tmpl w:val="0000001E"/>
    <w:name w:val="WW8Num67"/>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1F"/>
    <w:multiLevelType w:val="singleLevel"/>
    <w:tmpl w:val="0000001F"/>
    <w:name w:val="WW8Num68"/>
    <w:lvl w:ilvl="0">
      <w:start w:val="1"/>
      <w:numFmt w:val="bullet"/>
      <w:lvlText w:val=""/>
      <w:lvlJc w:val="left"/>
      <w:pPr>
        <w:tabs>
          <w:tab w:val="num" w:pos="720"/>
        </w:tabs>
        <w:ind w:left="720" w:hanging="360"/>
      </w:pPr>
      <w:rPr>
        <w:rFonts w:ascii="Symbol" w:hAnsi="Symbol"/>
      </w:rPr>
    </w:lvl>
  </w:abstractNum>
  <w:abstractNum w:abstractNumId="32" w15:restartNumberingAfterBreak="0">
    <w:nsid w:val="00000020"/>
    <w:multiLevelType w:val="singleLevel"/>
    <w:tmpl w:val="00000020"/>
    <w:name w:val="WW8Num71"/>
    <w:lvl w:ilvl="0">
      <w:start w:val="1"/>
      <w:numFmt w:val="bullet"/>
      <w:lvlText w:val=""/>
      <w:lvlJc w:val="left"/>
      <w:pPr>
        <w:tabs>
          <w:tab w:val="num" w:pos="1440"/>
        </w:tabs>
        <w:ind w:left="1440" w:hanging="360"/>
      </w:pPr>
      <w:rPr>
        <w:rFonts w:ascii="Symbol" w:hAnsi="Symbol"/>
      </w:rPr>
    </w:lvl>
  </w:abstractNum>
  <w:abstractNum w:abstractNumId="33"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2"/>
    <w:multiLevelType w:val="singleLevel"/>
    <w:tmpl w:val="00000022"/>
    <w:name w:val="WW8Num76"/>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3"/>
    <w:multiLevelType w:val="singleLevel"/>
    <w:tmpl w:val="00000023"/>
    <w:name w:val="WW8Num82"/>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24"/>
    <w:multiLevelType w:val="singleLevel"/>
    <w:tmpl w:val="00000024"/>
    <w:name w:val="WW8Num85"/>
    <w:lvl w:ilvl="0">
      <w:start w:val="1"/>
      <w:numFmt w:val="bullet"/>
      <w:lvlText w:val=""/>
      <w:lvlJc w:val="left"/>
      <w:pPr>
        <w:tabs>
          <w:tab w:val="num" w:pos="1440"/>
        </w:tabs>
        <w:ind w:left="1440" w:hanging="360"/>
      </w:pPr>
      <w:rPr>
        <w:rFonts w:ascii="Symbol" w:hAnsi="Symbol"/>
      </w:rPr>
    </w:lvl>
  </w:abstractNum>
  <w:abstractNum w:abstractNumId="37" w15:restartNumberingAfterBreak="0">
    <w:nsid w:val="00000025"/>
    <w:multiLevelType w:val="singleLevel"/>
    <w:tmpl w:val="00000025"/>
    <w:name w:val="WW8Num86"/>
    <w:lvl w:ilvl="0">
      <w:start w:val="1"/>
      <w:numFmt w:val="bullet"/>
      <w:pStyle w:val="Bullet1"/>
      <w:lvlText w:val=""/>
      <w:lvlJc w:val="left"/>
      <w:pPr>
        <w:tabs>
          <w:tab w:val="num" w:pos="9936"/>
        </w:tabs>
        <w:ind w:left="9936" w:hanging="397"/>
      </w:pPr>
      <w:rPr>
        <w:rFonts w:ascii="Symbol" w:hAnsi="Symbol"/>
      </w:rPr>
    </w:lvl>
  </w:abstractNum>
  <w:abstractNum w:abstractNumId="38" w15:restartNumberingAfterBreak="0">
    <w:nsid w:val="00000026"/>
    <w:multiLevelType w:val="singleLevel"/>
    <w:tmpl w:val="00000026"/>
    <w:name w:val="WW8Num87"/>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7"/>
    <w:multiLevelType w:val="singleLevel"/>
    <w:tmpl w:val="00000027"/>
    <w:name w:val="WW8Num88"/>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8"/>
    <w:multiLevelType w:val="singleLevel"/>
    <w:tmpl w:val="00000028"/>
    <w:name w:val="WW8Num89"/>
    <w:lvl w:ilvl="0">
      <w:start w:val="1"/>
      <w:numFmt w:val="bullet"/>
      <w:lvlText w:val=""/>
      <w:lvlJc w:val="left"/>
      <w:pPr>
        <w:tabs>
          <w:tab w:val="num" w:pos="720"/>
        </w:tabs>
        <w:ind w:left="720" w:hanging="360"/>
      </w:pPr>
      <w:rPr>
        <w:rFonts w:ascii="Symbol" w:hAnsi="Symbol"/>
      </w:rPr>
    </w:lvl>
  </w:abstractNum>
  <w:abstractNum w:abstractNumId="41" w15:restartNumberingAfterBreak="0">
    <w:nsid w:val="00000029"/>
    <w:multiLevelType w:val="singleLevel"/>
    <w:tmpl w:val="00000029"/>
    <w:name w:val="WW8Num90"/>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2A"/>
    <w:multiLevelType w:val="singleLevel"/>
    <w:tmpl w:val="0000002A"/>
    <w:name w:val="WW8Num91"/>
    <w:lvl w:ilvl="0">
      <w:start w:val="1"/>
      <w:numFmt w:val="bullet"/>
      <w:lvlText w:val=""/>
      <w:lvlJc w:val="left"/>
      <w:pPr>
        <w:tabs>
          <w:tab w:val="num" w:pos="1440"/>
        </w:tabs>
        <w:ind w:left="1440" w:hanging="360"/>
      </w:pPr>
      <w:rPr>
        <w:rFonts w:ascii="Symbol" w:hAnsi="Symbol"/>
      </w:rPr>
    </w:lvl>
  </w:abstractNum>
  <w:abstractNum w:abstractNumId="43" w15:restartNumberingAfterBreak="0">
    <w:nsid w:val="0000002B"/>
    <w:multiLevelType w:val="singleLevel"/>
    <w:tmpl w:val="0000002B"/>
    <w:name w:val="WW8Num92"/>
    <w:lvl w:ilvl="0">
      <w:start w:val="1"/>
      <w:numFmt w:val="bullet"/>
      <w:lvlText w:val=""/>
      <w:lvlJc w:val="left"/>
      <w:pPr>
        <w:tabs>
          <w:tab w:val="num" w:pos="720"/>
        </w:tabs>
        <w:ind w:left="720" w:hanging="360"/>
      </w:pPr>
      <w:rPr>
        <w:rFonts w:ascii="Symbol" w:hAnsi="Symbol"/>
      </w:rPr>
    </w:lvl>
  </w:abstractNum>
  <w:abstractNum w:abstractNumId="44" w15:restartNumberingAfterBreak="0">
    <w:nsid w:val="0000002C"/>
    <w:multiLevelType w:val="singleLevel"/>
    <w:tmpl w:val="0000002C"/>
    <w:name w:val="WW8Num93"/>
    <w:lvl w:ilvl="0">
      <w:start w:val="1"/>
      <w:numFmt w:val="bullet"/>
      <w:lvlText w:val=""/>
      <w:lvlJc w:val="left"/>
      <w:pPr>
        <w:tabs>
          <w:tab w:val="num" w:pos="1440"/>
        </w:tabs>
        <w:ind w:left="1440" w:hanging="360"/>
      </w:pPr>
      <w:rPr>
        <w:rFonts w:ascii="Symbol" w:hAnsi="Symbol"/>
      </w:rPr>
    </w:lvl>
  </w:abstractNum>
  <w:abstractNum w:abstractNumId="45" w15:restartNumberingAfterBreak="0">
    <w:nsid w:val="0000002D"/>
    <w:multiLevelType w:val="singleLevel"/>
    <w:tmpl w:val="0000002D"/>
    <w:name w:val="WW8Num94"/>
    <w:lvl w:ilvl="0">
      <w:start w:val="1"/>
      <w:numFmt w:val="bullet"/>
      <w:lvlText w:val=""/>
      <w:lvlJc w:val="left"/>
      <w:pPr>
        <w:tabs>
          <w:tab w:val="num" w:pos="720"/>
        </w:tabs>
        <w:ind w:left="720" w:hanging="360"/>
      </w:pPr>
      <w:rPr>
        <w:rFonts w:ascii="Symbol" w:hAnsi="Symbol"/>
      </w:rPr>
    </w:lvl>
  </w:abstractNum>
  <w:abstractNum w:abstractNumId="46" w15:restartNumberingAfterBreak="0">
    <w:nsid w:val="0000002E"/>
    <w:multiLevelType w:val="singleLevel"/>
    <w:tmpl w:val="0000002E"/>
    <w:name w:val="WW8Num96"/>
    <w:lvl w:ilvl="0">
      <w:start w:val="1"/>
      <w:numFmt w:val="bullet"/>
      <w:lvlText w:val=""/>
      <w:lvlJc w:val="left"/>
      <w:pPr>
        <w:tabs>
          <w:tab w:val="num" w:pos="360"/>
        </w:tabs>
        <w:ind w:left="360" w:hanging="360"/>
      </w:pPr>
      <w:rPr>
        <w:rFonts w:ascii="Symbol" w:hAnsi="Symbol"/>
      </w:rPr>
    </w:lvl>
  </w:abstractNum>
  <w:abstractNum w:abstractNumId="47" w15:restartNumberingAfterBreak="0">
    <w:nsid w:val="0000002F"/>
    <w:multiLevelType w:val="singleLevel"/>
    <w:tmpl w:val="0000002F"/>
    <w:name w:val="WW8Num100"/>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30"/>
    <w:multiLevelType w:val="singleLevel"/>
    <w:tmpl w:val="00000030"/>
    <w:name w:val="WW8Num105"/>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1"/>
    <w:multiLevelType w:val="singleLevel"/>
    <w:tmpl w:val="00000031"/>
    <w:name w:val="WW8Num106"/>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32"/>
    <w:multiLevelType w:val="singleLevel"/>
    <w:tmpl w:val="00000032"/>
    <w:name w:val="WW8Num109"/>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33"/>
    <w:multiLevelType w:val="singleLevel"/>
    <w:tmpl w:val="00000033"/>
    <w:name w:val="WW8Num112"/>
    <w:lvl w:ilvl="0">
      <w:start w:val="1"/>
      <w:numFmt w:val="bullet"/>
      <w:lvlText w:val=""/>
      <w:lvlJc w:val="left"/>
      <w:pPr>
        <w:tabs>
          <w:tab w:val="num" w:pos="1004"/>
        </w:tabs>
        <w:ind w:left="1004" w:hanging="360"/>
      </w:pPr>
      <w:rPr>
        <w:rFonts w:ascii="Symbol" w:hAnsi="Symbol"/>
      </w:rPr>
    </w:lvl>
  </w:abstractNum>
  <w:abstractNum w:abstractNumId="52" w15:restartNumberingAfterBreak="0">
    <w:nsid w:val="00000034"/>
    <w:multiLevelType w:val="singleLevel"/>
    <w:tmpl w:val="00000034"/>
    <w:name w:val="WW8Num113"/>
    <w:lvl w:ilvl="0">
      <w:start w:val="1"/>
      <w:numFmt w:val="lowerRoman"/>
      <w:lvlText w:val="%1."/>
      <w:lvlJc w:val="left"/>
      <w:pPr>
        <w:tabs>
          <w:tab w:val="num" w:pos="720"/>
        </w:tabs>
        <w:ind w:left="720" w:hanging="360"/>
      </w:pPr>
    </w:lvl>
  </w:abstractNum>
  <w:abstractNum w:abstractNumId="53" w15:restartNumberingAfterBreak="0">
    <w:nsid w:val="00000035"/>
    <w:multiLevelType w:val="singleLevel"/>
    <w:tmpl w:val="00000035"/>
    <w:name w:val="WW8Num122"/>
    <w:lvl w:ilvl="0">
      <w:start w:val="1"/>
      <w:numFmt w:val="decimal"/>
      <w:lvlText w:val="%1."/>
      <w:lvlJc w:val="left"/>
      <w:pPr>
        <w:tabs>
          <w:tab w:val="num" w:pos="360"/>
        </w:tabs>
        <w:ind w:left="360" w:hanging="360"/>
      </w:pPr>
    </w:lvl>
  </w:abstractNum>
  <w:abstractNum w:abstractNumId="54" w15:restartNumberingAfterBreak="0">
    <w:nsid w:val="00000036"/>
    <w:multiLevelType w:val="singleLevel"/>
    <w:tmpl w:val="00000036"/>
    <w:name w:val="WW8Num124"/>
    <w:lvl w:ilvl="0">
      <w:start w:val="1"/>
      <w:numFmt w:val="bullet"/>
      <w:lvlText w:val=""/>
      <w:lvlJc w:val="left"/>
      <w:pPr>
        <w:tabs>
          <w:tab w:val="num" w:pos="720"/>
        </w:tabs>
        <w:ind w:left="720" w:hanging="360"/>
      </w:pPr>
      <w:rPr>
        <w:rFonts w:ascii="Symbol" w:hAnsi="Symbol"/>
      </w:rPr>
    </w:lvl>
  </w:abstractNum>
  <w:abstractNum w:abstractNumId="55" w15:restartNumberingAfterBreak="0">
    <w:nsid w:val="00000037"/>
    <w:multiLevelType w:val="singleLevel"/>
    <w:tmpl w:val="00000037"/>
    <w:name w:val="WW8Num125"/>
    <w:lvl w:ilvl="0">
      <w:start w:val="1"/>
      <w:numFmt w:val="bullet"/>
      <w:lvlText w:val=""/>
      <w:lvlJc w:val="left"/>
      <w:pPr>
        <w:tabs>
          <w:tab w:val="num" w:pos="720"/>
        </w:tabs>
        <w:ind w:left="720" w:hanging="360"/>
      </w:pPr>
      <w:rPr>
        <w:rFonts w:ascii="Symbol" w:hAnsi="Symbol"/>
      </w:rPr>
    </w:lvl>
  </w:abstractNum>
  <w:abstractNum w:abstractNumId="56" w15:restartNumberingAfterBreak="0">
    <w:nsid w:val="00000038"/>
    <w:multiLevelType w:val="multilevel"/>
    <w:tmpl w:val="00000038"/>
    <w:name w:val="WW8Num127"/>
    <w:lvl w:ilvl="0">
      <w:start w:val="1"/>
      <w:numFmt w:val="bullet"/>
      <w:lvlText w:val=""/>
      <w:lvlJc w:val="left"/>
      <w:pPr>
        <w:tabs>
          <w:tab w:val="num" w:pos="780"/>
        </w:tabs>
        <w:ind w:left="780" w:hanging="360"/>
      </w:pPr>
      <w:rPr>
        <w:rFonts w:ascii="Wingdings" w:hAnsi="Wingdings"/>
      </w:rPr>
    </w:lvl>
    <w:lvl w:ilvl="1">
      <w:start w:val="8"/>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57" w15:restartNumberingAfterBreak="0">
    <w:nsid w:val="00000039"/>
    <w:multiLevelType w:val="singleLevel"/>
    <w:tmpl w:val="00000039"/>
    <w:lvl w:ilvl="0">
      <w:start w:val="1"/>
      <w:numFmt w:val="bullet"/>
      <w:lvlText w:val=""/>
      <w:lvlJc w:val="left"/>
      <w:pPr>
        <w:ind w:left="720" w:hanging="360"/>
      </w:pPr>
      <w:rPr>
        <w:rFonts w:ascii="Wingdings" w:hAnsi="Wingdings"/>
      </w:rPr>
    </w:lvl>
  </w:abstractNum>
  <w:abstractNum w:abstractNumId="58" w15:restartNumberingAfterBreak="0">
    <w:nsid w:val="0000003A"/>
    <w:multiLevelType w:val="singleLevel"/>
    <w:tmpl w:val="0000003A"/>
    <w:name w:val="WW8Num134"/>
    <w:lvl w:ilvl="0">
      <w:start w:val="1"/>
      <w:numFmt w:val="bullet"/>
      <w:lvlText w:val=""/>
      <w:lvlJc w:val="left"/>
      <w:pPr>
        <w:tabs>
          <w:tab w:val="num" w:pos="1440"/>
        </w:tabs>
        <w:ind w:left="1440" w:hanging="360"/>
      </w:pPr>
      <w:rPr>
        <w:rFonts w:ascii="Symbol" w:hAnsi="Symbol"/>
      </w:rPr>
    </w:lvl>
  </w:abstractNum>
  <w:abstractNum w:abstractNumId="59" w15:restartNumberingAfterBreak="0">
    <w:nsid w:val="0000003B"/>
    <w:multiLevelType w:val="singleLevel"/>
    <w:tmpl w:val="0000003B"/>
    <w:name w:val="WW8Num139"/>
    <w:lvl w:ilvl="0">
      <w:start w:val="1"/>
      <w:numFmt w:val="lowerLetter"/>
      <w:lvlText w:val="(%1)"/>
      <w:lvlJc w:val="left"/>
      <w:pPr>
        <w:tabs>
          <w:tab w:val="num" w:pos="720"/>
        </w:tabs>
        <w:ind w:left="720" w:hanging="360"/>
      </w:pPr>
    </w:lvl>
  </w:abstractNum>
  <w:abstractNum w:abstractNumId="60" w15:restartNumberingAfterBreak="0">
    <w:nsid w:val="0000003C"/>
    <w:multiLevelType w:val="singleLevel"/>
    <w:tmpl w:val="0000003C"/>
    <w:name w:val="WW8Num141"/>
    <w:lvl w:ilvl="0">
      <w:start w:val="1"/>
      <w:numFmt w:val="bullet"/>
      <w:lvlText w:val=""/>
      <w:lvlJc w:val="left"/>
      <w:pPr>
        <w:tabs>
          <w:tab w:val="num" w:pos="720"/>
        </w:tabs>
        <w:ind w:left="720" w:hanging="360"/>
      </w:pPr>
      <w:rPr>
        <w:rFonts w:ascii="Symbol" w:hAnsi="Symbol"/>
      </w:rPr>
    </w:lvl>
  </w:abstractNum>
  <w:abstractNum w:abstractNumId="61" w15:restartNumberingAfterBreak="0">
    <w:nsid w:val="0000003D"/>
    <w:multiLevelType w:val="singleLevel"/>
    <w:tmpl w:val="0000003D"/>
    <w:name w:val="WW8Num144"/>
    <w:lvl w:ilvl="0">
      <w:start w:val="1"/>
      <w:numFmt w:val="bullet"/>
      <w:lvlText w:val=""/>
      <w:lvlJc w:val="left"/>
      <w:pPr>
        <w:tabs>
          <w:tab w:val="num" w:pos="720"/>
        </w:tabs>
        <w:ind w:left="720" w:hanging="360"/>
      </w:pPr>
      <w:rPr>
        <w:rFonts w:ascii="Symbol" w:hAnsi="Symbol"/>
      </w:rPr>
    </w:lvl>
  </w:abstractNum>
  <w:abstractNum w:abstractNumId="62" w15:restartNumberingAfterBreak="0">
    <w:nsid w:val="01037659"/>
    <w:multiLevelType w:val="hybridMultilevel"/>
    <w:tmpl w:val="D58877AE"/>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02CC6A8C"/>
    <w:multiLevelType w:val="hybridMultilevel"/>
    <w:tmpl w:val="C1FED186"/>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4" w15:restartNumberingAfterBreak="0">
    <w:nsid w:val="0A0D5662"/>
    <w:multiLevelType w:val="hybridMultilevel"/>
    <w:tmpl w:val="5F94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0BCA6C77"/>
    <w:multiLevelType w:val="hybridMultilevel"/>
    <w:tmpl w:val="5F86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vanish w:val="0"/>
        <w:webHidden w:val="0"/>
        <w:color w:val="000000"/>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F573679"/>
    <w:multiLevelType w:val="hybridMultilevel"/>
    <w:tmpl w:val="0A70D760"/>
    <w:lvl w:ilvl="0" w:tplc="6BBA1B18">
      <w:start w:val="1"/>
      <w:numFmt w:val="bullet"/>
      <w:lvlText w:val=""/>
      <w:lvlJc w:val="left"/>
      <w:pPr>
        <w:tabs>
          <w:tab w:val="num" w:pos="965"/>
        </w:tabs>
        <w:ind w:left="965" w:hanging="397"/>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8" w15:restartNumberingAfterBreak="0">
    <w:nsid w:val="116C10E3"/>
    <w:multiLevelType w:val="hybridMultilevel"/>
    <w:tmpl w:val="0CF438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75A12F8"/>
    <w:multiLevelType w:val="hybridMultilevel"/>
    <w:tmpl w:val="6F048AE4"/>
    <w:lvl w:ilvl="0" w:tplc="38A6AEF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9FD2E8D"/>
    <w:multiLevelType w:val="hybridMultilevel"/>
    <w:tmpl w:val="B39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C2020B6"/>
    <w:multiLevelType w:val="hybridMultilevel"/>
    <w:tmpl w:val="1702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C5930CD"/>
    <w:multiLevelType w:val="hybridMultilevel"/>
    <w:tmpl w:val="F1A83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1CBE60BB"/>
    <w:multiLevelType w:val="hybridMultilevel"/>
    <w:tmpl w:val="79B8E8A0"/>
    <w:lvl w:ilvl="0" w:tplc="E9C618E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CA026B76">
      <w:start w:val="2013"/>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D114792"/>
    <w:multiLevelType w:val="hybridMultilevel"/>
    <w:tmpl w:val="40E0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F094138"/>
    <w:multiLevelType w:val="hybridMultilevel"/>
    <w:tmpl w:val="669AA774"/>
    <w:lvl w:ilvl="0" w:tplc="E9C618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38F70BE"/>
    <w:multiLevelType w:val="hybridMultilevel"/>
    <w:tmpl w:val="097C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59A3C29"/>
    <w:multiLevelType w:val="hybridMultilevel"/>
    <w:tmpl w:val="4238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6541083"/>
    <w:multiLevelType w:val="hybridMultilevel"/>
    <w:tmpl w:val="3464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7EC35AF"/>
    <w:multiLevelType w:val="hybridMultilevel"/>
    <w:tmpl w:val="5EE6F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2CE508AB"/>
    <w:multiLevelType w:val="hybridMultilevel"/>
    <w:tmpl w:val="1370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08B1069"/>
    <w:multiLevelType w:val="hybridMultilevel"/>
    <w:tmpl w:val="586A5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2715803"/>
    <w:multiLevelType w:val="hybridMultilevel"/>
    <w:tmpl w:val="C5168508"/>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72555F8"/>
    <w:multiLevelType w:val="hybridMultilevel"/>
    <w:tmpl w:val="BF7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86257FF"/>
    <w:multiLevelType w:val="hybridMultilevel"/>
    <w:tmpl w:val="53B84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39594B07"/>
    <w:multiLevelType w:val="hybridMultilevel"/>
    <w:tmpl w:val="94E80B84"/>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6" w15:restartNumberingAfterBreak="0">
    <w:nsid w:val="3E591F26"/>
    <w:multiLevelType w:val="hybridMultilevel"/>
    <w:tmpl w:val="7852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19E0B46"/>
    <w:multiLevelType w:val="hybridMultilevel"/>
    <w:tmpl w:val="C658DA28"/>
    <w:lvl w:ilvl="0" w:tplc="D528F7B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38D2ECF"/>
    <w:multiLevelType w:val="hybridMultilevel"/>
    <w:tmpl w:val="6986A22C"/>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49D06B9"/>
    <w:multiLevelType w:val="hybridMultilevel"/>
    <w:tmpl w:val="3370C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44E67A78"/>
    <w:multiLevelType w:val="hybridMultilevel"/>
    <w:tmpl w:val="2DFC7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CD54128"/>
    <w:multiLevelType w:val="hybridMultilevel"/>
    <w:tmpl w:val="58EA7D38"/>
    <w:lvl w:ilvl="0" w:tplc="65C836B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0A3DFC"/>
    <w:multiLevelType w:val="hybridMultilevel"/>
    <w:tmpl w:val="AE08FF6A"/>
    <w:lvl w:ilvl="0" w:tplc="B39048E4">
      <w:start w:val="73"/>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19D2C3C"/>
    <w:multiLevelType w:val="multilevel"/>
    <w:tmpl w:val="7D2ECF32"/>
    <w:lvl w:ilvl="0">
      <w:start w:val="1"/>
      <w:numFmt w:val="bullet"/>
      <w:lvlText w:val=""/>
      <w:lvlJc w:val="left"/>
      <w:pPr>
        <w:tabs>
          <w:tab w:val="num" w:pos="794"/>
        </w:tabs>
        <w:ind w:left="794" w:hanging="397"/>
      </w:pPr>
      <w:rPr>
        <w:rFonts w:ascii="Symbol" w:hAnsi="Symbol" w:hint="default"/>
        <w:b/>
        <w:i w:val="0"/>
      </w:rPr>
    </w:lvl>
    <w:lvl w:ilvl="1">
      <w:start w:val="1"/>
      <w:numFmt w:val="decimal"/>
      <w:lvlText w:val="%1.%2."/>
      <w:lvlJc w:val="left"/>
      <w:pPr>
        <w:tabs>
          <w:tab w:val="num" w:pos="1474"/>
        </w:tabs>
        <w:ind w:left="1474" w:hanging="680"/>
      </w:pPr>
      <w:rPr>
        <w:rFonts w:hint="default"/>
      </w:rPr>
    </w:lvl>
    <w:lvl w:ilvl="2">
      <w:start w:val="1"/>
      <w:numFmt w:val="bullet"/>
      <w:lvlText w:val=""/>
      <w:lvlJc w:val="left"/>
      <w:pPr>
        <w:tabs>
          <w:tab w:val="num" w:pos="1871"/>
        </w:tabs>
        <w:ind w:left="1871" w:hanging="397"/>
      </w:pPr>
      <w:rPr>
        <w:rFonts w:ascii="Symbol" w:hAnsi="Symbol" w:hint="default"/>
      </w:rPr>
    </w:lvl>
    <w:lvl w:ilvl="3">
      <w:start w:val="1"/>
      <w:numFmt w:val="lowerRoman"/>
      <w:lvlText w:val="(%4)"/>
      <w:lvlJc w:val="left"/>
      <w:pPr>
        <w:tabs>
          <w:tab w:val="num" w:pos="2552"/>
        </w:tabs>
        <w:ind w:left="2552" w:hanging="681"/>
      </w:pPr>
      <w:rPr>
        <w:rFonts w:hint="default"/>
      </w:rPr>
    </w:lvl>
    <w:lvl w:ilvl="4">
      <w:start w:val="1"/>
      <w:numFmt w:val="decimal"/>
      <w:lvlText w:val="%1.%2.%3.%4.%5."/>
      <w:lvlJc w:val="left"/>
      <w:pPr>
        <w:tabs>
          <w:tab w:val="num" w:pos="2917"/>
        </w:tabs>
        <w:ind w:left="2629" w:hanging="792"/>
      </w:pPr>
      <w:rPr>
        <w:rFonts w:hint="default"/>
      </w:rPr>
    </w:lvl>
    <w:lvl w:ilvl="5">
      <w:start w:val="1"/>
      <w:numFmt w:val="decimal"/>
      <w:lvlText w:val="%1.%2.%3.%4.%5.%6."/>
      <w:lvlJc w:val="left"/>
      <w:pPr>
        <w:tabs>
          <w:tab w:val="num" w:pos="3637"/>
        </w:tabs>
        <w:ind w:left="3133" w:hanging="936"/>
      </w:pPr>
      <w:rPr>
        <w:rFonts w:hint="default"/>
      </w:rPr>
    </w:lvl>
    <w:lvl w:ilvl="6">
      <w:start w:val="1"/>
      <w:numFmt w:val="decimal"/>
      <w:lvlText w:val="%1.%2.%3.%4.%5.%6.%7."/>
      <w:lvlJc w:val="left"/>
      <w:pPr>
        <w:tabs>
          <w:tab w:val="num" w:pos="3997"/>
        </w:tabs>
        <w:ind w:left="3637" w:hanging="1080"/>
      </w:pPr>
      <w:rPr>
        <w:rFonts w:hint="default"/>
      </w:rPr>
    </w:lvl>
    <w:lvl w:ilvl="7">
      <w:start w:val="1"/>
      <w:numFmt w:val="decimal"/>
      <w:lvlText w:val="%1.%2.%3.%4.%5.%6.%7.%8."/>
      <w:lvlJc w:val="left"/>
      <w:pPr>
        <w:tabs>
          <w:tab w:val="num" w:pos="4717"/>
        </w:tabs>
        <w:ind w:left="4141" w:hanging="1224"/>
      </w:pPr>
      <w:rPr>
        <w:rFonts w:hint="default"/>
      </w:rPr>
    </w:lvl>
    <w:lvl w:ilvl="8">
      <w:start w:val="1"/>
      <w:numFmt w:val="decimal"/>
      <w:lvlText w:val="%1.%2.%3.%4.%5.%6.%7.%8.%9."/>
      <w:lvlJc w:val="left"/>
      <w:pPr>
        <w:tabs>
          <w:tab w:val="num" w:pos="5437"/>
        </w:tabs>
        <w:ind w:left="4717" w:hanging="1440"/>
      </w:pPr>
      <w:rPr>
        <w:rFonts w:hint="default"/>
      </w:rPr>
    </w:lvl>
  </w:abstractNum>
  <w:abstractNum w:abstractNumId="95" w15:restartNumberingAfterBreak="0">
    <w:nsid w:val="5609523C"/>
    <w:multiLevelType w:val="hybridMultilevel"/>
    <w:tmpl w:val="406E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A4F5B94"/>
    <w:multiLevelType w:val="multilevel"/>
    <w:tmpl w:val="29225652"/>
    <w:lvl w:ilvl="0">
      <w:start w:val="73"/>
      <w:numFmt w:val="decimal"/>
      <w:lvlText w:val="%1"/>
      <w:lvlJc w:val="left"/>
      <w:pPr>
        <w:ind w:left="600" w:hanging="600"/>
      </w:pPr>
      <w:rPr>
        <w:rFonts w:hint="default"/>
      </w:rPr>
    </w:lvl>
    <w:lvl w:ilvl="1">
      <w:start w:val="102"/>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7" w15:restartNumberingAfterBreak="0">
    <w:nsid w:val="5C71247B"/>
    <w:multiLevelType w:val="hybridMultilevel"/>
    <w:tmpl w:val="811220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8" w15:restartNumberingAfterBreak="0">
    <w:nsid w:val="5FAF0341"/>
    <w:multiLevelType w:val="multilevel"/>
    <w:tmpl w:val="6004F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013"/>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15:restartNumberingAfterBreak="0">
    <w:nsid w:val="630F062A"/>
    <w:multiLevelType w:val="hybridMultilevel"/>
    <w:tmpl w:val="E17C06FC"/>
    <w:lvl w:ilvl="0" w:tplc="584857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8B00156"/>
    <w:multiLevelType w:val="hybridMultilevel"/>
    <w:tmpl w:val="FEA215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8E13FCF"/>
    <w:multiLevelType w:val="hybridMultilevel"/>
    <w:tmpl w:val="25266D70"/>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7A24ADE"/>
    <w:multiLevelType w:val="multilevel"/>
    <w:tmpl w:val="6004F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013"/>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15:restartNumberingAfterBreak="0">
    <w:nsid w:val="786C178D"/>
    <w:multiLevelType w:val="hybridMultilevel"/>
    <w:tmpl w:val="405682D4"/>
    <w:lvl w:ilvl="0" w:tplc="0DD4D2C2">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BB64CA2"/>
    <w:multiLevelType w:val="hybridMultilevel"/>
    <w:tmpl w:val="6C92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8"/>
  </w:num>
  <w:num w:numId="7">
    <w:abstractNumId w:val="9"/>
  </w:num>
  <w:num w:numId="8">
    <w:abstractNumId w:val="10"/>
  </w:num>
  <w:num w:numId="9">
    <w:abstractNumId w:val="19"/>
  </w:num>
  <w:num w:numId="10">
    <w:abstractNumId w:val="20"/>
  </w:num>
  <w:num w:numId="11">
    <w:abstractNumId w:val="23"/>
  </w:num>
  <w:num w:numId="12">
    <w:abstractNumId w:val="25"/>
  </w:num>
  <w:num w:numId="13">
    <w:abstractNumId w:val="26"/>
  </w:num>
  <w:num w:numId="14">
    <w:abstractNumId w:val="28"/>
  </w:num>
  <w:num w:numId="15">
    <w:abstractNumId w:val="29"/>
  </w:num>
  <w:num w:numId="16">
    <w:abstractNumId w:val="34"/>
  </w:num>
  <w:num w:numId="17">
    <w:abstractNumId w:val="36"/>
  </w:num>
  <w:num w:numId="18">
    <w:abstractNumId w:val="37"/>
  </w:num>
  <w:num w:numId="19">
    <w:abstractNumId w:val="38"/>
  </w:num>
  <w:num w:numId="20">
    <w:abstractNumId w:val="39"/>
  </w:num>
  <w:num w:numId="21">
    <w:abstractNumId w:val="41"/>
  </w:num>
  <w:num w:numId="22">
    <w:abstractNumId w:val="44"/>
  </w:num>
  <w:num w:numId="23">
    <w:abstractNumId w:val="45"/>
  </w:num>
  <w:num w:numId="24">
    <w:abstractNumId w:val="46"/>
  </w:num>
  <w:num w:numId="25">
    <w:abstractNumId w:val="48"/>
  </w:num>
  <w:num w:numId="26">
    <w:abstractNumId w:val="49"/>
  </w:num>
  <w:num w:numId="27">
    <w:abstractNumId w:val="50"/>
  </w:num>
  <w:num w:numId="28">
    <w:abstractNumId w:val="53"/>
  </w:num>
  <w:num w:numId="29">
    <w:abstractNumId w:val="55"/>
  </w:num>
  <w:num w:numId="30">
    <w:abstractNumId w:val="57"/>
  </w:num>
  <w:num w:numId="31">
    <w:abstractNumId w:val="61"/>
  </w:num>
  <w:num w:numId="32">
    <w:abstractNumId w:val="0"/>
  </w:num>
  <w:num w:numId="33">
    <w:abstractNumId w:val="100"/>
  </w:num>
  <w:num w:numId="34">
    <w:abstractNumId w:val="92"/>
  </w:num>
  <w:num w:numId="35">
    <w:abstractNumId w:val="70"/>
  </w:num>
  <w:num w:numId="36">
    <w:abstractNumId w:val="73"/>
  </w:num>
  <w:num w:numId="37">
    <w:abstractNumId w:val="101"/>
  </w:num>
  <w:num w:numId="38">
    <w:abstractNumId w:val="62"/>
  </w:num>
  <w:num w:numId="39">
    <w:abstractNumId w:val="88"/>
  </w:num>
  <w:num w:numId="40">
    <w:abstractNumId w:val="103"/>
  </w:num>
  <w:num w:numId="41">
    <w:abstractNumId w:val="78"/>
  </w:num>
  <w:num w:numId="42">
    <w:abstractNumId w:val="85"/>
  </w:num>
  <w:num w:numId="43">
    <w:abstractNumId w:val="63"/>
  </w:num>
  <w:num w:numId="44">
    <w:abstractNumId w:val="81"/>
  </w:num>
  <w:num w:numId="45">
    <w:abstractNumId w:val="84"/>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4"/>
  </w:num>
  <w:num w:numId="48">
    <w:abstractNumId w:val="97"/>
  </w:num>
  <w:num w:numId="49">
    <w:abstractNumId w:val="95"/>
  </w:num>
  <w:num w:numId="50">
    <w:abstractNumId w:val="72"/>
  </w:num>
  <w:num w:numId="51">
    <w:abstractNumId w:val="87"/>
  </w:num>
  <w:num w:numId="52">
    <w:abstractNumId w:val="77"/>
  </w:num>
  <w:num w:numId="53">
    <w:abstractNumId w:val="79"/>
  </w:num>
  <w:num w:numId="54">
    <w:abstractNumId w:val="76"/>
  </w:num>
  <w:num w:numId="55">
    <w:abstractNumId w:val="94"/>
  </w:num>
  <w:num w:numId="56">
    <w:abstractNumId w:val="104"/>
  </w:num>
  <w:num w:numId="57">
    <w:abstractNumId w:val="1"/>
  </w:num>
  <w:num w:numId="58">
    <w:abstractNumId w:val="68"/>
  </w:num>
  <w:num w:numId="59">
    <w:abstractNumId w:val="98"/>
  </w:num>
  <w:num w:numId="60">
    <w:abstractNumId w:val="89"/>
  </w:num>
  <w:num w:numId="61">
    <w:abstractNumId w:val="90"/>
  </w:num>
  <w:num w:numId="62">
    <w:abstractNumId w:val="82"/>
  </w:num>
  <w:num w:numId="63">
    <w:abstractNumId w:val="67"/>
  </w:num>
  <w:num w:numId="64">
    <w:abstractNumId w:val="91"/>
  </w:num>
  <w:num w:numId="65">
    <w:abstractNumId w:val="83"/>
  </w:num>
  <w:num w:numId="66">
    <w:abstractNumId w:val="99"/>
  </w:num>
  <w:num w:numId="67">
    <w:abstractNumId w:val="71"/>
  </w:num>
  <w:num w:numId="68">
    <w:abstractNumId w:val="75"/>
  </w:num>
  <w:num w:numId="69">
    <w:abstractNumId w:val="69"/>
  </w:num>
  <w:num w:numId="70">
    <w:abstractNumId w:val="86"/>
  </w:num>
  <w:num w:numId="71">
    <w:abstractNumId w:val="65"/>
  </w:num>
  <w:num w:numId="72">
    <w:abstractNumId w:val="80"/>
  </w:num>
  <w:num w:numId="73">
    <w:abstractNumId w:val="1"/>
  </w:num>
  <w:num w:numId="74">
    <w:abstractNumId w:val="102"/>
  </w:num>
  <w:num w:numId="75">
    <w:abstractNumId w:val="93"/>
  </w:num>
  <w:num w:numId="76">
    <w:abstractNumId w:val="96"/>
  </w:num>
  <w:num w:numId="77">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D"/>
    <w:rsid w:val="00000198"/>
    <w:rsid w:val="0000037A"/>
    <w:rsid w:val="00000479"/>
    <w:rsid w:val="00000A23"/>
    <w:rsid w:val="00001310"/>
    <w:rsid w:val="000016BD"/>
    <w:rsid w:val="00001BE4"/>
    <w:rsid w:val="00003355"/>
    <w:rsid w:val="000034E6"/>
    <w:rsid w:val="00003501"/>
    <w:rsid w:val="000035AC"/>
    <w:rsid w:val="0000381D"/>
    <w:rsid w:val="000039F7"/>
    <w:rsid w:val="00003F7E"/>
    <w:rsid w:val="00004238"/>
    <w:rsid w:val="0000487C"/>
    <w:rsid w:val="00004902"/>
    <w:rsid w:val="00005164"/>
    <w:rsid w:val="0000519F"/>
    <w:rsid w:val="00005738"/>
    <w:rsid w:val="00005778"/>
    <w:rsid w:val="0000588C"/>
    <w:rsid w:val="00005949"/>
    <w:rsid w:val="00005B9C"/>
    <w:rsid w:val="00005C6F"/>
    <w:rsid w:val="00005D4D"/>
    <w:rsid w:val="00005F20"/>
    <w:rsid w:val="00006050"/>
    <w:rsid w:val="000062C3"/>
    <w:rsid w:val="000062E6"/>
    <w:rsid w:val="00006611"/>
    <w:rsid w:val="000066DA"/>
    <w:rsid w:val="0000691A"/>
    <w:rsid w:val="00007013"/>
    <w:rsid w:val="0000737C"/>
    <w:rsid w:val="0000761F"/>
    <w:rsid w:val="00007884"/>
    <w:rsid w:val="00007C85"/>
    <w:rsid w:val="00007ED6"/>
    <w:rsid w:val="00007FD0"/>
    <w:rsid w:val="00010341"/>
    <w:rsid w:val="00010722"/>
    <w:rsid w:val="00010BF8"/>
    <w:rsid w:val="00010D84"/>
    <w:rsid w:val="00011104"/>
    <w:rsid w:val="00011300"/>
    <w:rsid w:val="00011342"/>
    <w:rsid w:val="00011904"/>
    <w:rsid w:val="00011CA5"/>
    <w:rsid w:val="00011F85"/>
    <w:rsid w:val="0001201E"/>
    <w:rsid w:val="0001236C"/>
    <w:rsid w:val="000124C4"/>
    <w:rsid w:val="000124F3"/>
    <w:rsid w:val="000126C7"/>
    <w:rsid w:val="00012D73"/>
    <w:rsid w:val="000137F9"/>
    <w:rsid w:val="00013800"/>
    <w:rsid w:val="000138A6"/>
    <w:rsid w:val="000146CC"/>
    <w:rsid w:val="000148E3"/>
    <w:rsid w:val="00014D0D"/>
    <w:rsid w:val="0001542C"/>
    <w:rsid w:val="00015B1C"/>
    <w:rsid w:val="00015C8E"/>
    <w:rsid w:val="00016197"/>
    <w:rsid w:val="0001689E"/>
    <w:rsid w:val="000169E6"/>
    <w:rsid w:val="00016AC8"/>
    <w:rsid w:val="000170C4"/>
    <w:rsid w:val="000179FC"/>
    <w:rsid w:val="0002046E"/>
    <w:rsid w:val="000207BE"/>
    <w:rsid w:val="00020A23"/>
    <w:rsid w:val="00020CF3"/>
    <w:rsid w:val="000217E1"/>
    <w:rsid w:val="00021A02"/>
    <w:rsid w:val="00022248"/>
    <w:rsid w:val="0002258C"/>
    <w:rsid w:val="0002299E"/>
    <w:rsid w:val="00023FDB"/>
    <w:rsid w:val="00024072"/>
    <w:rsid w:val="000243E7"/>
    <w:rsid w:val="00024C6F"/>
    <w:rsid w:val="000252F9"/>
    <w:rsid w:val="00025FC7"/>
    <w:rsid w:val="00026951"/>
    <w:rsid w:val="00026FE9"/>
    <w:rsid w:val="000270E1"/>
    <w:rsid w:val="000270F0"/>
    <w:rsid w:val="00027442"/>
    <w:rsid w:val="00027E8D"/>
    <w:rsid w:val="000307AD"/>
    <w:rsid w:val="000307B3"/>
    <w:rsid w:val="00030BC2"/>
    <w:rsid w:val="0003150D"/>
    <w:rsid w:val="0003169A"/>
    <w:rsid w:val="000316D6"/>
    <w:rsid w:val="000318FB"/>
    <w:rsid w:val="00031BB2"/>
    <w:rsid w:val="00032126"/>
    <w:rsid w:val="0003216B"/>
    <w:rsid w:val="00032A70"/>
    <w:rsid w:val="0003440D"/>
    <w:rsid w:val="00034697"/>
    <w:rsid w:val="00034C7B"/>
    <w:rsid w:val="00034EBA"/>
    <w:rsid w:val="00035DB0"/>
    <w:rsid w:val="000361BD"/>
    <w:rsid w:val="0003639F"/>
    <w:rsid w:val="00037DB1"/>
    <w:rsid w:val="0004038C"/>
    <w:rsid w:val="00040F38"/>
    <w:rsid w:val="00042346"/>
    <w:rsid w:val="00042668"/>
    <w:rsid w:val="000427DB"/>
    <w:rsid w:val="000428C8"/>
    <w:rsid w:val="00043544"/>
    <w:rsid w:val="000435F9"/>
    <w:rsid w:val="00043A52"/>
    <w:rsid w:val="00043BAA"/>
    <w:rsid w:val="00043F2A"/>
    <w:rsid w:val="0004460E"/>
    <w:rsid w:val="00044691"/>
    <w:rsid w:val="000448EB"/>
    <w:rsid w:val="00044AC0"/>
    <w:rsid w:val="00045165"/>
    <w:rsid w:val="00045A49"/>
    <w:rsid w:val="00045C89"/>
    <w:rsid w:val="00045F19"/>
    <w:rsid w:val="00045FF9"/>
    <w:rsid w:val="000467F7"/>
    <w:rsid w:val="00046D83"/>
    <w:rsid w:val="00047376"/>
    <w:rsid w:val="00047808"/>
    <w:rsid w:val="00047A0C"/>
    <w:rsid w:val="00050A3C"/>
    <w:rsid w:val="00050B5A"/>
    <w:rsid w:val="00050E09"/>
    <w:rsid w:val="00051B7E"/>
    <w:rsid w:val="00051F68"/>
    <w:rsid w:val="00052251"/>
    <w:rsid w:val="0005247E"/>
    <w:rsid w:val="00052C83"/>
    <w:rsid w:val="000530F1"/>
    <w:rsid w:val="00053117"/>
    <w:rsid w:val="000533C8"/>
    <w:rsid w:val="0005394B"/>
    <w:rsid w:val="000545B4"/>
    <w:rsid w:val="00054A38"/>
    <w:rsid w:val="00054F1B"/>
    <w:rsid w:val="0005501E"/>
    <w:rsid w:val="00055CE5"/>
    <w:rsid w:val="00056196"/>
    <w:rsid w:val="00056656"/>
    <w:rsid w:val="00056738"/>
    <w:rsid w:val="0005679A"/>
    <w:rsid w:val="000569B0"/>
    <w:rsid w:val="000572A6"/>
    <w:rsid w:val="00057338"/>
    <w:rsid w:val="00057C2C"/>
    <w:rsid w:val="00057CEA"/>
    <w:rsid w:val="0006014B"/>
    <w:rsid w:val="000602D1"/>
    <w:rsid w:val="00060EFF"/>
    <w:rsid w:val="00060F53"/>
    <w:rsid w:val="0006103F"/>
    <w:rsid w:val="0006108F"/>
    <w:rsid w:val="00061498"/>
    <w:rsid w:val="000614C9"/>
    <w:rsid w:val="00062B71"/>
    <w:rsid w:val="00063139"/>
    <w:rsid w:val="000632D4"/>
    <w:rsid w:val="0006333A"/>
    <w:rsid w:val="0006355F"/>
    <w:rsid w:val="000641C6"/>
    <w:rsid w:val="00064796"/>
    <w:rsid w:val="0006505B"/>
    <w:rsid w:val="0006519E"/>
    <w:rsid w:val="000652A1"/>
    <w:rsid w:val="00065379"/>
    <w:rsid w:val="000656E9"/>
    <w:rsid w:val="00065850"/>
    <w:rsid w:val="000658D2"/>
    <w:rsid w:val="00065BCB"/>
    <w:rsid w:val="00066AA6"/>
    <w:rsid w:val="00066ACE"/>
    <w:rsid w:val="000677AB"/>
    <w:rsid w:val="000677E4"/>
    <w:rsid w:val="00070120"/>
    <w:rsid w:val="00070322"/>
    <w:rsid w:val="000703C2"/>
    <w:rsid w:val="00070981"/>
    <w:rsid w:val="00070E7F"/>
    <w:rsid w:val="0007166B"/>
    <w:rsid w:val="0007192F"/>
    <w:rsid w:val="00071A5A"/>
    <w:rsid w:val="00071AE5"/>
    <w:rsid w:val="000724AA"/>
    <w:rsid w:val="00072A24"/>
    <w:rsid w:val="00072EF0"/>
    <w:rsid w:val="00072F9A"/>
    <w:rsid w:val="00073076"/>
    <w:rsid w:val="00073122"/>
    <w:rsid w:val="000739AA"/>
    <w:rsid w:val="0007417B"/>
    <w:rsid w:val="000742AB"/>
    <w:rsid w:val="000753AC"/>
    <w:rsid w:val="000754F0"/>
    <w:rsid w:val="00075858"/>
    <w:rsid w:val="00075B2D"/>
    <w:rsid w:val="000761A4"/>
    <w:rsid w:val="0007642F"/>
    <w:rsid w:val="00076443"/>
    <w:rsid w:val="00076562"/>
    <w:rsid w:val="000765C9"/>
    <w:rsid w:val="000769C8"/>
    <w:rsid w:val="00076B54"/>
    <w:rsid w:val="000770B8"/>
    <w:rsid w:val="00077122"/>
    <w:rsid w:val="0007751A"/>
    <w:rsid w:val="000779B8"/>
    <w:rsid w:val="00077A6A"/>
    <w:rsid w:val="00077CC8"/>
    <w:rsid w:val="00080156"/>
    <w:rsid w:val="0008035D"/>
    <w:rsid w:val="00080A0F"/>
    <w:rsid w:val="00080D1C"/>
    <w:rsid w:val="00080EBA"/>
    <w:rsid w:val="00080FCC"/>
    <w:rsid w:val="000815BE"/>
    <w:rsid w:val="00081974"/>
    <w:rsid w:val="0008228C"/>
    <w:rsid w:val="000830C8"/>
    <w:rsid w:val="00083205"/>
    <w:rsid w:val="0008332E"/>
    <w:rsid w:val="00083675"/>
    <w:rsid w:val="000837A1"/>
    <w:rsid w:val="00083848"/>
    <w:rsid w:val="0008445E"/>
    <w:rsid w:val="00084831"/>
    <w:rsid w:val="00084B8F"/>
    <w:rsid w:val="00084FD6"/>
    <w:rsid w:val="000851D9"/>
    <w:rsid w:val="000853D8"/>
    <w:rsid w:val="00085459"/>
    <w:rsid w:val="0008550D"/>
    <w:rsid w:val="00085967"/>
    <w:rsid w:val="00085F4D"/>
    <w:rsid w:val="000865EB"/>
    <w:rsid w:val="000868AE"/>
    <w:rsid w:val="00086D66"/>
    <w:rsid w:val="000871E1"/>
    <w:rsid w:val="000876FC"/>
    <w:rsid w:val="00087CD4"/>
    <w:rsid w:val="0009001D"/>
    <w:rsid w:val="000903EF"/>
    <w:rsid w:val="000904CE"/>
    <w:rsid w:val="000906E3"/>
    <w:rsid w:val="0009083D"/>
    <w:rsid w:val="00090CA4"/>
    <w:rsid w:val="00090E01"/>
    <w:rsid w:val="000910DF"/>
    <w:rsid w:val="00091103"/>
    <w:rsid w:val="00091315"/>
    <w:rsid w:val="000919A4"/>
    <w:rsid w:val="00091B4D"/>
    <w:rsid w:val="000921E3"/>
    <w:rsid w:val="00092430"/>
    <w:rsid w:val="0009262C"/>
    <w:rsid w:val="00092892"/>
    <w:rsid w:val="0009291C"/>
    <w:rsid w:val="00093781"/>
    <w:rsid w:val="0009424B"/>
    <w:rsid w:val="00094563"/>
    <w:rsid w:val="0009468F"/>
    <w:rsid w:val="00094913"/>
    <w:rsid w:val="00094DA5"/>
    <w:rsid w:val="00094DDD"/>
    <w:rsid w:val="00094FF3"/>
    <w:rsid w:val="0009581E"/>
    <w:rsid w:val="00095A5D"/>
    <w:rsid w:val="000960DA"/>
    <w:rsid w:val="00096263"/>
    <w:rsid w:val="00096F2A"/>
    <w:rsid w:val="000971DA"/>
    <w:rsid w:val="000978BC"/>
    <w:rsid w:val="000979E3"/>
    <w:rsid w:val="000A0320"/>
    <w:rsid w:val="000A1303"/>
    <w:rsid w:val="000A1428"/>
    <w:rsid w:val="000A1C74"/>
    <w:rsid w:val="000A1DA2"/>
    <w:rsid w:val="000A1FE3"/>
    <w:rsid w:val="000A2AD3"/>
    <w:rsid w:val="000A2EF4"/>
    <w:rsid w:val="000A312A"/>
    <w:rsid w:val="000A33CE"/>
    <w:rsid w:val="000A3459"/>
    <w:rsid w:val="000A34C9"/>
    <w:rsid w:val="000A381F"/>
    <w:rsid w:val="000A3946"/>
    <w:rsid w:val="000A3B5E"/>
    <w:rsid w:val="000A4331"/>
    <w:rsid w:val="000A44D3"/>
    <w:rsid w:val="000A4D38"/>
    <w:rsid w:val="000A5EDB"/>
    <w:rsid w:val="000A6041"/>
    <w:rsid w:val="000A62AA"/>
    <w:rsid w:val="000A66E2"/>
    <w:rsid w:val="000A671A"/>
    <w:rsid w:val="000A674F"/>
    <w:rsid w:val="000A6AA8"/>
    <w:rsid w:val="000A6BD4"/>
    <w:rsid w:val="000A6BDE"/>
    <w:rsid w:val="000A6E24"/>
    <w:rsid w:val="000A7A9C"/>
    <w:rsid w:val="000A7E5D"/>
    <w:rsid w:val="000B028F"/>
    <w:rsid w:val="000B06BA"/>
    <w:rsid w:val="000B0907"/>
    <w:rsid w:val="000B0A1D"/>
    <w:rsid w:val="000B0C2C"/>
    <w:rsid w:val="000B1268"/>
    <w:rsid w:val="000B1906"/>
    <w:rsid w:val="000B1930"/>
    <w:rsid w:val="000B1A2A"/>
    <w:rsid w:val="000B2098"/>
    <w:rsid w:val="000B2A34"/>
    <w:rsid w:val="000B2B40"/>
    <w:rsid w:val="000B31B4"/>
    <w:rsid w:val="000B330D"/>
    <w:rsid w:val="000B3317"/>
    <w:rsid w:val="000B35EF"/>
    <w:rsid w:val="000B366D"/>
    <w:rsid w:val="000B42A1"/>
    <w:rsid w:val="000B4658"/>
    <w:rsid w:val="000B4663"/>
    <w:rsid w:val="000B4A92"/>
    <w:rsid w:val="000B4D1A"/>
    <w:rsid w:val="000B4E6A"/>
    <w:rsid w:val="000B504B"/>
    <w:rsid w:val="000B6045"/>
    <w:rsid w:val="000B6C2F"/>
    <w:rsid w:val="000B6C3D"/>
    <w:rsid w:val="000B6DEE"/>
    <w:rsid w:val="000B6F0E"/>
    <w:rsid w:val="000B7127"/>
    <w:rsid w:val="000C02E7"/>
    <w:rsid w:val="000C1180"/>
    <w:rsid w:val="000C135B"/>
    <w:rsid w:val="000C1F5B"/>
    <w:rsid w:val="000C220C"/>
    <w:rsid w:val="000C22C1"/>
    <w:rsid w:val="000C2CB5"/>
    <w:rsid w:val="000C409E"/>
    <w:rsid w:val="000C427C"/>
    <w:rsid w:val="000C4384"/>
    <w:rsid w:val="000C48E6"/>
    <w:rsid w:val="000C4A68"/>
    <w:rsid w:val="000C55D3"/>
    <w:rsid w:val="000C5745"/>
    <w:rsid w:val="000C5DC5"/>
    <w:rsid w:val="000C5F26"/>
    <w:rsid w:val="000C63C4"/>
    <w:rsid w:val="000C657D"/>
    <w:rsid w:val="000C659E"/>
    <w:rsid w:val="000C67C8"/>
    <w:rsid w:val="000C6A55"/>
    <w:rsid w:val="000C71DE"/>
    <w:rsid w:val="000C7446"/>
    <w:rsid w:val="000C7AF7"/>
    <w:rsid w:val="000C7C13"/>
    <w:rsid w:val="000C7E16"/>
    <w:rsid w:val="000C7E88"/>
    <w:rsid w:val="000C7F8A"/>
    <w:rsid w:val="000D1352"/>
    <w:rsid w:val="000D1671"/>
    <w:rsid w:val="000D214A"/>
    <w:rsid w:val="000D2336"/>
    <w:rsid w:val="000D2866"/>
    <w:rsid w:val="000D2D07"/>
    <w:rsid w:val="000D2D76"/>
    <w:rsid w:val="000D302F"/>
    <w:rsid w:val="000D376B"/>
    <w:rsid w:val="000D4368"/>
    <w:rsid w:val="000D491B"/>
    <w:rsid w:val="000D562C"/>
    <w:rsid w:val="000D5639"/>
    <w:rsid w:val="000D58EC"/>
    <w:rsid w:val="000D5A33"/>
    <w:rsid w:val="000D668C"/>
    <w:rsid w:val="000D7577"/>
    <w:rsid w:val="000D766C"/>
    <w:rsid w:val="000D7BB2"/>
    <w:rsid w:val="000D7E1D"/>
    <w:rsid w:val="000D7ECA"/>
    <w:rsid w:val="000D7FC3"/>
    <w:rsid w:val="000E0977"/>
    <w:rsid w:val="000E1209"/>
    <w:rsid w:val="000E1794"/>
    <w:rsid w:val="000E179F"/>
    <w:rsid w:val="000E19A5"/>
    <w:rsid w:val="000E1ED1"/>
    <w:rsid w:val="000E1FA0"/>
    <w:rsid w:val="000E326C"/>
    <w:rsid w:val="000E38D7"/>
    <w:rsid w:val="000E3B39"/>
    <w:rsid w:val="000E4CF4"/>
    <w:rsid w:val="000E4F6F"/>
    <w:rsid w:val="000E4F76"/>
    <w:rsid w:val="000E5233"/>
    <w:rsid w:val="000E55F1"/>
    <w:rsid w:val="000E5711"/>
    <w:rsid w:val="000E59E8"/>
    <w:rsid w:val="000E6BE1"/>
    <w:rsid w:val="000E6DA4"/>
    <w:rsid w:val="000E6E06"/>
    <w:rsid w:val="000E75F9"/>
    <w:rsid w:val="000E7B6C"/>
    <w:rsid w:val="000E7C90"/>
    <w:rsid w:val="000F0098"/>
    <w:rsid w:val="000F0501"/>
    <w:rsid w:val="000F0D72"/>
    <w:rsid w:val="000F0E74"/>
    <w:rsid w:val="000F1564"/>
    <w:rsid w:val="000F1F44"/>
    <w:rsid w:val="000F214E"/>
    <w:rsid w:val="000F2850"/>
    <w:rsid w:val="000F2E89"/>
    <w:rsid w:val="000F3377"/>
    <w:rsid w:val="000F3984"/>
    <w:rsid w:val="000F3D47"/>
    <w:rsid w:val="000F420C"/>
    <w:rsid w:val="000F4224"/>
    <w:rsid w:val="000F4F49"/>
    <w:rsid w:val="000F507E"/>
    <w:rsid w:val="000F54B5"/>
    <w:rsid w:val="000F5793"/>
    <w:rsid w:val="000F58EF"/>
    <w:rsid w:val="000F5B6B"/>
    <w:rsid w:val="000F5F2D"/>
    <w:rsid w:val="000F640E"/>
    <w:rsid w:val="000F6774"/>
    <w:rsid w:val="000F6897"/>
    <w:rsid w:val="000F6E2A"/>
    <w:rsid w:val="000F717C"/>
    <w:rsid w:val="000F7985"/>
    <w:rsid w:val="000F7A53"/>
    <w:rsid w:val="000F7BED"/>
    <w:rsid w:val="000F7C09"/>
    <w:rsid w:val="000F7F78"/>
    <w:rsid w:val="001001DD"/>
    <w:rsid w:val="001003A5"/>
    <w:rsid w:val="001010FB"/>
    <w:rsid w:val="00101B3B"/>
    <w:rsid w:val="00101D28"/>
    <w:rsid w:val="00101E8A"/>
    <w:rsid w:val="0010221A"/>
    <w:rsid w:val="001038A2"/>
    <w:rsid w:val="00103AC7"/>
    <w:rsid w:val="00103BE4"/>
    <w:rsid w:val="00103BF3"/>
    <w:rsid w:val="00103E1D"/>
    <w:rsid w:val="00103F89"/>
    <w:rsid w:val="00104664"/>
    <w:rsid w:val="00104737"/>
    <w:rsid w:val="0010493F"/>
    <w:rsid w:val="001049EF"/>
    <w:rsid w:val="00104B50"/>
    <w:rsid w:val="00104F5B"/>
    <w:rsid w:val="00105115"/>
    <w:rsid w:val="0010525B"/>
    <w:rsid w:val="0010593A"/>
    <w:rsid w:val="00105AB4"/>
    <w:rsid w:val="00105D99"/>
    <w:rsid w:val="00105F1A"/>
    <w:rsid w:val="00106029"/>
    <w:rsid w:val="001061F0"/>
    <w:rsid w:val="00106392"/>
    <w:rsid w:val="00106A8B"/>
    <w:rsid w:val="00106BF4"/>
    <w:rsid w:val="001077BE"/>
    <w:rsid w:val="001077C9"/>
    <w:rsid w:val="00107F47"/>
    <w:rsid w:val="0011009A"/>
    <w:rsid w:val="00110107"/>
    <w:rsid w:val="00110491"/>
    <w:rsid w:val="00110A4C"/>
    <w:rsid w:val="001119DF"/>
    <w:rsid w:val="001127A6"/>
    <w:rsid w:val="00112BC5"/>
    <w:rsid w:val="00112C09"/>
    <w:rsid w:val="00112F41"/>
    <w:rsid w:val="001136C5"/>
    <w:rsid w:val="00113F71"/>
    <w:rsid w:val="00113FC2"/>
    <w:rsid w:val="0011466F"/>
    <w:rsid w:val="001146BF"/>
    <w:rsid w:val="00114AD3"/>
    <w:rsid w:val="00115388"/>
    <w:rsid w:val="001159E5"/>
    <w:rsid w:val="00115CFE"/>
    <w:rsid w:val="00116441"/>
    <w:rsid w:val="00117259"/>
    <w:rsid w:val="00117698"/>
    <w:rsid w:val="00117E36"/>
    <w:rsid w:val="00117E63"/>
    <w:rsid w:val="00120146"/>
    <w:rsid w:val="001201C3"/>
    <w:rsid w:val="001203DF"/>
    <w:rsid w:val="00120A66"/>
    <w:rsid w:val="00120CF7"/>
    <w:rsid w:val="00120EBC"/>
    <w:rsid w:val="0012147B"/>
    <w:rsid w:val="00121BA0"/>
    <w:rsid w:val="001220F0"/>
    <w:rsid w:val="00123172"/>
    <w:rsid w:val="001234F6"/>
    <w:rsid w:val="00123E98"/>
    <w:rsid w:val="00123F46"/>
    <w:rsid w:val="001241B6"/>
    <w:rsid w:val="00125A3F"/>
    <w:rsid w:val="00125BAC"/>
    <w:rsid w:val="00125BBA"/>
    <w:rsid w:val="00125D30"/>
    <w:rsid w:val="001262DB"/>
    <w:rsid w:val="001264A7"/>
    <w:rsid w:val="00126B56"/>
    <w:rsid w:val="00126C6E"/>
    <w:rsid w:val="00126E0B"/>
    <w:rsid w:val="00127598"/>
    <w:rsid w:val="00127817"/>
    <w:rsid w:val="00127F03"/>
    <w:rsid w:val="001302E8"/>
    <w:rsid w:val="00130AE6"/>
    <w:rsid w:val="00130B86"/>
    <w:rsid w:val="00130D86"/>
    <w:rsid w:val="00130F8B"/>
    <w:rsid w:val="001314A5"/>
    <w:rsid w:val="00131B67"/>
    <w:rsid w:val="001321B8"/>
    <w:rsid w:val="001323B8"/>
    <w:rsid w:val="00132A38"/>
    <w:rsid w:val="0013304B"/>
    <w:rsid w:val="00133122"/>
    <w:rsid w:val="001331B4"/>
    <w:rsid w:val="0013340F"/>
    <w:rsid w:val="00133FEB"/>
    <w:rsid w:val="00134013"/>
    <w:rsid w:val="00134184"/>
    <w:rsid w:val="001351FC"/>
    <w:rsid w:val="001355A7"/>
    <w:rsid w:val="00135A40"/>
    <w:rsid w:val="0013613A"/>
    <w:rsid w:val="001363E4"/>
    <w:rsid w:val="00136476"/>
    <w:rsid w:val="001365D8"/>
    <w:rsid w:val="00136889"/>
    <w:rsid w:val="00136AB3"/>
    <w:rsid w:val="00136C26"/>
    <w:rsid w:val="00136F70"/>
    <w:rsid w:val="0013781B"/>
    <w:rsid w:val="001378E2"/>
    <w:rsid w:val="00140072"/>
    <w:rsid w:val="00140378"/>
    <w:rsid w:val="001403A4"/>
    <w:rsid w:val="00140682"/>
    <w:rsid w:val="001409AC"/>
    <w:rsid w:val="0014115C"/>
    <w:rsid w:val="001411CB"/>
    <w:rsid w:val="00141356"/>
    <w:rsid w:val="0014138C"/>
    <w:rsid w:val="001417E0"/>
    <w:rsid w:val="00141DE8"/>
    <w:rsid w:val="00142DED"/>
    <w:rsid w:val="00143066"/>
    <w:rsid w:val="0014309A"/>
    <w:rsid w:val="00143288"/>
    <w:rsid w:val="001443AF"/>
    <w:rsid w:val="0014468F"/>
    <w:rsid w:val="00144D13"/>
    <w:rsid w:val="00144DD1"/>
    <w:rsid w:val="00145203"/>
    <w:rsid w:val="00145366"/>
    <w:rsid w:val="001458BB"/>
    <w:rsid w:val="00145D42"/>
    <w:rsid w:val="00145DB8"/>
    <w:rsid w:val="001466F4"/>
    <w:rsid w:val="001475BE"/>
    <w:rsid w:val="00147784"/>
    <w:rsid w:val="001479D7"/>
    <w:rsid w:val="00147FD4"/>
    <w:rsid w:val="0015011F"/>
    <w:rsid w:val="00150547"/>
    <w:rsid w:val="00150C7D"/>
    <w:rsid w:val="00150F10"/>
    <w:rsid w:val="00150F11"/>
    <w:rsid w:val="001510B7"/>
    <w:rsid w:val="0015119B"/>
    <w:rsid w:val="0015190B"/>
    <w:rsid w:val="00151D0F"/>
    <w:rsid w:val="00151F49"/>
    <w:rsid w:val="0015355F"/>
    <w:rsid w:val="0015367C"/>
    <w:rsid w:val="001536B0"/>
    <w:rsid w:val="001536E4"/>
    <w:rsid w:val="00153F98"/>
    <w:rsid w:val="00154519"/>
    <w:rsid w:val="001546A1"/>
    <w:rsid w:val="00154AD0"/>
    <w:rsid w:val="00154D78"/>
    <w:rsid w:val="0015595C"/>
    <w:rsid w:val="00156877"/>
    <w:rsid w:val="0015697B"/>
    <w:rsid w:val="00156C3A"/>
    <w:rsid w:val="00156DA9"/>
    <w:rsid w:val="00156DCD"/>
    <w:rsid w:val="00157057"/>
    <w:rsid w:val="0015727A"/>
    <w:rsid w:val="00157DF7"/>
    <w:rsid w:val="00160434"/>
    <w:rsid w:val="00160948"/>
    <w:rsid w:val="00160DEC"/>
    <w:rsid w:val="00161275"/>
    <w:rsid w:val="00161567"/>
    <w:rsid w:val="0016159E"/>
    <w:rsid w:val="00161B7C"/>
    <w:rsid w:val="00162B4A"/>
    <w:rsid w:val="00163156"/>
    <w:rsid w:val="001637B6"/>
    <w:rsid w:val="00163A01"/>
    <w:rsid w:val="00163F73"/>
    <w:rsid w:val="0016402A"/>
    <w:rsid w:val="00164030"/>
    <w:rsid w:val="001641CA"/>
    <w:rsid w:val="00164777"/>
    <w:rsid w:val="00164AEB"/>
    <w:rsid w:val="00164BF9"/>
    <w:rsid w:val="001659A7"/>
    <w:rsid w:val="001659E6"/>
    <w:rsid w:val="001661FE"/>
    <w:rsid w:val="0016637C"/>
    <w:rsid w:val="00166432"/>
    <w:rsid w:val="001667A9"/>
    <w:rsid w:val="001677AF"/>
    <w:rsid w:val="00167E78"/>
    <w:rsid w:val="00170A37"/>
    <w:rsid w:val="00171231"/>
    <w:rsid w:val="001716C7"/>
    <w:rsid w:val="00171F2B"/>
    <w:rsid w:val="001721E9"/>
    <w:rsid w:val="00172756"/>
    <w:rsid w:val="00172893"/>
    <w:rsid w:val="001737D6"/>
    <w:rsid w:val="00173B82"/>
    <w:rsid w:val="00173E9D"/>
    <w:rsid w:val="001755A5"/>
    <w:rsid w:val="001757AB"/>
    <w:rsid w:val="00175EC4"/>
    <w:rsid w:val="00175F8C"/>
    <w:rsid w:val="00175FBB"/>
    <w:rsid w:val="00176106"/>
    <w:rsid w:val="001761F6"/>
    <w:rsid w:val="00176C16"/>
    <w:rsid w:val="00176E93"/>
    <w:rsid w:val="001775D1"/>
    <w:rsid w:val="00177A66"/>
    <w:rsid w:val="001804F0"/>
    <w:rsid w:val="0018079C"/>
    <w:rsid w:val="0018096A"/>
    <w:rsid w:val="001810E6"/>
    <w:rsid w:val="0018163C"/>
    <w:rsid w:val="00181F5F"/>
    <w:rsid w:val="0018211A"/>
    <w:rsid w:val="0018228B"/>
    <w:rsid w:val="001823C9"/>
    <w:rsid w:val="00182A32"/>
    <w:rsid w:val="0018300B"/>
    <w:rsid w:val="001833F7"/>
    <w:rsid w:val="001834AB"/>
    <w:rsid w:val="00183652"/>
    <w:rsid w:val="00183A87"/>
    <w:rsid w:val="00183E14"/>
    <w:rsid w:val="001841D0"/>
    <w:rsid w:val="00184528"/>
    <w:rsid w:val="001845B6"/>
    <w:rsid w:val="00184B11"/>
    <w:rsid w:val="00184E4F"/>
    <w:rsid w:val="00185132"/>
    <w:rsid w:val="001855B0"/>
    <w:rsid w:val="00185711"/>
    <w:rsid w:val="00185A0C"/>
    <w:rsid w:val="001862C5"/>
    <w:rsid w:val="001869C2"/>
    <w:rsid w:val="00186E8C"/>
    <w:rsid w:val="00187612"/>
    <w:rsid w:val="00187939"/>
    <w:rsid w:val="00187CCA"/>
    <w:rsid w:val="00187DF2"/>
    <w:rsid w:val="001901DE"/>
    <w:rsid w:val="001901E2"/>
    <w:rsid w:val="001905D4"/>
    <w:rsid w:val="00190A46"/>
    <w:rsid w:val="00190E09"/>
    <w:rsid w:val="00191C6A"/>
    <w:rsid w:val="00192FA6"/>
    <w:rsid w:val="0019315C"/>
    <w:rsid w:val="0019401A"/>
    <w:rsid w:val="001942DD"/>
    <w:rsid w:val="00195A3E"/>
    <w:rsid w:val="00195C3C"/>
    <w:rsid w:val="001962C4"/>
    <w:rsid w:val="001964CF"/>
    <w:rsid w:val="0019665E"/>
    <w:rsid w:val="00196A9B"/>
    <w:rsid w:val="00196B00"/>
    <w:rsid w:val="00196E41"/>
    <w:rsid w:val="00196E81"/>
    <w:rsid w:val="00197A45"/>
    <w:rsid w:val="00197F24"/>
    <w:rsid w:val="001A0155"/>
    <w:rsid w:val="001A06AF"/>
    <w:rsid w:val="001A097B"/>
    <w:rsid w:val="001A1764"/>
    <w:rsid w:val="001A2519"/>
    <w:rsid w:val="001A29F9"/>
    <w:rsid w:val="001A2BF8"/>
    <w:rsid w:val="001A2FA8"/>
    <w:rsid w:val="001A32D9"/>
    <w:rsid w:val="001A36D1"/>
    <w:rsid w:val="001A3875"/>
    <w:rsid w:val="001A39F7"/>
    <w:rsid w:val="001A3A3E"/>
    <w:rsid w:val="001A47C5"/>
    <w:rsid w:val="001A4AEC"/>
    <w:rsid w:val="001A54CE"/>
    <w:rsid w:val="001A6B8A"/>
    <w:rsid w:val="001A6CC4"/>
    <w:rsid w:val="001A6F4C"/>
    <w:rsid w:val="001A6FD8"/>
    <w:rsid w:val="001A74B7"/>
    <w:rsid w:val="001B065C"/>
    <w:rsid w:val="001B070E"/>
    <w:rsid w:val="001B0AB1"/>
    <w:rsid w:val="001B0AD5"/>
    <w:rsid w:val="001B148D"/>
    <w:rsid w:val="001B1820"/>
    <w:rsid w:val="001B19B1"/>
    <w:rsid w:val="001B1B73"/>
    <w:rsid w:val="001B1BC7"/>
    <w:rsid w:val="001B1DFA"/>
    <w:rsid w:val="001B2004"/>
    <w:rsid w:val="001B271D"/>
    <w:rsid w:val="001B3608"/>
    <w:rsid w:val="001B43DE"/>
    <w:rsid w:val="001B46D5"/>
    <w:rsid w:val="001B4E42"/>
    <w:rsid w:val="001B4F2C"/>
    <w:rsid w:val="001B5208"/>
    <w:rsid w:val="001B52CF"/>
    <w:rsid w:val="001B5347"/>
    <w:rsid w:val="001B5958"/>
    <w:rsid w:val="001B610B"/>
    <w:rsid w:val="001B644E"/>
    <w:rsid w:val="001B66A4"/>
    <w:rsid w:val="001B67B9"/>
    <w:rsid w:val="001B69AF"/>
    <w:rsid w:val="001B6C0B"/>
    <w:rsid w:val="001B7805"/>
    <w:rsid w:val="001B7A90"/>
    <w:rsid w:val="001B7CC2"/>
    <w:rsid w:val="001B7DE1"/>
    <w:rsid w:val="001B7FCC"/>
    <w:rsid w:val="001C015E"/>
    <w:rsid w:val="001C0278"/>
    <w:rsid w:val="001C0D2D"/>
    <w:rsid w:val="001C1643"/>
    <w:rsid w:val="001C1854"/>
    <w:rsid w:val="001C1A98"/>
    <w:rsid w:val="001C1E57"/>
    <w:rsid w:val="001C2021"/>
    <w:rsid w:val="001C2D8D"/>
    <w:rsid w:val="001C2E5B"/>
    <w:rsid w:val="001C2FC2"/>
    <w:rsid w:val="001C2FFC"/>
    <w:rsid w:val="001C34B8"/>
    <w:rsid w:val="001C43AB"/>
    <w:rsid w:val="001C4994"/>
    <w:rsid w:val="001C4C61"/>
    <w:rsid w:val="001C511B"/>
    <w:rsid w:val="001C5251"/>
    <w:rsid w:val="001C5879"/>
    <w:rsid w:val="001C5927"/>
    <w:rsid w:val="001C63FE"/>
    <w:rsid w:val="001C6680"/>
    <w:rsid w:val="001C6CF9"/>
    <w:rsid w:val="001C6E90"/>
    <w:rsid w:val="001C6FE7"/>
    <w:rsid w:val="001C706C"/>
    <w:rsid w:val="001C70E3"/>
    <w:rsid w:val="001C7161"/>
    <w:rsid w:val="001C77A6"/>
    <w:rsid w:val="001D014C"/>
    <w:rsid w:val="001D01A5"/>
    <w:rsid w:val="001D0B14"/>
    <w:rsid w:val="001D168B"/>
    <w:rsid w:val="001D17C5"/>
    <w:rsid w:val="001D1A03"/>
    <w:rsid w:val="001D1A88"/>
    <w:rsid w:val="001D1D57"/>
    <w:rsid w:val="001D1E44"/>
    <w:rsid w:val="001D22A1"/>
    <w:rsid w:val="001D23E9"/>
    <w:rsid w:val="001D2C77"/>
    <w:rsid w:val="001D2D31"/>
    <w:rsid w:val="001D2EF5"/>
    <w:rsid w:val="001D3070"/>
    <w:rsid w:val="001D320C"/>
    <w:rsid w:val="001D3A6F"/>
    <w:rsid w:val="001D3AEB"/>
    <w:rsid w:val="001D3FEC"/>
    <w:rsid w:val="001D4689"/>
    <w:rsid w:val="001D5266"/>
    <w:rsid w:val="001D5280"/>
    <w:rsid w:val="001D55B7"/>
    <w:rsid w:val="001D5B2E"/>
    <w:rsid w:val="001D5D66"/>
    <w:rsid w:val="001D66C0"/>
    <w:rsid w:val="001D7163"/>
    <w:rsid w:val="001D73E6"/>
    <w:rsid w:val="001D7857"/>
    <w:rsid w:val="001E0944"/>
    <w:rsid w:val="001E0E51"/>
    <w:rsid w:val="001E1039"/>
    <w:rsid w:val="001E1440"/>
    <w:rsid w:val="001E16E9"/>
    <w:rsid w:val="001E1C09"/>
    <w:rsid w:val="001E291D"/>
    <w:rsid w:val="001E3016"/>
    <w:rsid w:val="001E349C"/>
    <w:rsid w:val="001E3D89"/>
    <w:rsid w:val="001E3E3D"/>
    <w:rsid w:val="001E4507"/>
    <w:rsid w:val="001E4DC0"/>
    <w:rsid w:val="001E527B"/>
    <w:rsid w:val="001E595F"/>
    <w:rsid w:val="001E5DF7"/>
    <w:rsid w:val="001E5F8A"/>
    <w:rsid w:val="001E649F"/>
    <w:rsid w:val="001E6D30"/>
    <w:rsid w:val="001E6E13"/>
    <w:rsid w:val="001E703F"/>
    <w:rsid w:val="001E783C"/>
    <w:rsid w:val="001F025D"/>
    <w:rsid w:val="001F0E0B"/>
    <w:rsid w:val="001F138E"/>
    <w:rsid w:val="001F15B8"/>
    <w:rsid w:val="001F16D6"/>
    <w:rsid w:val="001F16EF"/>
    <w:rsid w:val="001F17DA"/>
    <w:rsid w:val="001F1B26"/>
    <w:rsid w:val="001F1B71"/>
    <w:rsid w:val="001F1F52"/>
    <w:rsid w:val="001F2043"/>
    <w:rsid w:val="001F2AE9"/>
    <w:rsid w:val="001F3207"/>
    <w:rsid w:val="001F322C"/>
    <w:rsid w:val="001F3540"/>
    <w:rsid w:val="001F405C"/>
    <w:rsid w:val="001F438D"/>
    <w:rsid w:val="001F46F5"/>
    <w:rsid w:val="001F5B82"/>
    <w:rsid w:val="001F5CB7"/>
    <w:rsid w:val="001F5CD8"/>
    <w:rsid w:val="001F6528"/>
    <w:rsid w:val="001F6753"/>
    <w:rsid w:val="001F6F01"/>
    <w:rsid w:val="001F6FC7"/>
    <w:rsid w:val="001F7537"/>
    <w:rsid w:val="001F794E"/>
    <w:rsid w:val="001F7CC5"/>
    <w:rsid w:val="00200208"/>
    <w:rsid w:val="00200492"/>
    <w:rsid w:val="002008D7"/>
    <w:rsid w:val="00201555"/>
    <w:rsid w:val="00201A6C"/>
    <w:rsid w:val="00201C22"/>
    <w:rsid w:val="002021F3"/>
    <w:rsid w:val="002028C6"/>
    <w:rsid w:val="00202932"/>
    <w:rsid w:val="002029BB"/>
    <w:rsid w:val="00202D51"/>
    <w:rsid w:val="0020307A"/>
    <w:rsid w:val="002034D9"/>
    <w:rsid w:val="00203749"/>
    <w:rsid w:val="00203B51"/>
    <w:rsid w:val="0020463B"/>
    <w:rsid w:val="00204D74"/>
    <w:rsid w:val="00204DB0"/>
    <w:rsid w:val="00205364"/>
    <w:rsid w:val="0020536F"/>
    <w:rsid w:val="002067BE"/>
    <w:rsid w:val="00206966"/>
    <w:rsid w:val="00206E73"/>
    <w:rsid w:val="002070EB"/>
    <w:rsid w:val="0020710A"/>
    <w:rsid w:val="0020727D"/>
    <w:rsid w:val="0020730C"/>
    <w:rsid w:val="00207C81"/>
    <w:rsid w:val="00207FBB"/>
    <w:rsid w:val="00210311"/>
    <w:rsid w:val="0021062E"/>
    <w:rsid w:val="00210938"/>
    <w:rsid w:val="00210FE2"/>
    <w:rsid w:val="002117B3"/>
    <w:rsid w:val="00211D4B"/>
    <w:rsid w:val="002122D4"/>
    <w:rsid w:val="00212579"/>
    <w:rsid w:val="002126FA"/>
    <w:rsid w:val="002129BC"/>
    <w:rsid w:val="00212BCC"/>
    <w:rsid w:val="002136C1"/>
    <w:rsid w:val="00213FEE"/>
    <w:rsid w:val="002142B7"/>
    <w:rsid w:val="002148EF"/>
    <w:rsid w:val="00214DF1"/>
    <w:rsid w:val="0021543F"/>
    <w:rsid w:val="002155EF"/>
    <w:rsid w:val="002158EA"/>
    <w:rsid w:val="00215C93"/>
    <w:rsid w:val="00215DB3"/>
    <w:rsid w:val="00216290"/>
    <w:rsid w:val="00216314"/>
    <w:rsid w:val="00216615"/>
    <w:rsid w:val="0021699C"/>
    <w:rsid w:val="002176B9"/>
    <w:rsid w:val="00217A6A"/>
    <w:rsid w:val="00217AD9"/>
    <w:rsid w:val="00217B4A"/>
    <w:rsid w:val="00217D34"/>
    <w:rsid w:val="00217F59"/>
    <w:rsid w:val="00220435"/>
    <w:rsid w:val="00220711"/>
    <w:rsid w:val="00220A83"/>
    <w:rsid w:val="00220D9D"/>
    <w:rsid w:val="00220E73"/>
    <w:rsid w:val="00221068"/>
    <w:rsid w:val="002211C1"/>
    <w:rsid w:val="00221513"/>
    <w:rsid w:val="002217AE"/>
    <w:rsid w:val="00221D00"/>
    <w:rsid w:val="00221DC1"/>
    <w:rsid w:val="00221F8A"/>
    <w:rsid w:val="00222817"/>
    <w:rsid w:val="00222844"/>
    <w:rsid w:val="00222C2D"/>
    <w:rsid w:val="00222C65"/>
    <w:rsid w:val="002230B0"/>
    <w:rsid w:val="00223883"/>
    <w:rsid w:val="00223965"/>
    <w:rsid w:val="00223C1A"/>
    <w:rsid w:val="00224B64"/>
    <w:rsid w:val="00224CE3"/>
    <w:rsid w:val="0022547C"/>
    <w:rsid w:val="0022579A"/>
    <w:rsid w:val="00225A2D"/>
    <w:rsid w:val="00225C49"/>
    <w:rsid w:val="00225FF3"/>
    <w:rsid w:val="00226089"/>
    <w:rsid w:val="00226280"/>
    <w:rsid w:val="00226AAA"/>
    <w:rsid w:val="002273C3"/>
    <w:rsid w:val="00227434"/>
    <w:rsid w:val="00227E69"/>
    <w:rsid w:val="00230733"/>
    <w:rsid w:val="002308D5"/>
    <w:rsid w:val="00230A95"/>
    <w:rsid w:val="00230B99"/>
    <w:rsid w:val="00231081"/>
    <w:rsid w:val="0023136F"/>
    <w:rsid w:val="00231DFC"/>
    <w:rsid w:val="00231E21"/>
    <w:rsid w:val="00232443"/>
    <w:rsid w:val="00232644"/>
    <w:rsid w:val="002328AE"/>
    <w:rsid w:val="002331A2"/>
    <w:rsid w:val="0023368A"/>
    <w:rsid w:val="00233918"/>
    <w:rsid w:val="00234108"/>
    <w:rsid w:val="00234121"/>
    <w:rsid w:val="00234E1E"/>
    <w:rsid w:val="00234E44"/>
    <w:rsid w:val="002350AF"/>
    <w:rsid w:val="00235938"/>
    <w:rsid w:val="00235E09"/>
    <w:rsid w:val="00235E57"/>
    <w:rsid w:val="00236B9F"/>
    <w:rsid w:val="00236C2B"/>
    <w:rsid w:val="00236CEC"/>
    <w:rsid w:val="002371A7"/>
    <w:rsid w:val="002401F0"/>
    <w:rsid w:val="002406A6"/>
    <w:rsid w:val="0024092C"/>
    <w:rsid w:val="00240A2B"/>
    <w:rsid w:val="00240BE5"/>
    <w:rsid w:val="00241117"/>
    <w:rsid w:val="0024124B"/>
    <w:rsid w:val="00241261"/>
    <w:rsid w:val="002425AA"/>
    <w:rsid w:val="00242C46"/>
    <w:rsid w:val="002430C0"/>
    <w:rsid w:val="00243D30"/>
    <w:rsid w:val="002440F3"/>
    <w:rsid w:val="002442BE"/>
    <w:rsid w:val="00244490"/>
    <w:rsid w:val="00244826"/>
    <w:rsid w:val="00244961"/>
    <w:rsid w:val="002454DD"/>
    <w:rsid w:val="00245650"/>
    <w:rsid w:val="00245686"/>
    <w:rsid w:val="00245A55"/>
    <w:rsid w:val="00245B16"/>
    <w:rsid w:val="00245BFE"/>
    <w:rsid w:val="002471AD"/>
    <w:rsid w:val="0024720C"/>
    <w:rsid w:val="00247D30"/>
    <w:rsid w:val="00247EBE"/>
    <w:rsid w:val="002504F0"/>
    <w:rsid w:val="00251395"/>
    <w:rsid w:val="0025170F"/>
    <w:rsid w:val="00251981"/>
    <w:rsid w:val="00251E12"/>
    <w:rsid w:val="00251E57"/>
    <w:rsid w:val="0025200B"/>
    <w:rsid w:val="00253257"/>
    <w:rsid w:val="00253713"/>
    <w:rsid w:val="00253A64"/>
    <w:rsid w:val="00254409"/>
    <w:rsid w:val="0025462C"/>
    <w:rsid w:val="00254C8F"/>
    <w:rsid w:val="00255282"/>
    <w:rsid w:val="002553F1"/>
    <w:rsid w:val="00255405"/>
    <w:rsid w:val="002554D6"/>
    <w:rsid w:val="002556FF"/>
    <w:rsid w:val="00255AF1"/>
    <w:rsid w:val="00255B74"/>
    <w:rsid w:val="00255DD5"/>
    <w:rsid w:val="002566E1"/>
    <w:rsid w:val="00256BE9"/>
    <w:rsid w:val="0025711F"/>
    <w:rsid w:val="002572BA"/>
    <w:rsid w:val="00260B29"/>
    <w:rsid w:val="0026111D"/>
    <w:rsid w:val="0026173E"/>
    <w:rsid w:val="0026174A"/>
    <w:rsid w:val="00261770"/>
    <w:rsid w:val="00262065"/>
    <w:rsid w:val="00262821"/>
    <w:rsid w:val="00262860"/>
    <w:rsid w:val="00262982"/>
    <w:rsid w:val="00262D5A"/>
    <w:rsid w:val="00262E76"/>
    <w:rsid w:val="002635A8"/>
    <w:rsid w:val="00263B56"/>
    <w:rsid w:val="002640EF"/>
    <w:rsid w:val="002642D2"/>
    <w:rsid w:val="002646E7"/>
    <w:rsid w:val="00264AF9"/>
    <w:rsid w:val="00264F54"/>
    <w:rsid w:val="002651C6"/>
    <w:rsid w:val="00265225"/>
    <w:rsid w:val="00265EE9"/>
    <w:rsid w:val="002662E6"/>
    <w:rsid w:val="002667B0"/>
    <w:rsid w:val="002669E1"/>
    <w:rsid w:val="00266A19"/>
    <w:rsid w:val="002671A7"/>
    <w:rsid w:val="002675BD"/>
    <w:rsid w:val="00267619"/>
    <w:rsid w:val="002711C5"/>
    <w:rsid w:val="002720A1"/>
    <w:rsid w:val="0027211A"/>
    <w:rsid w:val="00272176"/>
    <w:rsid w:val="0027281A"/>
    <w:rsid w:val="00272D66"/>
    <w:rsid w:val="00273460"/>
    <w:rsid w:val="00273744"/>
    <w:rsid w:val="00273886"/>
    <w:rsid w:val="00273BA1"/>
    <w:rsid w:val="002744CD"/>
    <w:rsid w:val="002747EE"/>
    <w:rsid w:val="00274886"/>
    <w:rsid w:val="002753F7"/>
    <w:rsid w:val="00275458"/>
    <w:rsid w:val="002755F9"/>
    <w:rsid w:val="00275965"/>
    <w:rsid w:val="002759D7"/>
    <w:rsid w:val="00275EAD"/>
    <w:rsid w:val="00276314"/>
    <w:rsid w:val="00276420"/>
    <w:rsid w:val="0027687B"/>
    <w:rsid w:val="00276AF0"/>
    <w:rsid w:val="00277456"/>
    <w:rsid w:val="00277B22"/>
    <w:rsid w:val="00277DF8"/>
    <w:rsid w:val="00280EEB"/>
    <w:rsid w:val="002810C3"/>
    <w:rsid w:val="00281192"/>
    <w:rsid w:val="0028156D"/>
    <w:rsid w:val="00281809"/>
    <w:rsid w:val="00281B86"/>
    <w:rsid w:val="00281BD7"/>
    <w:rsid w:val="002820E1"/>
    <w:rsid w:val="00282597"/>
    <w:rsid w:val="00282E7C"/>
    <w:rsid w:val="00283083"/>
    <w:rsid w:val="00283474"/>
    <w:rsid w:val="0028362D"/>
    <w:rsid w:val="0028382B"/>
    <w:rsid w:val="00283991"/>
    <w:rsid w:val="00283EB0"/>
    <w:rsid w:val="00284433"/>
    <w:rsid w:val="0028455D"/>
    <w:rsid w:val="0028461D"/>
    <w:rsid w:val="00284D76"/>
    <w:rsid w:val="002851C0"/>
    <w:rsid w:val="00285694"/>
    <w:rsid w:val="00285C2C"/>
    <w:rsid w:val="002860DF"/>
    <w:rsid w:val="00286123"/>
    <w:rsid w:val="00286366"/>
    <w:rsid w:val="00287368"/>
    <w:rsid w:val="002875BC"/>
    <w:rsid w:val="002877D3"/>
    <w:rsid w:val="00287D56"/>
    <w:rsid w:val="00290383"/>
    <w:rsid w:val="002904E4"/>
    <w:rsid w:val="00290658"/>
    <w:rsid w:val="00290DBB"/>
    <w:rsid w:val="00290FD3"/>
    <w:rsid w:val="0029108A"/>
    <w:rsid w:val="002913E3"/>
    <w:rsid w:val="00291424"/>
    <w:rsid w:val="00291526"/>
    <w:rsid w:val="0029174B"/>
    <w:rsid w:val="002917ED"/>
    <w:rsid w:val="00291AC7"/>
    <w:rsid w:val="002921A8"/>
    <w:rsid w:val="00292413"/>
    <w:rsid w:val="00292705"/>
    <w:rsid w:val="002929D9"/>
    <w:rsid w:val="00292BEA"/>
    <w:rsid w:val="00293201"/>
    <w:rsid w:val="00293458"/>
    <w:rsid w:val="00293AFA"/>
    <w:rsid w:val="00293F6E"/>
    <w:rsid w:val="002940B2"/>
    <w:rsid w:val="0029416C"/>
    <w:rsid w:val="00294BAC"/>
    <w:rsid w:val="00295194"/>
    <w:rsid w:val="002951DA"/>
    <w:rsid w:val="0029581F"/>
    <w:rsid w:val="00295901"/>
    <w:rsid w:val="00295E9D"/>
    <w:rsid w:val="00296517"/>
    <w:rsid w:val="00296803"/>
    <w:rsid w:val="00296A14"/>
    <w:rsid w:val="00296C4F"/>
    <w:rsid w:val="002974E2"/>
    <w:rsid w:val="002976C7"/>
    <w:rsid w:val="0029789C"/>
    <w:rsid w:val="002978DA"/>
    <w:rsid w:val="00297901"/>
    <w:rsid w:val="00297F04"/>
    <w:rsid w:val="002A05B4"/>
    <w:rsid w:val="002A080D"/>
    <w:rsid w:val="002A0A50"/>
    <w:rsid w:val="002A0ABC"/>
    <w:rsid w:val="002A0D81"/>
    <w:rsid w:val="002A1252"/>
    <w:rsid w:val="002A1B67"/>
    <w:rsid w:val="002A200A"/>
    <w:rsid w:val="002A2797"/>
    <w:rsid w:val="002A27BC"/>
    <w:rsid w:val="002A2B3A"/>
    <w:rsid w:val="002A2E61"/>
    <w:rsid w:val="002A31FA"/>
    <w:rsid w:val="002A364C"/>
    <w:rsid w:val="002A379E"/>
    <w:rsid w:val="002A3BC6"/>
    <w:rsid w:val="002A3F8F"/>
    <w:rsid w:val="002A41A9"/>
    <w:rsid w:val="002A513F"/>
    <w:rsid w:val="002A5317"/>
    <w:rsid w:val="002A5A43"/>
    <w:rsid w:val="002A5F31"/>
    <w:rsid w:val="002A6422"/>
    <w:rsid w:val="002A6566"/>
    <w:rsid w:val="002A65AB"/>
    <w:rsid w:val="002A6761"/>
    <w:rsid w:val="002A6763"/>
    <w:rsid w:val="002A6B9B"/>
    <w:rsid w:val="002A736C"/>
    <w:rsid w:val="002A78B0"/>
    <w:rsid w:val="002B01AA"/>
    <w:rsid w:val="002B047B"/>
    <w:rsid w:val="002B086E"/>
    <w:rsid w:val="002B09AA"/>
    <w:rsid w:val="002B0AC1"/>
    <w:rsid w:val="002B1628"/>
    <w:rsid w:val="002B168C"/>
    <w:rsid w:val="002B1950"/>
    <w:rsid w:val="002B23C2"/>
    <w:rsid w:val="002B2AEC"/>
    <w:rsid w:val="002B2B2F"/>
    <w:rsid w:val="002B361D"/>
    <w:rsid w:val="002B38D3"/>
    <w:rsid w:val="002B3ADE"/>
    <w:rsid w:val="002B4062"/>
    <w:rsid w:val="002B45D8"/>
    <w:rsid w:val="002B46A0"/>
    <w:rsid w:val="002B59CE"/>
    <w:rsid w:val="002B5BE7"/>
    <w:rsid w:val="002B62A4"/>
    <w:rsid w:val="002B64AB"/>
    <w:rsid w:val="002B6520"/>
    <w:rsid w:val="002B6D80"/>
    <w:rsid w:val="002B77DF"/>
    <w:rsid w:val="002C0056"/>
    <w:rsid w:val="002C0186"/>
    <w:rsid w:val="002C0543"/>
    <w:rsid w:val="002C0780"/>
    <w:rsid w:val="002C0A8E"/>
    <w:rsid w:val="002C0BE4"/>
    <w:rsid w:val="002C1262"/>
    <w:rsid w:val="002C1540"/>
    <w:rsid w:val="002C1822"/>
    <w:rsid w:val="002C1A31"/>
    <w:rsid w:val="002C1E5E"/>
    <w:rsid w:val="002C214D"/>
    <w:rsid w:val="002C25DB"/>
    <w:rsid w:val="002C2A44"/>
    <w:rsid w:val="002C2E2B"/>
    <w:rsid w:val="002C2E5A"/>
    <w:rsid w:val="002C32D8"/>
    <w:rsid w:val="002C36DE"/>
    <w:rsid w:val="002C3709"/>
    <w:rsid w:val="002C3CF6"/>
    <w:rsid w:val="002C4313"/>
    <w:rsid w:val="002C49D6"/>
    <w:rsid w:val="002C4A4E"/>
    <w:rsid w:val="002C4ACB"/>
    <w:rsid w:val="002C4B3E"/>
    <w:rsid w:val="002C4E07"/>
    <w:rsid w:val="002C52E8"/>
    <w:rsid w:val="002C5387"/>
    <w:rsid w:val="002C5536"/>
    <w:rsid w:val="002C5A59"/>
    <w:rsid w:val="002C62F0"/>
    <w:rsid w:val="002C641E"/>
    <w:rsid w:val="002C6574"/>
    <w:rsid w:val="002C6883"/>
    <w:rsid w:val="002C6BF9"/>
    <w:rsid w:val="002D021D"/>
    <w:rsid w:val="002D0B9D"/>
    <w:rsid w:val="002D0EDA"/>
    <w:rsid w:val="002D1191"/>
    <w:rsid w:val="002D172A"/>
    <w:rsid w:val="002D1BCB"/>
    <w:rsid w:val="002D1F86"/>
    <w:rsid w:val="002D21A2"/>
    <w:rsid w:val="002D2363"/>
    <w:rsid w:val="002D3213"/>
    <w:rsid w:val="002D3B4F"/>
    <w:rsid w:val="002D3C89"/>
    <w:rsid w:val="002D3E48"/>
    <w:rsid w:val="002D3E6B"/>
    <w:rsid w:val="002D416B"/>
    <w:rsid w:val="002D43C5"/>
    <w:rsid w:val="002D44DC"/>
    <w:rsid w:val="002D453C"/>
    <w:rsid w:val="002D460D"/>
    <w:rsid w:val="002D4648"/>
    <w:rsid w:val="002D4AD0"/>
    <w:rsid w:val="002D517B"/>
    <w:rsid w:val="002D5535"/>
    <w:rsid w:val="002D56EE"/>
    <w:rsid w:val="002D588A"/>
    <w:rsid w:val="002D62DC"/>
    <w:rsid w:val="002D639D"/>
    <w:rsid w:val="002D66A0"/>
    <w:rsid w:val="002D6E53"/>
    <w:rsid w:val="002D70F5"/>
    <w:rsid w:val="002D7BBA"/>
    <w:rsid w:val="002E006C"/>
    <w:rsid w:val="002E02CB"/>
    <w:rsid w:val="002E0EF7"/>
    <w:rsid w:val="002E11F9"/>
    <w:rsid w:val="002E1383"/>
    <w:rsid w:val="002E1809"/>
    <w:rsid w:val="002E23CE"/>
    <w:rsid w:val="002E24DC"/>
    <w:rsid w:val="002E35FF"/>
    <w:rsid w:val="002E3869"/>
    <w:rsid w:val="002E4396"/>
    <w:rsid w:val="002E450C"/>
    <w:rsid w:val="002E4958"/>
    <w:rsid w:val="002E5205"/>
    <w:rsid w:val="002E5391"/>
    <w:rsid w:val="002E5C93"/>
    <w:rsid w:val="002E6316"/>
    <w:rsid w:val="002E66BE"/>
    <w:rsid w:val="002E6DA3"/>
    <w:rsid w:val="002E6E42"/>
    <w:rsid w:val="002E78AF"/>
    <w:rsid w:val="002E78D8"/>
    <w:rsid w:val="002E7ADB"/>
    <w:rsid w:val="002E7B21"/>
    <w:rsid w:val="002F0244"/>
    <w:rsid w:val="002F05DC"/>
    <w:rsid w:val="002F0B8D"/>
    <w:rsid w:val="002F16B2"/>
    <w:rsid w:val="002F1941"/>
    <w:rsid w:val="002F1A61"/>
    <w:rsid w:val="002F1AC5"/>
    <w:rsid w:val="002F1C66"/>
    <w:rsid w:val="002F1D58"/>
    <w:rsid w:val="002F21BB"/>
    <w:rsid w:val="002F2C10"/>
    <w:rsid w:val="002F3347"/>
    <w:rsid w:val="002F3EF9"/>
    <w:rsid w:val="002F4009"/>
    <w:rsid w:val="002F4627"/>
    <w:rsid w:val="002F486D"/>
    <w:rsid w:val="002F48FD"/>
    <w:rsid w:val="002F4C9F"/>
    <w:rsid w:val="002F545A"/>
    <w:rsid w:val="002F5965"/>
    <w:rsid w:val="002F5AAF"/>
    <w:rsid w:val="002F5DF7"/>
    <w:rsid w:val="002F5E2B"/>
    <w:rsid w:val="002F5E7B"/>
    <w:rsid w:val="002F5EB6"/>
    <w:rsid w:val="002F5FC0"/>
    <w:rsid w:val="002F6615"/>
    <w:rsid w:val="002F77B1"/>
    <w:rsid w:val="002F7C69"/>
    <w:rsid w:val="0030039E"/>
    <w:rsid w:val="0030051C"/>
    <w:rsid w:val="00300575"/>
    <w:rsid w:val="00300A43"/>
    <w:rsid w:val="00300ACF"/>
    <w:rsid w:val="00300B4B"/>
    <w:rsid w:val="003011CC"/>
    <w:rsid w:val="00301440"/>
    <w:rsid w:val="003023DC"/>
    <w:rsid w:val="00302418"/>
    <w:rsid w:val="003025A4"/>
    <w:rsid w:val="00302794"/>
    <w:rsid w:val="003028AA"/>
    <w:rsid w:val="003029C1"/>
    <w:rsid w:val="00302B66"/>
    <w:rsid w:val="0030316D"/>
    <w:rsid w:val="0030316F"/>
    <w:rsid w:val="003031BD"/>
    <w:rsid w:val="00303285"/>
    <w:rsid w:val="00303E87"/>
    <w:rsid w:val="0030457E"/>
    <w:rsid w:val="00304AEB"/>
    <w:rsid w:val="00304DED"/>
    <w:rsid w:val="00305620"/>
    <w:rsid w:val="0030565D"/>
    <w:rsid w:val="00305BC8"/>
    <w:rsid w:val="00305C8E"/>
    <w:rsid w:val="003060A6"/>
    <w:rsid w:val="003060C3"/>
    <w:rsid w:val="00306289"/>
    <w:rsid w:val="0030631B"/>
    <w:rsid w:val="0030663A"/>
    <w:rsid w:val="00307507"/>
    <w:rsid w:val="00307B27"/>
    <w:rsid w:val="00307C68"/>
    <w:rsid w:val="00307C82"/>
    <w:rsid w:val="003113D8"/>
    <w:rsid w:val="003116D3"/>
    <w:rsid w:val="00311E44"/>
    <w:rsid w:val="003120B8"/>
    <w:rsid w:val="003137E5"/>
    <w:rsid w:val="00313951"/>
    <w:rsid w:val="00313A67"/>
    <w:rsid w:val="0031467D"/>
    <w:rsid w:val="00314875"/>
    <w:rsid w:val="00314AAA"/>
    <w:rsid w:val="00314CA8"/>
    <w:rsid w:val="00314D8A"/>
    <w:rsid w:val="00314F59"/>
    <w:rsid w:val="00315347"/>
    <w:rsid w:val="00315412"/>
    <w:rsid w:val="00315897"/>
    <w:rsid w:val="00315D76"/>
    <w:rsid w:val="00315F23"/>
    <w:rsid w:val="00316222"/>
    <w:rsid w:val="0031657B"/>
    <w:rsid w:val="00316B2A"/>
    <w:rsid w:val="00316D09"/>
    <w:rsid w:val="00316D51"/>
    <w:rsid w:val="0031760C"/>
    <w:rsid w:val="00317760"/>
    <w:rsid w:val="003178C2"/>
    <w:rsid w:val="0031797A"/>
    <w:rsid w:val="00317CBA"/>
    <w:rsid w:val="00320011"/>
    <w:rsid w:val="00320144"/>
    <w:rsid w:val="003204DB"/>
    <w:rsid w:val="00320516"/>
    <w:rsid w:val="0032055E"/>
    <w:rsid w:val="0032091A"/>
    <w:rsid w:val="00320C2C"/>
    <w:rsid w:val="003213EC"/>
    <w:rsid w:val="0032155D"/>
    <w:rsid w:val="00321832"/>
    <w:rsid w:val="00321BE7"/>
    <w:rsid w:val="00321C41"/>
    <w:rsid w:val="00322484"/>
    <w:rsid w:val="0032295D"/>
    <w:rsid w:val="00322AF3"/>
    <w:rsid w:val="003239B1"/>
    <w:rsid w:val="003246E6"/>
    <w:rsid w:val="00325177"/>
    <w:rsid w:val="0032537A"/>
    <w:rsid w:val="00325679"/>
    <w:rsid w:val="00325931"/>
    <w:rsid w:val="003263C3"/>
    <w:rsid w:val="00326402"/>
    <w:rsid w:val="0032695E"/>
    <w:rsid w:val="003274C7"/>
    <w:rsid w:val="003274DE"/>
    <w:rsid w:val="003278BC"/>
    <w:rsid w:val="00327C7D"/>
    <w:rsid w:val="00327F1A"/>
    <w:rsid w:val="0033009E"/>
    <w:rsid w:val="00330425"/>
    <w:rsid w:val="0033095E"/>
    <w:rsid w:val="003317DA"/>
    <w:rsid w:val="00331A48"/>
    <w:rsid w:val="00331BD0"/>
    <w:rsid w:val="00332B20"/>
    <w:rsid w:val="00332E89"/>
    <w:rsid w:val="00332FA2"/>
    <w:rsid w:val="00333615"/>
    <w:rsid w:val="0033382E"/>
    <w:rsid w:val="00333C74"/>
    <w:rsid w:val="003341A1"/>
    <w:rsid w:val="00334BA3"/>
    <w:rsid w:val="00334BE4"/>
    <w:rsid w:val="00334C0D"/>
    <w:rsid w:val="00334C67"/>
    <w:rsid w:val="00334D96"/>
    <w:rsid w:val="003350B7"/>
    <w:rsid w:val="00335167"/>
    <w:rsid w:val="00335257"/>
    <w:rsid w:val="00335630"/>
    <w:rsid w:val="00335D75"/>
    <w:rsid w:val="00335D7B"/>
    <w:rsid w:val="00335F84"/>
    <w:rsid w:val="00336376"/>
    <w:rsid w:val="0033693A"/>
    <w:rsid w:val="00336B43"/>
    <w:rsid w:val="00336E94"/>
    <w:rsid w:val="003370FB"/>
    <w:rsid w:val="0033728F"/>
    <w:rsid w:val="00337872"/>
    <w:rsid w:val="0033791F"/>
    <w:rsid w:val="00340743"/>
    <w:rsid w:val="003407CD"/>
    <w:rsid w:val="00340942"/>
    <w:rsid w:val="00340A36"/>
    <w:rsid w:val="00340AB1"/>
    <w:rsid w:val="00340DF0"/>
    <w:rsid w:val="00340DF6"/>
    <w:rsid w:val="00341D24"/>
    <w:rsid w:val="00341E3D"/>
    <w:rsid w:val="0034202A"/>
    <w:rsid w:val="0034212E"/>
    <w:rsid w:val="003421D8"/>
    <w:rsid w:val="003423FF"/>
    <w:rsid w:val="0034289E"/>
    <w:rsid w:val="00342AC0"/>
    <w:rsid w:val="0034317D"/>
    <w:rsid w:val="003431AC"/>
    <w:rsid w:val="003446B9"/>
    <w:rsid w:val="00344910"/>
    <w:rsid w:val="00345339"/>
    <w:rsid w:val="0034544C"/>
    <w:rsid w:val="00345955"/>
    <w:rsid w:val="00345E55"/>
    <w:rsid w:val="003464DC"/>
    <w:rsid w:val="00346584"/>
    <w:rsid w:val="0034693A"/>
    <w:rsid w:val="003469C9"/>
    <w:rsid w:val="00347989"/>
    <w:rsid w:val="003500E6"/>
    <w:rsid w:val="003500F8"/>
    <w:rsid w:val="003505D9"/>
    <w:rsid w:val="00350A42"/>
    <w:rsid w:val="00350B80"/>
    <w:rsid w:val="00350BDA"/>
    <w:rsid w:val="00350BF7"/>
    <w:rsid w:val="00350ECF"/>
    <w:rsid w:val="00350F82"/>
    <w:rsid w:val="0035119B"/>
    <w:rsid w:val="003511E2"/>
    <w:rsid w:val="00351551"/>
    <w:rsid w:val="00351555"/>
    <w:rsid w:val="00351758"/>
    <w:rsid w:val="00351E38"/>
    <w:rsid w:val="00351FE6"/>
    <w:rsid w:val="003520F8"/>
    <w:rsid w:val="003521BE"/>
    <w:rsid w:val="0035234E"/>
    <w:rsid w:val="00352495"/>
    <w:rsid w:val="00352824"/>
    <w:rsid w:val="00352D67"/>
    <w:rsid w:val="00352EEB"/>
    <w:rsid w:val="003531DB"/>
    <w:rsid w:val="00353453"/>
    <w:rsid w:val="003535E2"/>
    <w:rsid w:val="00354DF7"/>
    <w:rsid w:val="00355227"/>
    <w:rsid w:val="00355B8E"/>
    <w:rsid w:val="00355E02"/>
    <w:rsid w:val="0035621C"/>
    <w:rsid w:val="00356FD0"/>
    <w:rsid w:val="0035724E"/>
    <w:rsid w:val="00357307"/>
    <w:rsid w:val="00357C0C"/>
    <w:rsid w:val="00357C8B"/>
    <w:rsid w:val="00357F87"/>
    <w:rsid w:val="003605D6"/>
    <w:rsid w:val="00360832"/>
    <w:rsid w:val="00360AAA"/>
    <w:rsid w:val="00360BF1"/>
    <w:rsid w:val="00361179"/>
    <w:rsid w:val="0036175B"/>
    <w:rsid w:val="00361D9E"/>
    <w:rsid w:val="00361F9C"/>
    <w:rsid w:val="00362200"/>
    <w:rsid w:val="003623FC"/>
    <w:rsid w:val="00362901"/>
    <w:rsid w:val="003629E5"/>
    <w:rsid w:val="00362FFE"/>
    <w:rsid w:val="00363380"/>
    <w:rsid w:val="0036343C"/>
    <w:rsid w:val="0036399C"/>
    <w:rsid w:val="00363A90"/>
    <w:rsid w:val="00363BEA"/>
    <w:rsid w:val="00363E4B"/>
    <w:rsid w:val="00363F77"/>
    <w:rsid w:val="00364363"/>
    <w:rsid w:val="003645E6"/>
    <w:rsid w:val="003649BB"/>
    <w:rsid w:val="00364CD5"/>
    <w:rsid w:val="00364D82"/>
    <w:rsid w:val="00364FB9"/>
    <w:rsid w:val="003652A7"/>
    <w:rsid w:val="003656CD"/>
    <w:rsid w:val="00365779"/>
    <w:rsid w:val="003665C4"/>
    <w:rsid w:val="003668F6"/>
    <w:rsid w:val="00366FF4"/>
    <w:rsid w:val="003671E7"/>
    <w:rsid w:val="003673BB"/>
    <w:rsid w:val="00367630"/>
    <w:rsid w:val="00367A2B"/>
    <w:rsid w:val="00367E4E"/>
    <w:rsid w:val="00367F98"/>
    <w:rsid w:val="00370459"/>
    <w:rsid w:val="003705D2"/>
    <w:rsid w:val="00370988"/>
    <w:rsid w:val="0037107E"/>
    <w:rsid w:val="00371211"/>
    <w:rsid w:val="00371337"/>
    <w:rsid w:val="003718A0"/>
    <w:rsid w:val="00371BCD"/>
    <w:rsid w:val="00371BE2"/>
    <w:rsid w:val="00371C5E"/>
    <w:rsid w:val="00371E92"/>
    <w:rsid w:val="00372141"/>
    <w:rsid w:val="00372667"/>
    <w:rsid w:val="003728F1"/>
    <w:rsid w:val="00372A33"/>
    <w:rsid w:val="00373090"/>
    <w:rsid w:val="003732FF"/>
    <w:rsid w:val="00373718"/>
    <w:rsid w:val="003737BE"/>
    <w:rsid w:val="003748CE"/>
    <w:rsid w:val="00374AE7"/>
    <w:rsid w:val="00374ECC"/>
    <w:rsid w:val="003752A3"/>
    <w:rsid w:val="00375A2E"/>
    <w:rsid w:val="00375E8C"/>
    <w:rsid w:val="00376394"/>
    <w:rsid w:val="00376763"/>
    <w:rsid w:val="00376DB4"/>
    <w:rsid w:val="003771DA"/>
    <w:rsid w:val="0037767D"/>
    <w:rsid w:val="0037777D"/>
    <w:rsid w:val="00377854"/>
    <w:rsid w:val="00377A04"/>
    <w:rsid w:val="00377A9B"/>
    <w:rsid w:val="00377AE0"/>
    <w:rsid w:val="003800CB"/>
    <w:rsid w:val="003801A2"/>
    <w:rsid w:val="003802D8"/>
    <w:rsid w:val="003803AA"/>
    <w:rsid w:val="003806C6"/>
    <w:rsid w:val="0038073B"/>
    <w:rsid w:val="003808EC"/>
    <w:rsid w:val="00380A07"/>
    <w:rsid w:val="00380E2E"/>
    <w:rsid w:val="00380F6E"/>
    <w:rsid w:val="00381AAA"/>
    <w:rsid w:val="00382AD3"/>
    <w:rsid w:val="00383008"/>
    <w:rsid w:val="0038346B"/>
    <w:rsid w:val="00383957"/>
    <w:rsid w:val="00383CD5"/>
    <w:rsid w:val="0038437F"/>
    <w:rsid w:val="00384690"/>
    <w:rsid w:val="00384C7C"/>
    <w:rsid w:val="00384D80"/>
    <w:rsid w:val="00384E6D"/>
    <w:rsid w:val="00384E75"/>
    <w:rsid w:val="00385410"/>
    <w:rsid w:val="003854C4"/>
    <w:rsid w:val="003855EA"/>
    <w:rsid w:val="003856BB"/>
    <w:rsid w:val="0038578D"/>
    <w:rsid w:val="00385DB9"/>
    <w:rsid w:val="0038609B"/>
    <w:rsid w:val="003860A6"/>
    <w:rsid w:val="00387084"/>
    <w:rsid w:val="003872FF"/>
    <w:rsid w:val="0038750E"/>
    <w:rsid w:val="00387B2A"/>
    <w:rsid w:val="00387C1C"/>
    <w:rsid w:val="00387D40"/>
    <w:rsid w:val="00387DEA"/>
    <w:rsid w:val="00390015"/>
    <w:rsid w:val="0039021B"/>
    <w:rsid w:val="003902D6"/>
    <w:rsid w:val="003906CE"/>
    <w:rsid w:val="0039093D"/>
    <w:rsid w:val="00390D6E"/>
    <w:rsid w:val="00390DB0"/>
    <w:rsid w:val="003913E7"/>
    <w:rsid w:val="00391571"/>
    <w:rsid w:val="003917D0"/>
    <w:rsid w:val="00392126"/>
    <w:rsid w:val="00392649"/>
    <w:rsid w:val="00393780"/>
    <w:rsid w:val="00393AD8"/>
    <w:rsid w:val="00395305"/>
    <w:rsid w:val="003953B5"/>
    <w:rsid w:val="00395838"/>
    <w:rsid w:val="0039623E"/>
    <w:rsid w:val="003965C8"/>
    <w:rsid w:val="00396D06"/>
    <w:rsid w:val="00396E0A"/>
    <w:rsid w:val="00397102"/>
    <w:rsid w:val="00397285"/>
    <w:rsid w:val="00397B8D"/>
    <w:rsid w:val="00397D1D"/>
    <w:rsid w:val="003A0AB4"/>
    <w:rsid w:val="003A0CA8"/>
    <w:rsid w:val="003A12EF"/>
    <w:rsid w:val="003A1725"/>
    <w:rsid w:val="003A227F"/>
    <w:rsid w:val="003A25E7"/>
    <w:rsid w:val="003A2FAD"/>
    <w:rsid w:val="003A2FD9"/>
    <w:rsid w:val="003A334F"/>
    <w:rsid w:val="003A347D"/>
    <w:rsid w:val="003A34B9"/>
    <w:rsid w:val="003A3553"/>
    <w:rsid w:val="003A409D"/>
    <w:rsid w:val="003A490C"/>
    <w:rsid w:val="003A4BA9"/>
    <w:rsid w:val="003A4D79"/>
    <w:rsid w:val="003A5428"/>
    <w:rsid w:val="003A57C8"/>
    <w:rsid w:val="003A5944"/>
    <w:rsid w:val="003A5B26"/>
    <w:rsid w:val="003A6062"/>
    <w:rsid w:val="003A65A3"/>
    <w:rsid w:val="003A6953"/>
    <w:rsid w:val="003A71A1"/>
    <w:rsid w:val="003A7304"/>
    <w:rsid w:val="003B04B6"/>
    <w:rsid w:val="003B059B"/>
    <w:rsid w:val="003B0B3A"/>
    <w:rsid w:val="003B0FCC"/>
    <w:rsid w:val="003B130A"/>
    <w:rsid w:val="003B142A"/>
    <w:rsid w:val="003B1837"/>
    <w:rsid w:val="003B1D1C"/>
    <w:rsid w:val="003B228A"/>
    <w:rsid w:val="003B37E0"/>
    <w:rsid w:val="003B3C7F"/>
    <w:rsid w:val="003B3EB9"/>
    <w:rsid w:val="003B4252"/>
    <w:rsid w:val="003B439B"/>
    <w:rsid w:val="003B465A"/>
    <w:rsid w:val="003B4802"/>
    <w:rsid w:val="003B4B82"/>
    <w:rsid w:val="003B4D7E"/>
    <w:rsid w:val="003B5087"/>
    <w:rsid w:val="003B5612"/>
    <w:rsid w:val="003B5F7F"/>
    <w:rsid w:val="003B635C"/>
    <w:rsid w:val="003B7439"/>
    <w:rsid w:val="003B78E6"/>
    <w:rsid w:val="003B79E5"/>
    <w:rsid w:val="003B7F60"/>
    <w:rsid w:val="003C0655"/>
    <w:rsid w:val="003C08FA"/>
    <w:rsid w:val="003C0B53"/>
    <w:rsid w:val="003C0DEC"/>
    <w:rsid w:val="003C111C"/>
    <w:rsid w:val="003C1775"/>
    <w:rsid w:val="003C26BD"/>
    <w:rsid w:val="003C30C0"/>
    <w:rsid w:val="003C345F"/>
    <w:rsid w:val="003C3784"/>
    <w:rsid w:val="003C381C"/>
    <w:rsid w:val="003C3C10"/>
    <w:rsid w:val="003C4210"/>
    <w:rsid w:val="003C4417"/>
    <w:rsid w:val="003C472B"/>
    <w:rsid w:val="003C48ED"/>
    <w:rsid w:val="003C4BF5"/>
    <w:rsid w:val="003C4E1F"/>
    <w:rsid w:val="003C5251"/>
    <w:rsid w:val="003C52A9"/>
    <w:rsid w:val="003C553C"/>
    <w:rsid w:val="003C610C"/>
    <w:rsid w:val="003C61D0"/>
    <w:rsid w:val="003C6359"/>
    <w:rsid w:val="003C6A01"/>
    <w:rsid w:val="003C6A7D"/>
    <w:rsid w:val="003C6DDF"/>
    <w:rsid w:val="003C7B1A"/>
    <w:rsid w:val="003C7E32"/>
    <w:rsid w:val="003D0371"/>
    <w:rsid w:val="003D0411"/>
    <w:rsid w:val="003D0506"/>
    <w:rsid w:val="003D08C9"/>
    <w:rsid w:val="003D0C11"/>
    <w:rsid w:val="003D1849"/>
    <w:rsid w:val="003D1B16"/>
    <w:rsid w:val="003D20DE"/>
    <w:rsid w:val="003D2108"/>
    <w:rsid w:val="003D2620"/>
    <w:rsid w:val="003D2AB6"/>
    <w:rsid w:val="003D31CE"/>
    <w:rsid w:val="003D322F"/>
    <w:rsid w:val="003D392F"/>
    <w:rsid w:val="003D4DEA"/>
    <w:rsid w:val="003D5B3C"/>
    <w:rsid w:val="003D6747"/>
    <w:rsid w:val="003D7199"/>
    <w:rsid w:val="003D71AD"/>
    <w:rsid w:val="003D746D"/>
    <w:rsid w:val="003D75C0"/>
    <w:rsid w:val="003D76C4"/>
    <w:rsid w:val="003D7FE8"/>
    <w:rsid w:val="003E005A"/>
    <w:rsid w:val="003E00B5"/>
    <w:rsid w:val="003E08F4"/>
    <w:rsid w:val="003E0E35"/>
    <w:rsid w:val="003E0F8B"/>
    <w:rsid w:val="003E104B"/>
    <w:rsid w:val="003E1581"/>
    <w:rsid w:val="003E16F3"/>
    <w:rsid w:val="003E1729"/>
    <w:rsid w:val="003E18AD"/>
    <w:rsid w:val="003E18F9"/>
    <w:rsid w:val="003E24C6"/>
    <w:rsid w:val="003E27A9"/>
    <w:rsid w:val="003E2B1E"/>
    <w:rsid w:val="003E3360"/>
    <w:rsid w:val="003E34BB"/>
    <w:rsid w:val="003E42CF"/>
    <w:rsid w:val="003E4550"/>
    <w:rsid w:val="003E4916"/>
    <w:rsid w:val="003E51B4"/>
    <w:rsid w:val="003E5514"/>
    <w:rsid w:val="003E56D6"/>
    <w:rsid w:val="003E5753"/>
    <w:rsid w:val="003E5CD6"/>
    <w:rsid w:val="003E5FA0"/>
    <w:rsid w:val="003E66C1"/>
    <w:rsid w:val="003E6DE3"/>
    <w:rsid w:val="003E7436"/>
    <w:rsid w:val="003E7998"/>
    <w:rsid w:val="003E7A9E"/>
    <w:rsid w:val="003E7D8C"/>
    <w:rsid w:val="003E7DED"/>
    <w:rsid w:val="003F01BF"/>
    <w:rsid w:val="003F0B9C"/>
    <w:rsid w:val="003F0D2C"/>
    <w:rsid w:val="003F151A"/>
    <w:rsid w:val="003F16F1"/>
    <w:rsid w:val="003F1763"/>
    <w:rsid w:val="003F1B25"/>
    <w:rsid w:val="003F1D0E"/>
    <w:rsid w:val="003F1DBA"/>
    <w:rsid w:val="003F1DD0"/>
    <w:rsid w:val="003F2A01"/>
    <w:rsid w:val="003F3205"/>
    <w:rsid w:val="003F3AB9"/>
    <w:rsid w:val="003F45BB"/>
    <w:rsid w:val="003F49E3"/>
    <w:rsid w:val="003F4BAE"/>
    <w:rsid w:val="003F4CE0"/>
    <w:rsid w:val="003F4F6A"/>
    <w:rsid w:val="003F4F8D"/>
    <w:rsid w:val="003F5657"/>
    <w:rsid w:val="003F5BAC"/>
    <w:rsid w:val="003F607E"/>
    <w:rsid w:val="003F6125"/>
    <w:rsid w:val="003F7307"/>
    <w:rsid w:val="00400F8F"/>
    <w:rsid w:val="004015E3"/>
    <w:rsid w:val="00401759"/>
    <w:rsid w:val="00401A13"/>
    <w:rsid w:val="00401B66"/>
    <w:rsid w:val="004020A7"/>
    <w:rsid w:val="00402569"/>
    <w:rsid w:val="0040267D"/>
    <w:rsid w:val="004026BA"/>
    <w:rsid w:val="004027B5"/>
    <w:rsid w:val="00402D87"/>
    <w:rsid w:val="00403E9B"/>
    <w:rsid w:val="00403EDE"/>
    <w:rsid w:val="00403FFC"/>
    <w:rsid w:val="0040406E"/>
    <w:rsid w:val="004040C8"/>
    <w:rsid w:val="00404168"/>
    <w:rsid w:val="0040457D"/>
    <w:rsid w:val="00404765"/>
    <w:rsid w:val="00404B33"/>
    <w:rsid w:val="00405165"/>
    <w:rsid w:val="0040534E"/>
    <w:rsid w:val="004061A9"/>
    <w:rsid w:val="00406438"/>
    <w:rsid w:val="00406756"/>
    <w:rsid w:val="00407893"/>
    <w:rsid w:val="00407B19"/>
    <w:rsid w:val="00407DAE"/>
    <w:rsid w:val="00407FF5"/>
    <w:rsid w:val="004100E6"/>
    <w:rsid w:val="00410171"/>
    <w:rsid w:val="0041049F"/>
    <w:rsid w:val="00410794"/>
    <w:rsid w:val="00410D1F"/>
    <w:rsid w:val="00410DD8"/>
    <w:rsid w:val="00410E3A"/>
    <w:rsid w:val="004113F8"/>
    <w:rsid w:val="004119DC"/>
    <w:rsid w:val="00412116"/>
    <w:rsid w:val="004127B7"/>
    <w:rsid w:val="00412A60"/>
    <w:rsid w:val="00412C0B"/>
    <w:rsid w:val="0041326A"/>
    <w:rsid w:val="0041373C"/>
    <w:rsid w:val="00413A79"/>
    <w:rsid w:val="004140AA"/>
    <w:rsid w:val="00414265"/>
    <w:rsid w:val="00414AC8"/>
    <w:rsid w:val="00414BD7"/>
    <w:rsid w:val="00414E8B"/>
    <w:rsid w:val="004156A4"/>
    <w:rsid w:val="004159AD"/>
    <w:rsid w:val="00415C0E"/>
    <w:rsid w:val="00415C27"/>
    <w:rsid w:val="00415E85"/>
    <w:rsid w:val="00416226"/>
    <w:rsid w:val="00416310"/>
    <w:rsid w:val="00416737"/>
    <w:rsid w:val="00416A84"/>
    <w:rsid w:val="0041709F"/>
    <w:rsid w:val="004170E1"/>
    <w:rsid w:val="004177CF"/>
    <w:rsid w:val="0041799B"/>
    <w:rsid w:val="004201A2"/>
    <w:rsid w:val="0042046A"/>
    <w:rsid w:val="00420631"/>
    <w:rsid w:val="004209D6"/>
    <w:rsid w:val="00420A66"/>
    <w:rsid w:val="00420C36"/>
    <w:rsid w:val="00420EFE"/>
    <w:rsid w:val="00420FAA"/>
    <w:rsid w:val="0042131D"/>
    <w:rsid w:val="00421D1D"/>
    <w:rsid w:val="00421DA7"/>
    <w:rsid w:val="004221DB"/>
    <w:rsid w:val="00422723"/>
    <w:rsid w:val="00422CB9"/>
    <w:rsid w:val="00422D90"/>
    <w:rsid w:val="0042352D"/>
    <w:rsid w:val="004236B0"/>
    <w:rsid w:val="0042377C"/>
    <w:rsid w:val="004238AB"/>
    <w:rsid w:val="0042399E"/>
    <w:rsid w:val="00423B93"/>
    <w:rsid w:val="00424121"/>
    <w:rsid w:val="004241C4"/>
    <w:rsid w:val="00424478"/>
    <w:rsid w:val="00424761"/>
    <w:rsid w:val="00424AA9"/>
    <w:rsid w:val="0042541D"/>
    <w:rsid w:val="004255AF"/>
    <w:rsid w:val="004259A7"/>
    <w:rsid w:val="00425B9A"/>
    <w:rsid w:val="00425FFF"/>
    <w:rsid w:val="00426348"/>
    <w:rsid w:val="004269E8"/>
    <w:rsid w:val="00426E9B"/>
    <w:rsid w:val="00427101"/>
    <w:rsid w:val="00427981"/>
    <w:rsid w:val="00427CC7"/>
    <w:rsid w:val="004303D8"/>
    <w:rsid w:val="0043072E"/>
    <w:rsid w:val="004308D0"/>
    <w:rsid w:val="00430DDD"/>
    <w:rsid w:val="00431146"/>
    <w:rsid w:val="004311FD"/>
    <w:rsid w:val="004316C4"/>
    <w:rsid w:val="004317FA"/>
    <w:rsid w:val="00431BE6"/>
    <w:rsid w:val="00431FF5"/>
    <w:rsid w:val="0043201D"/>
    <w:rsid w:val="004320F6"/>
    <w:rsid w:val="00432AAB"/>
    <w:rsid w:val="00433259"/>
    <w:rsid w:val="00433654"/>
    <w:rsid w:val="004336E7"/>
    <w:rsid w:val="004337D2"/>
    <w:rsid w:val="00433A7D"/>
    <w:rsid w:val="004341ED"/>
    <w:rsid w:val="00434399"/>
    <w:rsid w:val="0043448B"/>
    <w:rsid w:val="00434AD8"/>
    <w:rsid w:val="00434C0C"/>
    <w:rsid w:val="00434ED9"/>
    <w:rsid w:val="0043516C"/>
    <w:rsid w:val="0043567F"/>
    <w:rsid w:val="00436022"/>
    <w:rsid w:val="0043603A"/>
    <w:rsid w:val="004363F6"/>
    <w:rsid w:val="00436444"/>
    <w:rsid w:val="004370C7"/>
    <w:rsid w:val="00437AB4"/>
    <w:rsid w:val="00441325"/>
    <w:rsid w:val="0044186F"/>
    <w:rsid w:val="00441FA9"/>
    <w:rsid w:val="00442965"/>
    <w:rsid w:val="00442C87"/>
    <w:rsid w:val="00442D6F"/>
    <w:rsid w:val="004431A1"/>
    <w:rsid w:val="00443699"/>
    <w:rsid w:val="0044393D"/>
    <w:rsid w:val="00443C8A"/>
    <w:rsid w:val="00443F05"/>
    <w:rsid w:val="00444177"/>
    <w:rsid w:val="00444190"/>
    <w:rsid w:val="00444C37"/>
    <w:rsid w:val="00444D95"/>
    <w:rsid w:val="00445036"/>
    <w:rsid w:val="0044512F"/>
    <w:rsid w:val="004451AB"/>
    <w:rsid w:val="004456F7"/>
    <w:rsid w:val="00445893"/>
    <w:rsid w:val="00446087"/>
    <w:rsid w:val="004462D8"/>
    <w:rsid w:val="0044638C"/>
    <w:rsid w:val="00446452"/>
    <w:rsid w:val="00446ECE"/>
    <w:rsid w:val="00447314"/>
    <w:rsid w:val="00447535"/>
    <w:rsid w:val="004475A2"/>
    <w:rsid w:val="0044776D"/>
    <w:rsid w:val="0044798D"/>
    <w:rsid w:val="0044799E"/>
    <w:rsid w:val="00447DE9"/>
    <w:rsid w:val="00450AEC"/>
    <w:rsid w:val="00451AF7"/>
    <w:rsid w:val="0045220A"/>
    <w:rsid w:val="00452EB6"/>
    <w:rsid w:val="00453CB0"/>
    <w:rsid w:val="00453EBD"/>
    <w:rsid w:val="00454387"/>
    <w:rsid w:val="004545CA"/>
    <w:rsid w:val="004546C6"/>
    <w:rsid w:val="0045486E"/>
    <w:rsid w:val="004549F0"/>
    <w:rsid w:val="00454EE2"/>
    <w:rsid w:val="0045520E"/>
    <w:rsid w:val="00455383"/>
    <w:rsid w:val="00455742"/>
    <w:rsid w:val="00455DB0"/>
    <w:rsid w:val="00455E45"/>
    <w:rsid w:val="00455E52"/>
    <w:rsid w:val="00456154"/>
    <w:rsid w:val="004579BF"/>
    <w:rsid w:val="00457BF4"/>
    <w:rsid w:val="00457F54"/>
    <w:rsid w:val="0046028A"/>
    <w:rsid w:val="00460875"/>
    <w:rsid w:val="004609B4"/>
    <w:rsid w:val="004611E0"/>
    <w:rsid w:val="00461379"/>
    <w:rsid w:val="00462586"/>
    <w:rsid w:val="004625BC"/>
    <w:rsid w:val="00462753"/>
    <w:rsid w:val="00462EA6"/>
    <w:rsid w:val="004630A2"/>
    <w:rsid w:val="0046374A"/>
    <w:rsid w:val="00463FB5"/>
    <w:rsid w:val="00464088"/>
    <w:rsid w:val="00464688"/>
    <w:rsid w:val="0046480D"/>
    <w:rsid w:val="004648A1"/>
    <w:rsid w:val="004656A1"/>
    <w:rsid w:val="00465857"/>
    <w:rsid w:val="00465B03"/>
    <w:rsid w:val="0046621C"/>
    <w:rsid w:val="004666BD"/>
    <w:rsid w:val="004667E7"/>
    <w:rsid w:val="00466AC4"/>
    <w:rsid w:val="00466BF6"/>
    <w:rsid w:val="00466C78"/>
    <w:rsid w:val="00466C84"/>
    <w:rsid w:val="00466E44"/>
    <w:rsid w:val="00467324"/>
    <w:rsid w:val="00467D6A"/>
    <w:rsid w:val="0047057C"/>
    <w:rsid w:val="004706E3"/>
    <w:rsid w:val="00470FAA"/>
    <w:rsid w:val="00471198"/>
    <w:rsid w:val="00473177"/>
    <w:rsid w:val="004736DB"/>
    <w:rsid w:val="0047377C"/>
    <w:rsid w:val="004741A7"/>
    <w:rsid w:val="00474A08"/>
    <w:rsid w:val="004755C8"/>
    <w:rsid w:val="00475E56"/>
    <w:rsid w:val="00475ECC"/>
    <w:rsid w:val="004762EA"/>
    <w:rsid w:val="0047675F"/>
    <w:rsid w:val="00476981"/>
    <w:rsid w:val="0047714F"/>
    <w:rsid w:val="00477737"/>
    <w:rsid w:val="00477A0B"/>
    <w:rsid w:val="00477C03"/>
    <w:rsid w:val="00480151"/>
    <w:rsid w:val="00480240"/>
    <w:rsid w:val="004809DE"/>
    <w:rsid w:val="00480BA1"/>
    <w:rsid w:val="004817FC"/>
    <w:rsid w:val="00482408"/>
    <w:rsid w:val="00482429"/>
    <w:rsid w:val="00482A07"/>
    <w:rsid w:val="00482B31"/>
    <w:rsid w:val="0048330A"/>
    <w:rsid w:val="004835DD"/>
    <w:rsid w:val="00483AFF"/>
    <w:rsid w:val="004840E4"/>
    <w:rsid w:val="0048415F"/>
    <w:rsid w:val="004847F4"/>
    <w:rsid w:val="0048481B"/>
    <w:rsid w:val="00484B1C"/>
    <w:rsid w:val="00484BAF"/>
    <w:rsid w:val="0048537D"/>
    <w:rsid w:val="00485D64"/>
    <w:rsid w:val="004860D9"/>
    <w:rsid w:val="00486632"/>
    <w:rsid w:val="00487273"/>
    <w:rsid w:val="00487CF9"/>
    <w:rsid w:val="00487FE6"/>
    <w:rsid w:val="00490278"/>
    <w:rsid w:val="00490285"/>
    <w:rsid w:val="0049058A"/>
    <w:rsid w:val="00490CED"/>
    <w:rsid w:val="00490E49"/>
    <w:rsid w:val="0049109C"/>
    <w:rsid w:val="00492096"/>
    <w:rsid w:val="004924A0"/>
    <w:rsid w:val="004924B0"/>
    <w:rsid w:val="0049254C"/>
    <w:rsid w:val="00492F4A"/>
    <w:rsid w:val="004939BD"/>
    <w:rsid w:val="00494435"/>
    <w:rsid w:val="00494657"/>
    <w:rsid w:val="00494D3A"/>
    <w:rsid w:val="00494F01"/>
    <w:rsid w:val="00495258"/>
    <w:rsid w:val="0049556B"/>
    <w:rsid w:val="00495C2B"/>
    <w:rsid w:val="004960A4"/>
    <w:rsid w:val="0049643A"/>
    <w:rsid w:val="0049652A"/>
    <w:rsid w:val="00496781"/>
    <w:rsid w:val="004969AB"/>
    <w:rsid w:val="00496AAC"/>
    <w:rsid w:val="00496F99"/>
    <w:rsid w:val="0049773D"/>
    <w:rsid w:val="004977A5"/>
    <w:rsid w:val="00497C7E"/>
    <w:rsid w:val="00497F9E"/>
    <w:rsid w:val="004A02D5"/>
    <w:rsid w:val="004A06A1"/>
    <w:rsid w:val="004A0A59"/>
    <w:rsid w:val="004A0BEC"/>
    <w:rsid w:val="004A0D55"/>
    <w:rsid w:val="004A1751"/>
    <w:rsid w:val="004A1ECC"/>
    <w:rsid w:val="004A2B61"/>
    <w:rsid w:val="004A2B70"/>
    <w:rsid w:val="004A2F94"/>
    <w:rsid w:val="004A320A"/>
    <w:rsid w:val="004A3A46"/>
    <w:rsid w:val="004A449F"/>
    <w:rsid w:val="004A48D0"/>
    <w:rsid w:val="004A4E39"/>
    <w:rsid w:val="004A4E74"/>
    <w:rsid w:val="004A5337"/>
    <w:rsid w:val="004A5576"/>
    <w:rsid w:val="004A55FB"/>
    <w:rsid w:val="004A6511"/>
    <w:rsid w:val="004A6C25"/>
    <w:rsid w:val="004A720D"/>
    <w:rsid w:val="004A721C"/>
    <w:rsid w:val="004A731B"/>
    <w:rsid w:val="004A7639"/>
    <w:rsid w:val="004A7B6B"/>
    <w:rsid w:val="004A7D2F"/>
    <w:rsid w:val="004B00CD"/>
    <w:rsid w:val="004B0356"/>
    <w:rsid w:val="004B04A1"/>
    <w:rsid w:val="004B04B9"/>
    <w:rsid w:val="004B1198"/>
    <w:rsid w:val="004B1969"/>
    <w:rsid w:val="004B1AA9"/>
    <w:rsid w:val="004B1D1B"/>
    <w:rsid w:val="004B21C6"/>
    <w:rsid w:val="004B2886"/>
    <w:rsid w:val="004B2906"/>
    <w:rsid w:val="004B2DF2"/>
    <w:rsid w:val="004B2ED3"/>
    <w:rsid w:val="004B329F"/>
    <w:rsid w:val="004B37D6"/>
    <w:rsid w:val="004B3847"/>
    <w:rsid w:val="004B3CBF"/>
    <w:rsid w:val="004B3FA8"/>
    <w:rsid w:val="004B465E"/>
    <w:rsid w:val="004B4893"/>
    <w:rsid w:val="004B516E"/>
    <w:rsid w:val="004B535D"/>
    <w:rsid w:val="004B53CE"/>
    <w:rsid w:val="004B5508"/>
    <w:rsid w:val="004B6162"/>
    <w:rsid w:val="004B6556"/>
    <w:rsid w:val="004B7477"/>
    <w:rsid w:val="004B7576"/>
    <w:rsid w:val="004B77AF"/>
    <w:rsid w:val="004B7803"/>
    <w:rsid w:val="004B792B"/>
    <w:rsid w:val="004B79BE"/>
    <w:rsid w:val="004B7AC1"/>
    <w:rsid w:val="004B7BDF"/>
    <w:rsid w:val="004B7EAA"/>
    <w:rsid w:val="004C05A6"/>
    <w:rsid w:val="004C0B5C"/>
    <w:rsid w:val="004C0CC3"/>
    <w:rsid w:val="004C0E8A"/>
    <w:rsid w:val="004C0EB5"/>
    <w:rsid w:val="004C132E"/>
    <w:rsid w:val="004C1981"/>
    <w:rsid w:val="004C1B8E"/>
    <w:rsid w:val="004C1B91"/>
    <w:rsid w:val="004C1D64"/>
    <w:rsid w:val="004C1F99"/>
    <w:rsid w:val="004C28D0"/>
    <w:rsid w:val="004C32EA"/>
    <w:rsid w:val="004C4ABC"/>
    <w:rsid w:val="004C5030"/>
    <w:rsid w:val="004C51D7"/>
    <w:rsid w:val="004C5D68"/>
    <w:rsid w:val="004C5F7B"/>
    <w:rsid w:val="004C6375"/>
    <w:rsid w:val="004C64E7"/>
    <w:rsid w:val="004C6822"/>
    <w:rsid w:val="004C78CD"/>
    <w:rsid w:val="004C7B8C"/>
    <w:rsid w:val="004D03C8"/>
    <w:rsid w:val="004D0E00"/>
    <w:rsid w:val="004D0F6C"/>
    <w:rsid w:val="004D13BF"/>
    <w:rsid w:val="004D1D07"/>
    <w:rsid w:val="004D268B"/>
    <w:rsid w:val="004D2F78"/>
    <w:rsid w:val="004D3135"/>
    <w:rsid w:val="004D3769"/>
    <w:rsid w:val="004D4836"/>
    <w:rsid w:val="004D4BD2"/>
    <w:rsid w:val="004D51FD"/>
    <w:rsid w:val="004D5911"/>
    <w:rsid w:val="004D5FC9"/>
    <w:rsid w:val="004D5FD6"/>
    <w:rsid w:val="004D668B"/>
    <w:rsid w:val="004D67E3"/>
    <w:rsid w:val="004D69DF"/>
    <w:rsid w:val="004D708C"/>
    <w:rsid w:val="004D73CE"/>
    <w:rsid w:val="004D7786"/>
    <w:rsid w:val="004D7C84"/>
    <w:rsid w:val="004D7D21"/>
    <w:rsid w:val="004D7DFB"/>
    <w:rsid w:val="004E034B"/>
    <w:rsid w:val="004E0441"/>
    <w:rsid w:val="004E050F"/>
    <w:rsid w:val="004E08FC"/>
    <w:rsid w:val="004E0C48"/>
    <w:rsid w:val="004E0C5F"/>
    <w:rsid w:val="004E0DB4"/>
    <w:rsid w:val="004E1012"/>
    <w:rsid w:val="004E108F"/>
    <w:rsid w:val="004E132D"/>
    <w:rsid w:val="004E1421"/>
    <w:rsid w:val="004E16FA"/>
    <w:rsid w:val="004E23C2"/>
    <w:rsid w:val="004E24E9"/>
    <w:rsid w:val="004E2ED3"/>
    <w:rsid w:val="004E3316"/>
    <w:rsid w:val="004E3428"/>
    <w:rsid w:val="004E3774"/>
    <w:rsid w:val="004E381F"/>
    <w:rsid w:val="004E3CB4"/>
    <w:rsid w:val="004E3DE3"/>
    <w:rsid w:val="004E3FA9"/>
    <w:rsid w:val="004E4E12"/>
    <w:rsid w:val="004E5054"/>
    <w:rsid w:val="004E50CE"/>
    <w:rsid w:val="004E530B"/>
    <w:rsid w:val="004E59BE"/>
    <w:rsid w:val="004E5A32"/>
    <w:rsid w:val="004E5F18"/>
    <w:rsid w:val="004E695E"/>
    <w:rsid w:val="004E6A47"/>
    <w:rsid w:val="004E71A0"/>
    <w:rsid w:val="004E7363"/>
    <w:rsid w:val="004E7D7D"/>
    <w:rsid w:val="004F016A"/>
    <w:rsid w:val="004F0CC6"/>
    <w:rsid w:val="004F14F3"/>
    <w:rsid w:val="004F1C38"/>
    <w:rsid w:val="004F29E2"/>
    <w:rsid w:val="004F2E86"/>
    <w:rsid w:val="004F3C6C"/>
    <w:rsid w:val="004F3C76"/>
    <w:rsid w:val="004F4165"/>
    <w:rsid w:val="004F42F3"/>
    <w:rsid w:val="004F4627"/>
    <w:rsid w:val="004F4971"/>
    <w:rsid w:val="004F4B18"/>
    <w:rsid w:val="004F4D4A"/>
    <w:rsid w:val="004F562D"/>
    <w:rsid w:val="004F585F"/>
    <w:rsid w:val="004F5A91"/>
    <w:rsid w:val="004F6247"/>
    <w:rsid w:val="004F6422"/>
    <w:rsid w:val="004F67A9"/>
    <w:rsid w:val="004F68C8"/>
    <w:rsid w:val="004F6ADE"/>
    <w:rsid w:val="004F6E43"/>
    <w:rsid w:val="004F6E48"/>
    <w:rsid w:val="004F7362"/>
    <w:rsid w:val="004F7708"/>
    <w:rsid w:val="004F7729"/>
    <w:rsid w:val="004F7B4A"/>
    <w:rsid w:val="004F7C03"/>
    <w:rsid w:val="004F7D04"/>
    <w:rsid w:val="005004DB"/>
    <w:rsid w:val="00500DA3"/>
    <w:rsid w:val="00500F2E"/>
    <w:rsid w:val="00501107"/>
    <w:rsid w:val="005012A3"/>
    <w:rsid w:val="00501B60"/>
    <w:rsid w:val="00501BCB"/>
    <w:rsid w:val="00501D61"/>
    <w:rsid w:val="00501F95"/>
    <w:rsid w:val="00502223"/>
    <w:rsid w:val="005023F6"/>
    <w:rsid w:val="00502E9A"/>
    <w:rsid w:val="00503435"/>
    <w:rsid w:val="005036C8"/>
    <w:rsid w:val="00503780"/>
    <w:rsid w:val="00504030"/>
    <w:rsid w:val="005047A7"/>
    <w:rsid w:val="00504F5F"/>
    <w:rsid w:val="00505459"/>
    <w:rsid w:val="005054DA"/>
    <w:rsid w:val="00506FB5"/>
    <w:rsid w:val="0050723C"/>
    <w:rsid w:val="00507574"/>
    <w:rsid w:val="0050777C"/>
    <w:rsid w:val="00510222"/>
    <w:rsid w:val="00510410"/>
    <w:rsid w:val="00510730"/>
    <w:rsid w:val="0051129C"/>
    <w:rsid w:val="0051146A"/>
    <w:rsid w:val="005119A6"/>
    <w:rsid w:val="00511D2B"/>
    <w:rsid w:val="0051281F"/>
    <w:rsid w:val="00513DC2"/>
    <w:rsid w:val="00513ED9"/>
    <w:rsid w:val="0051424E"/>
    <w:rsid w:val="0051463B"/>
    <w:rsid w:val="00514641"/>
    <w:rsid w:val="005146FB"/>
    <w:rsid w:val="00514A3F"/>
    <w:rsid w:val="00514E20"/>
    <w:rsid w:val="00514E35"/>
    <w:rsid w:val="00515430"/>
    <w:rsid w:val="00515665"/>
    <w:rsid w:val="00515981"/>
    <w:rsid w:val="00515BF6"/>
    <w:rsid w:val="00515FED"/>
    <w:rsid w:val="0051647B"/>
    <w:rsid w:val="00516EE6"/>
    <w:rsid w:val="005171DE"/>
    <w:rsid w:val="00517607"/>
    <w:rsid w:val="00517616"/>
    <w:rsid w:val="00517913"/>
    <w:rsid w:val="00517C83"/>
    <w:rsid w:val="00517EDB"/>
    <w:rsid w:val="00520DDC"/>
    <w:rsid w:val="00522918"/>
    <w:rsid w:val="00523221"/>
    <w:rsid w:val="00523497"/>
    <w:rsid w:val="00523770"/>
    <w:rsid w:val="0052396F"/>
    <w:rsid w:val="005243F0"/>
    <w:rsid w:val="005245EE"/>
    <w:rsid w:val="00524BC2"/>
    <w:rsid w:val="0052517A"/>
    <w:rsid w:val="00525653"/>
    <w:rsid w:val="00525976"/>
    <w:rsid w:val="00525E79"/>
    <w:rsid w:val="00526270"/>
    <w:rsid w:val="005262F0"/>
    <w:rsid w:val="0052674F"/>
    <w:rsid w:val="00526813"/>
    <w:rsid w:val="005269C5"/>
    <w:rsid w:val="00526AF3"/>
    <w:rsid w:val="00526B43"/>
    <w:rsid w:val="00527397"/>
    <w:rsid w:val="0052745F"/>
    <w:rsid w:val="00527B45"/>
    <w:rsid w:val="00527D59"/>
    <w:rsid w:val="00530025"/>
    <w:rsid w:val="00530400"/>
    <w:rsid w:val="00531446"/>
    <w:rsid w:val="005318E9"/>
    <w:rsid w:val="00531B6F"/>
    <w:rsid w:val="00531D4E"/>
    <w:rsid w:val="00531F67"/>
    <w:rsid w:val="0053207E"/>
    <w:rsid w:val="0053208E"/>
    <w:rsid w:val="00532D88"/>
    <w:rsid w:val="00532E58"/>
    <w:rsid w:val="005330B0"/>
    <w:rsid w:val="005337FF"/>
    <w:rsid w:val="00533A61"/>
    <w:rsid w:val="00533D87"/>
    <w:rsid w:val="00533FCB"/>
    <w:rsid w:val="00535A6A"/>
    <w:rsid w:val="00535A93"/>
    <w:rsid w:val="00535ABE"/>
    <w:rsid w:val="005367A0"/>
    <w:rsid w:val="00536E1C"/>
    <w:rsid w:val="00536F3D"/>
    <w:rsid w:val="00536FD9"/>
    <w:rsid w:val="0053764B"/>
    <w:rsid w:val="00537841"/>
    <w:rsid w:val="00537A21"/>
    <w:rsid w:val="00537B3E"/>
    <w:rsid w:val="00537C45"/>
    <w:rsid w:val="00537F73"/>
    <w:rsid w:val="005405F5"/>
    <w:rsid w:val="00540972"/>
    <w:rsid w:val="00540F5A"/>
    <w:rsid w:val="005413B6"/>
    <w:rsid w:val="005416AF"/>
    <w:rsid w:val="005418EE"/>
    <w:rsid w:val="0054279E"/>
    <w:rsid w:val="005427E8"/>
    <w:rsid w:val="005428E5"/>
    <w:rsid w:val="005431AC"/>
    <w:rsid w:val="00543659"/>
    <w:rsid w:val="005437FA"/>
    <w:rsid w:val="00543817"/>
    <w:rsid w:val="0054387A"/>
    <w:rsid w:val="0054576D"/>
    <w:rsid w:val="00545B03"/>
    <w:rsid w:val="00545FEE"/>
    <w:rsid w:val="0054631F"/>
    <w:rsid w:val="00546862"/>
    <w:rsid w:val="00546E02"/>
    <w:rsid w:val="00547170"/>
    <w:rsid w:val="005475DA"/>
    <w:rsid w:val="00550E8E"/>
    <w:rsid w:val="00550EE2"/>
    <w:rsid w:val="0055146A"/>
    <w:rsid w:val="00551AC7"/>
    <w:rsid w:val="00551EBA"/>
    <w:rsid w:val="005525D4"/>
    <w:rsid w:val="0055269D"/>
    <w:rsid w:val="005526C0"/>
    <w:rsid w:val="00552BAF"/>
    <w:rsid w:val="0055304A"/>
    <w:rsid w:val="00553AD4"/>
    <w:rsid w:val="0055431D"/>
    <w:rsid w:val="0055466E"/>
    <w:rsid w:val="00555584"/>
    <w:rsid w:val="00555657"/>
    <w:rsid w:val="00556412"/>
    <w:rsid w:val="0055695D"/>
    <w:rsid w:val="00556ADE"/>
    <w:rsid w:val="00556B79"/>
    <w:rsid w:val="00556D08"/>
    <w:rsid w:val="00557172"/>
    <w:rsid w:val="005572B7"/>
    <w:rsid w:val="0055757C"/>
    <w:rsid w:val="00557896"/>
    <w:rsid w:val="00561581"/>
    <w:rsid w:val="00561969"/>
    <w:rsid w:val="005623C2"/>
    <w:rsid w:val="00562506"/>
    <w:rsid w:val="0056252A"/>
    <w:rsid w:val="0056298D"/>
    <w:rsid w:val="00562B4A"/>
    <w:rsid w:val="005637B4"/>
    <w:rsid w:val="00563A15"/>
    <w:rsid w:val="00563AB3"/>
    <w:rsid w:val="00563AEF"/>
    <w:rsid w:val="00563E12"/>
    <w:rsid w:val="00564B29"/>
    <w:rsid w:val="00564CB7"/>
    <w:rsid w:val="00564FA6"/>
    <w:rsid w:val="005653AB"/>
    <w:rsid w:val="00565732"/>
    <w:rsid w:val="00565B61"/>
    <w:rsid w:val="00565EC1"/>
    <w:rsid w:val="005665D7"/>
    <w:rsid w:val="005666F8"/>
    <w:rsid w:val="00567178"/>
    <w:rsid w:val="00567BBA"/>
    <w:rsid w:val="00567C7B"/>
    <w:rsid w:val="00567C99"/>
    <w:rsid w:val="00570182"/>
    <w:rsid w:val="00570609"/>
    <w:rsid w:val="0057100A"/>
    <w:rsid w:val="005713F5"/>
    <w:rsid w:val="005714E9"/>
    <w:rsid w:val="0057191F"/>
    <w:rsid w:val="00571972"/>
    <w:rsid w:val="00571BEB"/>
    <w:rsid w:val="00571C30"/>
    <w:rsid w:val="005725FB"/>
    <w:rsid w:val="00572652"/>
    <w:rsid w:val="00572953"/>
    <w:rsid w:val="00572CA7"/>
    <w:rsid w:val="00573A2A"/>
    <w:rsid w:val="005743C6"/>
    <w:rsid w:val="00575076"/>
    <w:rsid w:val="005757CD"/>
    <w:rsid w:val="00575DE9"/>
    <w:rsid w:val="00575F26"/>
    <w:rsid w:val="00575FF6"/>
    <w:rsid w:val="00576433"/>
    <w:rsid w:val="005764FB"/>
    <w:rsid w:val="0057671C"/>
    <w:rsid w:val="00576A56"/>
    <w:rsid w:val="00577138"/>
    <w:rsid w:val="005776A7"/>
    <w:rsid w:val="00577BEF"/>
    <w:rsid w:val="00577CA2"/>
    <w:rsid w:val="00577D53"/>
    <w:rsid w:val="00577FCF"/>
    <w:rsid w:val="005807C0"/>
    <w:rsid w:val="005807EF"/>
    <w:rsid w:val="00580EBE"/>
    <w:rsid w:val="00581207"/>
    <w:rsid w:val="005814E4"/>
    <w:rsid w:val="005819DA"/>
    <w:rsid w:val="00582A09"/>
    <w:rsid w:val="00582B48"/>
    <w:rsid w:val="005839EB"/>
    <w:rsid w:val="00583C11"/>
    <w:rsid w:val="00583F4A"/>
    <w:rsid w:val="00584092"/>
    <w:rsid w:val="0058425B"/>
    <w:rsid w:val="005850BB"/>
    <w:rsid w:val="00585198"/>
    <w:rsid w:val="00585D70"/>
    <w:rsid w:val="00586010"/>
    <w:rsid w:val="005867DE"/>
    <w:rsid w:val="00586CC8"/>
    <w:rsid w:val="00587013"/>
    <w:rsid w:val="00587405"/>
    <w:rsid w:val="00587415"/>
    <w:rsid w:val="005876F2"/>
    <w:rsid w:val="00587A9C"/>
    <w:rsid w:val="00590014"/>
    <w:rsid w:val="00590CB4"/>
    <w:rsid w:val="00590D40"/>
    <w:rsid w:val="00590F5D"/>
    <w:rsid w:val="0059149B"/>
    <w:rsid w:val="00591AC2"/>
    <w:rsid w:val="005921BF"/>
    <w:rsid w:val="005921C7"/>
    <w:rsid w:val="00592676"/>
    <w:rsid w:val="00592799"/>
    <w:rsid w:val="005928BB"/>
    <w:rsid w:val="00592D97"/>
    <w:rsid w:val="00593082"/>
    <w:rsid w:val="005937D7"/>
    <w:rsid w:val="00593B5D"/>
    <w:rsid w:val="005942F0"/>
    <w:rsid w:val="00594C4E"/>
    <w:rsid w:val="00594F52"/>
    <w:rsid w:val="00595404"/>
    <w:rsid w:val="00595C10"/>
    <w:rsid w:val="00595DF3"/>
    <w:rsid w:val="005974D8"/>
    <w:rsid w:val="00597EF4"/>
    <w:rsid w:val="005A01A7"/>
    <w:rsid w:val="005A0451"/>
    <w:rsid w:val="005A0C66"/>
    <w:rsid w:val="005A109F"/>
    <w:rsid w:val="005A16D1"/>
    <w:rsid w:val="005A18E7"/>
    <w:rsid w:val="005A1E54"/>
    <w:rsid w:val="005A2254"/>
    <w:rsid w:val="005A33FC"/>
    <w:rsid w:val="005A4840"/>
    <w:rsid w:val="005A4F4F"/>
    <w:rsid w:val="005A5022"/>
    <w:rsid w:val="005A5652"/>
    <w:rsid w:val="005A59A0"/>
    <w:rsid w:val="005A6A58"/>
    <w:rsid w:val="005A6CEA"/>
    <w:rsid w:val="005A6EFE"/>
    <w:rsid w:val="005A6F5E"/>
    <w:rsid w:val="005B0215"/>
    <w:rsid w:val="005B0972"/>
    <w:rsid w:val="005B0ED9"/>
    <w:rsid w:val="005B15B9"/>
    <w:rsid w:val="005B18B1"/>
    <w:rsid w:val="005B1DD0"/>
    <w:rsid w:val="005B23A5"/>
    <w:rsid w:val="005B23D5"/>
    <w:rsid w:val="005B2566"/>
    <w:rsid w:val="005B2CC7"/>
    <w:rsid w:val="005B3523"/>
    <w:rsid w:val="005B393C"/>
    <w:rsid w:val="005B4E4C"/>
    <w:rsid w:val="005B5319"/>
    <w:rsid w:val="005B5AA1"/>
    <w:rsid w:val="005B7C98"/>
    <w:rsid w:val="005C02E1"/>
    <w:rsid w:val="005C036A"/>
    <w:rsid w:val="005C080B"/>
    <w:rsid w:val="005C1368"/>
    <w:rsid w:val="005C1399"/>
    <w:rsid w:val="005C1D20"/>
    <w:rsid w:val="005C1D35"/>
    <w:rsid w:val="005C22E9"/>
    <w:rsid w:val="005C27A1"/>
    <w:rsid w:val="005C2903"/>
    <w:rsid w:val="005C29C8"/>
    <w:rsid w:val="005C2F15"/>
    <w:rsid w:val="005C323A"/>
    <w:rsid w:val="005C33FC"/>
    <w:rsid w:val="005C3AEF"/>
    <w:rsid w:val="005C3D51"/>
    <w:rsid w:val="005C447C"/>
    <w:rsid w:val="005C486B"/>
    <w:rsid w:val="005C4875"/>
    <w:rsid w:val="005C48A8"/>
    <w:rsid w:val="005C4C08"/>
    <w:rsid w:val="005C5636"/>
    <w:rsid w:val="005C58F0"/>
    <w:rsid w:val="005C6019"/>
    <w:rsid w:val="005C7D10"/>
    <w:rsid w:val="005C7D37"/>
    <w:rsid w:val="005D002D"/>
    <w:rsid w:val="005D0069"/>
    <w:rsid w:val="005D0FAE"/>
    <w:rsid w:val="005D1548"/>
    <w:rsid w:val="005D2470"/>
    <w:rsid w:val="005D2B3E"/>
    <w:rsid w:val="005D2D6B"/>
    <w:rsid w:val="005D2DB2"/>
    <w:rsid w:val="005D2FEC"/>
    <w:rsid w:val="005D3189"/>
    <w:rsid w:val="005D3335"/>
    <w:rsid w:val="005D3A25"/>
    <w:rsid w:val="005D3B55"/>
    <w:rsid w:val="005D4076"/>
    <w:rsid w:val="005D4430"/>
    <w:rsid w:val="005D453D"/>
    <w:rsid w:val="005D47DE"/>
    <w:rsid w:val="005D4936"/>
    <w:rsid w:val="005D4A6D"/>
    <w:rsid w:val="005D5043"/>
    <w:rsid w:val="005D52B1"/>
    <w:rsid w:val="005D657D"/>
    <w:rsid w:val="005D6602"/>
    <w:rsid w:val="005D66A7"/>
    <w:rsid w:val="005D6CD7"/>
    <w:rsid w:val="005D6EB9"/>
    <w:rsid w:val="005D6FB5"/>
    <w:rsid w:val="005D7162"/>
    <w:rsid w:val="005D77A7"/>
    <w:rsid w:val="005D7F71"/>
    <w:rsid w:val="005D7F9E"/>
    <w:rsid w:val="005E017F"/>
    <w:rsid w:val="005E0B54"/>
    <w:rsid w:val="005E0DC1"/>
    <w:rsid w:val="005E0E00"/>
    <w:rsid w:val="005E1AB2"/>
    <w:rsid w:val="005E1B8F"/>
    <w:rsid w:val="005E318A"/>
    <w:rsid w:val="005E3A90"/>
    <w:rsid w:val="005E3D74"/>
    <w:rsid w:val="005E43DA"/>
    <w:rsid w:val="005E490A"/>
    <w:rsid w:val="005E49C6"/>
    <w:rsid w:val="005E4CDA"/>
    <w:rsid w:val="005E4E7D"/>
    <w:rsid w:val="005E540C"/>
    <w:rsid w:val="005E587D"/>
    <w:rsid w:val="005E5FB8"/>
    <w:rsid w:val="005E621B"/>
    <w:rsid w:val="005E6330"/>
    <w:rsid w:val="005E6645"/>
    <w:rsid w:val="005E698E"/>
    <w:rsid w:val="005E6BE1"/>
    <w:rsid w:val="005E6EE3"/>
    <w:rsid w:val="005F012E"/>
    <w:rsid w:val="005F0A99"/>
    <w:rsid w:val="005F0CD9"/>
    <w:rsid w:val="005F17FA"/>
    <w:rsid w:val="005F1DDB"/>
    <w:rsid w:val="005F21BA"/>
    <w:rsid w:val="005F23AE"/>
    <w:rsid w:val="005F262C"/>
    <w:rsid w:val="005F267A"/>
    <w:rsid w:val="005F28ED"/>
    <w:rsid w:val="005F3810"/>
    <w:rsid w:val="005F4621"/>
    <w:rsid w:val="005F4AAE"/>
    <w:rsid w:val="005F4C6C"/>
    <w:rsid w:val="005F4FE4"/>
    <w:rsid w:val="005F5086"/>
    <w:rsid w:val="005F509E"/>
    <w:rsid w:val="005F51B9"/>
    <w:rsid w:val="005F5369"/>
    <w:rsid w:val="005F5806"/>
    <w:rsid w:val="005F5B37"/>
    <w:rsid w:val="005F5B7A"/>
    <w:rsid w:val="005F5C2A"/>
    <w:rsid w:val="005F5F1B"/>
    <w:rsid w:val="005F6040"/>
    <w:rsid w:val="005F6142"/>
    <w:rsid w:val="005F6185"/>
    <w:rsid w:val="005F6263"/>
    <w:rsid w:val="005F62D0"/>
    <w:rsid w:val="005F6694"/>
    <w:rsid w:val="005F67F9"/>
    <w:rsid w:val="005F72D5"/>
    <w:rsid w:val="006000F4"/>
    <w:rsid w:val="006001CD"/>
    <w:rsid w:val="006001DC"/>
    <w:rsid w:val="0060024D"/>
    <w:rsid w:val="0060027A"/>
    <w:rsid w:val="006010F2"/>
    <w:rsid w:val="00601733"/>
    <w:rsid w:val="00601F5E"/>
    <w:rsid w:val="00602116"/>
    <w:rsid w:val="0060229C"/>
    <w:rsid w:val="0060259C"/>
    <w:rsid w:val="00603142"/>
    <w:rsid w:val="0060339C"/>
    <w:rsid w:val="006034CE"/>
    <w:rsid w:val="00603AF7"/>
    <w:rsid w:val="00603E91"/>
    <w:rsid w:val="00604116"/>
    <w:rsid w:val="006043B7"/>
    <w:rsid w:val="00604B04"/>
    <w:rsid w:val="00604BE7"/>
    <w:rsid w:val="0060518D"/>
    <w:rsid w:val="0060520B"/>
    <w:rsid w:val="0060562B"/>
    <w:rsid w:val="0060563D"/>
    <w:rsid w:val="00605B13"/>
    <w:rsid w:val="00605D82"/>
    <w:rsid w:val="00605EC9"/>
    <w:rsid w:val="00606DBC"/>
    <w:rsid w:val="00606F2E"/>
    <w:rsid w:val="0060722F"/>
    <w:rsid w:val="00607328"/>
    <w:rsid w:val="00607634"/>
    <w:rsid w:val="00607B54"/>
    <w:rsid w:val="00607BE1"/>
    <w:rsid w:val="006108C0"/>
    <w:rsid w:val="006109B7"/>
    <w:rsid w:val="006109F2"/>
    <w:rsid w:val="00610AE3"/>
    <w:rsid w:val="00610BC0"/>
    <w:rsid w:val="0061141D"/>
    <w:rsid w:val="006114B5"/>
    <w:rsid w:val="006115DB"/>
    <w:rsid w:val="00611950"/>
    <w:rsid w:val="00611983"/>
    <w:rsid w:val="00613A0D"/>
    <w:rsid w:val="00613B59"/>
    <w:rsid w:val="00614B05"/>
    <w:rsid w:val="0061527A"/>
    <w:rsid w:val="006156AE"/>
    <w:rsid w:val="00615B77"/>
    <w:rsid w:val="00615CAA"/>
    <w:rsid w:val="00615EC6"/>
    <w:rsid w:val="006165F9"/>
    <w:rsid w:val="006171AE"/>
    <w:rsid w:val="0061771F"/>
    <w:rsid w:val="0061782A"/>
    <w:rsid w:val="00620980"/>
    <w:rsid w:val="00620C09"/>
    <w:rsid w:val="00621117"/>
    <w:rsid w:val="0062155F"/>
    <w:rsid w:val="00621624"/>
    <w:rsid w:val="0062178E"/>
    <w:rsid w:val="00622933"/>
    <w:rsid w:val="0062305D"/>
    <w:rsid w:val="00623727"/>
    <w:rsid w:val="00623A46"/>
    <w:rsid w:val="00623B50"/>
    <w:rsid w:val="00623CD5"/>
    <w:rsid w:val="00623D05"/>
    <w:rsid w:val="00623FC8"/>
    <w:rsid w:val="006243DB"/>
    <w:rsid w:val="00624502"/>
    <w:rsid w:val="00625BDF"/>
    <w:rsid w:val="00627140"/>
    <w:rsid w:val="00630229"/>
    <w:rsid w:val="006308A6"/>
    <w:rsid w:val="0063098A"/>
    <w:rsid w:val="00630FF9"/>
    <w:rsid w:val="0063136D"/>
    <w:rsid w:val="00631DA4"/>
    <w:rsid w:val="00631F50"/>
    <w:rsid w:val="00631F75"/>
    <w:rsid w:val="00632E18"/>
    <w:rsid w:val="00633107"/>
    <w:rsid w:val="006331F8"/>
    <w:rsid w:val="00633515"/>
    <w:rsid w:val="00633A07"/>
    <w:rsid w:val="00633B1C"/>
    <w:rsid w:val="0063422A"/>
    <w:rsid w:val="00634647"/>
    <w:rsid w:val="006349A8"/>
    <w:rsid w:val="00634A0C"/>
    <w:rsid w:val="00634C6E"/>
    <w:rsid w:val="00634D6B"/>
    <w:rsid w:val="00634FD6"/>
    <w:rsid w:val="00635B9F"/>
    <w:rsid w:val="00635CF6"/>
    <w:rsid w:val="006362DB"/>
    <w:rsid w:val="00636598"/>
    <w:rsid w:val="0063691B"/>
    <w:rsid w:val="00636D71"/>
    <w:rsid w:val="006370A5"/>
    <w:rsid w:val="006371B5"/>
    <w:rsid w:val="0063763B"/>
    <w:rsid w:val="00637710"/>
    <w:rsid w:val="00637743"/>
    <w:rsid w:val="00637BED"/>
    <w:rsid w:val="00640049"/>
    <w:rsid w:val="00640176"/>
    <w:rsid w:val="00640313"/>
    <w:rsid w:val="0064069B"/>
    <w:rsid w:val="00640968"/>
    <w:rsid w:val="006412C3"/>
    <w:rsid w:val="0064135F"/>
    <w:rsid w:val="006421A2"/>
    <w:rsid w:val="0064246D"/>
    <w:rsid w:val="006426AA"/>
    <w:rsid w:val="00642A75"/>
    <w:rsid w:val="006435EE"/>
    <w:rsid w:val="006437AA"/>
    <w:rsid w:val="00643E12"/>
    <w:rsid w:val="00643E57"/>
    <w:rsid w:val="00644691"/>
    <w:rsid w:val="006447A4"/>
    <w:rsid w:val="006448BC"/>
    <w:rsid w:val="0064518B"/>
    <w:rsid w:val="006451ED"/>
    <w:rsid w:val="00645342"/>
    <w:rsid w:val="006462FD"/>
    <w:rsid w:val="00646DAC"/>
    <w:rsid w:val="00646E33"/>
    <w:rsid w:val="00646F2B"/>
    <w:rsid w:val="006474CA"/>
    <w:rsid w:val="006478AB"/>
    <w:rsid w:val="00647ED5"/>
    <w:rsid w:val="00650014"/>
    <w:rsid w:val="00650261"/>
    <w:rsid w:val="006503AD"/>
    <w:rsid w:val="00650803"/>
    <w:rsid w:val="00650C98"/>
    <w:rsid w:val="00650D56"/>
    <w:rsid w:val="0065147F"/>
    <w:rsid w:val="00651641"/>
    <w:rsid w:val="006519C6"/>
    <w:rsid w:val="00651FF8"/>
    <w:rsid w:val="006525A2"/>
    <w:rsid w:val="00652F61"/>
    <w:rsid w:val="00653070"/>
    <w:rsid w:val="006531D0"/>
    <w:rsid w:val="006531F6"/>
    <w:rsid w:val="00653375"/>
    <w:rsid w:val="0065370A"/>
    <w:rsid w:val="00653969"/>
    <w:rsid w:val="0065420A"/>
    <w:rsid w:val="0065429A"/>
    <w:rsid w:val="006545A3"/>
    <w:rsid w:val="00654781"/>
    <w:rsid w:val="006549BD"/>
    <w:rsid w:val="00654E9F"/>
    <w:rsid w:val="00655B20"/>
    <w:rsid w:val="00655B27"/>
    <w:rsid w:val="00655DB5"/>
    <w:rsid w:val="00655F15"/>
    <w:rsid w:val="006562D1"/>
    <w:rsid w:val="00656561"/>
    <w:rsid w:val="00656629"/>
    <w:rsid w:val="00656863"/>
    <w:rsid w:val="00656E76"/>
    <w:rsid w:val="00657399"/>
    <w:rsid w:val="00657528"/>
    <w:rsid w:val="0066069A"/>
    <w:rsid w:val="00661728"/>
    <w:rsid w:val="006620C4"/>
    <w:rsid w:val="00662329"/>
    <w:rsid w:val="0066245C"/>
    <w:rsid w:val="0066246D"/>
    <w:rsid w:val="00662A2B"/>
    <w:rsid w:val="00662DD9"/>
    <w:rsid w:val="006634E7"/>
    <w:rsid w:val="0066386C"/>
    <w:rsid w:val="00663D2D"/>
    <w:rsid w:val="006644BC"/>
    <w:rsid w:val="006647AD"/>
    <w:rsid w:val="006649B6"/>
    <w:rsid w:val="00664E61"/>
    <w:rsid w:val="00664EC2"/>
    <w:rsid w:val="006650F4"/>
    <w:rsid w:val="006651F6"/>
    <w:rsid w:val="0066578C"/>
    <w:rsid w:val="00665A48"/>
    <w:rsid w:val="00666222"/>
    <w:rsid w:val="006673C8"/>
    <w:rsid w:val="00667502"/>
    <w:rsid w:val="006676BB"/>
    <w:rsid w:val="006677C0"/>
    <w:rsid w:val="00667C9C"/>
    <w:rsid w:val="00670A98"/>
    <w:rsid w:val="0067102D"/>
    <w:rsid w:val="0067122E"/>
    <w:rsid w:val="0067173C"/>
    <w:rsid w:val="00672452"/>
    <w:rsid w:val="00672AA0"/>
    <w:rsid w:val="00672C9B"/>
    <w:rsid w:val="0067307D"/>
    <w:rsid w:val="0067338C"/>
    <w:rsid w:val="006736A9"/>
    <w:rsid w:val="00673744"/>
    <w:rsid w:val="006737B9"/>
    <w:rsid w:val="00673A0A"/>
    <w:rsid w:val="00673B42"/>
    <w:rsid w:val="00673C1F"/>
    <w:rsid w:val="006744F4"/>
    <w:rsid w:val="006750AF"/>
    <w:rsid w:val="00675433"/>
    <w:rsid w:val="0067570D"/>
    <w:rsid w:val="00675B23"/>
    <w:rsid w:val="00675D31"/>
    <w:rsid w:val="006764E3"/>
    <w:rsid w:val="006765A7"/>
    <w:rsid w:val="00676626"/>
    <w:rsid w:val="0067731F"/>
    <w:rsid w:val="0067763D"/>
    <w:rsid w:val="006777DF"/>
    <w:rsid w:val="006779B9"/>
    <w:rsid w:val="00677BC0"/>
    <w:rsid w:val="00677C19"/>
    <w:rsid w:val="00680433"/>
    <w:rsid w:val="0068045D"/>
    <w:rsid w:val="006805C6"/>
    <w:rsid w:val="0068094B"/>
    <w:rsid w:val="00680968"/>
    <w:rsid w:val="00680B94"/>
    <w:rsid w:val="00681581"/>
    <w:rsid w:val="006816EB"/>
    <w:rsid w:val="00681788"/>
    <w:rsid w:val="00681B63"/>
    <w:rsid w:val="00681CB3"/>
    <w:rsid w:val="00682675"/>
    <w:rsid w:val="00682BBD"/>
    <w:rsid w:val="00682E79"/>
    <w:rsid w:val="006832C2"/>
    <w:rsid w:val="00683F6C"/>
    <w:rsid w:val="0068410B"/>
    <w:rsid w:val="0068490C"/>
    <w:rsid w:val="00685203"/>
    <w:rsid w:val="00685279"/>
    <w:rsid w:val="00685331"/>
    <w:rsid w:val="00685602"/>
    <w:rsid w:val="00685DC0"/>
    <w:rsid w:val="00685F98"/>
    <w:rsid w:val="006862E2"/>
    <w:rsid w:val="00686C29"/>
    <w:rsid w:val="00686DAB"/>
    <w:rsid w:val="00686E1F"/>
    <w:rsid w:val="00686F48"/>
    <w:rsid w:val="0068744A"/>
    <w:rsid w:val="00687613"/>
    <w:rsid w:val="00690215"/>
    <w:rsid w:val="006904D9"/>
    <w:rsid w:val="006906D6"/>
    <w:rsid w:val="006907C9"/>
    <w:rsid w:val="006907E6"/>
    <w:rsid w:val="00691413"/>
    <w:rsid w:val="00691849"/>
    <w:rsid w:val="00691972"/>
    <w:rsid w:val="00691EB2"/>
    <w:rsid w:val="00692518"/>
    <w:rsid w:val="00692963"/>
    <w:rsid w:val="00692A4C"/>
    <w:rsid w:val="00692CA8"/>
    <w:rsid w:val="006932A6"/>
    <w:rsid w:val="006934D9"/>
    <w:rsid w:val="006936A4"/>
    <w:rsid w:val="0069379B"/>
    <w:rsid w:val="00693E61"/>
    <w:rsid w:val="00693F41"/>
    <w:rsid w:val="0069456B"/>
    <w:rsid w:val="006946F4"/>
    <w:rsid w:val="006947D3"/>
    <w:rsid w:val="00694AA9"/>
    <w:rsid w:val="0069569E"/>
    <w:rsid w:val="006956C8"/>
    <w:rsid w:val="0069579F"/>
    <w:rsid w:val="00695A80"/>
    <w:rsid w:val="00695AFC"/>
    <w:rsid w:val="00695E7C"/>
    <w:rsid w:val="00695F4E"/>
    <w:rsid w:val="00695FC2"/>
    <w:rsid w:val="00695FC5"/>
    <w:rsid w:val="00696C01"/>
    <w:rsid w:val="00696E3A"/>
    <w:rsid w:val="00697ACA"/>
    <w:rsid w:val="00697C24"/>
    <w:rsid w:val="00697D15"/>
    <w:rsid w:val="00697D8A"/>
    <w:rsid w:val="006A0461"/>
    <w:rsid w:val="006A0B7B"/>
    <w:rsid w:val="006A112C"/>
    <w:rsid w:val="006A1C53"/>
    <w:rsid w:val="006A1F09"/>
    <w:rsid w:val="006A26DF"/>
    <w:rsid w:val="006A2C94"/>
    <w:rsid w:val="006A2CCD"/>
    <w:rsid w:val="006A2F29"/>
    <w:rsid w:val="006A38BA"/>
    <w:rsid w:val="006A3DBB"/>
    <w:rsid w:val="006A3EF5"/>
    <w:rsid w:val="006A4558"/>
    <w:rsid w:val="006A4735"/>
    <w:rsid w:val="006A5864"/>
    <w:rsid w:val="006A5B17"/>
    <w:rsid w:val="006A5BE6"/>
    <w:rsid w:val="006A5E58"/>
    <w:rsid w:val="006A656B"/>
    <w:rsid w:val="006A6726"/>
    <w:rsid w:val="006A6A9E"/>
    <w:rsid w:val="006A711E"/>
    <w:rsid w:val="006A7349"/>
    <w:rsid w:val="006A7594"/>
    <w:rsid w:val="006A7AA6"/>
    <w:rsid w:val="006A7B07"/>
    <w:rsid w:val="006B03A1"/>
    <w:rsid w:val="006B0509"/>
    <w:rsid w:val="006B064E"/>
    <w:rsid w:val="006B098B"/>
    <w:rsid w:val="006B0CFA"/>
    <w:rsid w:val="006B14FC"/>
    <w:rsid w:val="006B15E8"/>
    <w:rsid w:val="006B1611"/>
    <w:rsid w:val="006B1956"/>
    <w:rsid w:val="006B19F6"/>
    <w:rsid w:val="006B1D31"/>
    <w:rsid w:val="006B1FE7"/>
    <w:rsid w:val="006B2AA2"/>
    <w:rsid w:val="006B2B36"/>
    <w:rsid w:val="006B2F5C"/>
    <w:rsid w:val="006B39D4"/>
    <w:rsid w:val="006B3F81"/>
    <w:rsid w:val="006B42BE"/>
    <w:rsid w:val="006B42C6"/>
    <w:rsid w:val="006B460F"/>
    <w:rsid w:val="006B4AC6"/>
    <w:rsid w:val="006B5318"/>
    <w:rsid w:val="006B53D4"/>
    <w:rsid w:val="006B5A02"/>
    <w:rsid w:val="006B5B28"/>
    <w:rsid w:val="006B5CBD"/>
    <w:rsid w:val="006B63F0"/>
    <w:rsid w:val="006B6E22"/>
    <w:rsid w:val="006B7505"/>
    <w:rsid w:val="006B752A"/>
    <w:rsid w:val="006B7590"/>
    <w:rsid w:val="006B75C0"/>
    <w:rsid w:val="006C0109"/>
    <w:rsid w:val="006C048B"/>
    <w:rsid w:val="006C0857"/>
    <w:rsid w:val="006C0C95"/>
    <w:rsid w:val="006C0E48"/>
    <w:rsid w:val="006C0F76"/>
    <w:rsid w:val="006C19E9"/>
    <w:rsid w:val="006C1DF6"/>
    <w:rsid w:val="006C1E2A"/>
    <w:rsid w:val="006C2455"/>
    <w:rsid w:val="006C370C"/>
    <w:rsid w:val="006C3BD5"/>
    <w:rsid w:val="006C3EB7"/>
    <w:rsid w:val="006C3F50"/>
    <w:rsid w:val="006C41B6"/>
    <w:rsid w:val="006C43E7"/>
    <w:rsid w:val="006C46DD"/>
    <w:rsid w:val="006C4794"/>
    <w:rsid w:val="006C499B"/>
    <w:rsid w:val="006C4BD5"/>
    <w:rsid w:val="006C4E8B"/>
    <w:rsid w:val="006C4ED2"/>
    <w:rsid w:val="006C5102"/>
    <w:rsid w:val="006C620A"/>
    <w:rsid w:val="006C678B"/>
    <w:rsid w:val="006C6A17"/>
    <w:rsid w:val="006C6AF4"/>
    <w:rsid w:val="006C6EF8"/>
    <w:rsid w:val="006C6FBA"/>
    <w:rsid w:val="006C7565"/>
    <w:rsid w:val="006C7C33"/>
    <w:rsid w:val="006C7C78"/>
    <w:rsid w:val="006D058E"/>
    <w:rsid w:val="006D0782"/>
    <w:rsid w:val="006D0BFC"/>
    <w:rsid w:val="006D100B"/>
    <w:rsid w:val="006D14C8"/>
    <w:rsid w:val="006D2BB9"/>
    <w:rsid w:val="006D314F"/>
    <w:rsid w:val="006D3196"/>
    <w:rsid w:val="006D33A2"/>
    <w:rsid w:val="006D35DA"/>
    <w:rsid w:val="006D3EE9"/>
    <w:rsid w:val="006D4040"/>
    <w:rsid w:val="006D4B48"/>
    <w:rsid w:val="006D570E"/>
    <w:rsid w:val="006D5ADB"/>
    <w:rsid w:val="006D6079"/>
    <w:rsid w:val="006D6A83"/>
    <w:rsid w:val="006D7014"/>
    <w:rsid w:val="006D71FC"/>
    <w:rsid w:val="006D72E5"/>
    <w:rsid w:val="006D76CC"/>
    <w:rsid w:val="006D7C2D"/>
    <w:rsid w:val="006D7FCA"/>
    <w:rsid w:val="006E0540"/>
    <w:rsid w:val="006E0824"/>
    <w:rsid w:val="006E0A84"/>
    <w:rsid w:val="006E10B5"/>
    <w:rsid w:val="006E1203"/>
    <w:rsid w:val="006E12F8"/>
    <w:rsid w:val="006E185D"/>
    <w:rsid w:val="006E1AB0"/>
    <w:rsid w:val="006E1C3A"/>
    <w:rsid w:val="006E1E7D"/>
    <w:rsid w:val="006E2475"/>
    <w:rsid w:val="006E265B"/>
    <w:rsid w:val="006E2E6F"/>
    <w:rsid w:val="006E31F1"/>
    <w:rsid w:val="006E3206"/>
    <w:rsid w:val="006E3218"/>
    <w:rsid w:val="006E32ED"/>
    <w:rsid w:val="006E4196"/>
    <w:rsid w:val="006E44A9"/>
    <w:rsid w:val="006E467E"/>
    <w:rsid w:val="006E48AF"/>
    <w:rsid w:val="006E4C2B"/>
    <w:rsid w:val="006E4DE6"/>
    <w:rsid w:val="006E4F1B"/>
    <w:rsid w:val="006E555D"/>
    <w:rsid w:val="006E5B75"/>
    <w:rsid w:val="006E660B"/>
    <w:rsid w:val="006E6653"/>
    <w:rsid w:val="006E69E9"/>
    <w:rsid w:val="006E6EB5"/>
    <w:rsid w:val="006E7264"/>
    <w:rsid w:val="006E72E4"/>
    <w:rsid w:val="006F00C4"/>
    <w:rsid w:val="006F0C10"/>
    <w:rsid w:val="006F17C8"/>
    <w:rsid w:val="006F1909"/>
    <w:rsid w:val="006F2138"/>
    <w:rsid w:val="006F32F4"/>
    <w:rsid w:val="006F35AD"/>
    <w:rsid w:val="006F366A"/>
    <w:rsid w:val="006F3DE6"/>
    <w:rsid w:val="006F426F"/>
    <w:rsid w:val="006F4C53"/>
    <w:rsid w:val="006F5C09"/>
    <w:rsid w:val="006F5C2B"/>
    <w:rsid w:val="006F5EA3"/>
    <w:rsid w:val="006F6428"/>
    <w:rsid w:val="006F690C"/>
    <w:rsid w:val="006F698E"/>
    <w:rsid w:val="006F6B50"/>
    <w:rsid w:val="006F6CE9"/>
    <w:rsid w:val="006F764A"/>
    <w:rsid w:val="006F773C"/>
    <w:rsid w:val="006F785F"/>
    <w:rsid w:val="006F798A"/>
    <w:rsid w:val="007000D8"/>
    <w:rsid w:val="007000F2"/>
    <w:rsid w:val="00700103"/>
    <w:rsid w:val="007008ED"/>
    <w:rsid w:val="00700E89"/>
    <w:rsid w:val="007011AB"/>
    <w:rsid w:val="00701292"/>
    <w:rsid w:val="007012B8"/>
    <w:rsid w:val="00701613"/>
    <w:rsid w:val="0070188F"/>
    <w:rsid w:val="00702618"/>
    <w:rsid w:val="007036B2"/>
    <w:rsid w:val="007036EE"/>
    <w:rsid w:val="00703830"/>
    <w:rsid w:val="00703C91"/>
    <w:rsid w:val="0070417E"/>
    <w:rsid w:val="007046C2"/>
    <w:rsid w:val="00704CD9"/>
    <w:rsid w:val="00704F9E"/>
    <w:rsid w:val="00706C9B"/>
    <w:rsid w:val="00707CD8"/>
    <w:rsid w:val="00707E27"/>
    <w:rsid w:val="007101EC"/>
    <w:rsid w:val="007102B0"/>
    <w:rsid w:val="0071038F"/>
    <w:rsid w:val="00710691"/>
    <w:rsid w:val="00711669"/>
    <w:rsid w:val="00711758"/>
    <w:rsid w:val="0071193D"/>
    <w:rsid w:val="00711AF6"/>
    <w:rsid w:val="007120B6"/>
    <w:rsid w:val="007122EA"/>
    <w:rsid w:val="00712576"/>
    <w:rsid w:val="00712AB3"/>
    <w:rsid w:val="00712E08"/>
    <w:rsid w:val="00713000"/>
    <w:rsid w:val="007133CA"/>
    <w:rsid w:val="00713577"/>
    <w:rsid w:val="007136D3"/>
    <w:rsid w:val="00713C51"/>
    <w:rsid w:val="00713F0C"/>
    <w:rsid w:val="007143AF"/>
    <w:rsid w:val="0071598A"/>
    <w:rsid w:val="00715F38"/>
    <w:rsid w:val="00716280"/>
    <w:rsid w:val="00716955"/>
    <w:rsid w:val="0071702B"/>
    <w:rsid w:val="007178E3"/>
    <w:rsid w:val="00717ABA"/>
    <w:rsid w:val="00717ACA"/>
    <w:rsid w:val="00722204"/>
    <w:rsid w:val="00722566"/>
    <w:rsid w:val="00722643"/>
    <w:rsid w:val="007226CC"/>
    <w:rsid w:val="00722929"/>
    <w:rsid w:val="00722987"/>
    <w:rsid w:val="00723096"/>
    <w:rsid w:val="007235E7"/>
    <w:rsid w:val="007239F4"/>
    <w:rsid w:val="00723E46"/>
    <w:rsid w:val="007245D3"/>
    <w:rsid w:val="00725298"/>
    <w:rsid w:val="0072576E"/>
    <w:rsid w:val="007261F5"/>
    <w:rsid w:val="0072738E"/>
    <w:rsid w:val="00727438"/>
    <w:rsid w:val="0072762A"/>
    <w:rsid w:val="00727754"/>
    <w:rsid w:val="00730077"/>
    <w:rsid w:val="007307E5"/>
    <w:rsid w:val="00730C67"/>
    <w:rsid w:val="00731058"/>
    <w:rsid w:val="00731338"/>
    <w:rsid w:val="00731851"/>
    <w:rsid w:val="007318FA"/>
    <w:rsid w:val="00731F4D"/>
    <w:rsid w:val="0073242E"/>
    <w:rsid w:val="00732BF8"/>
    <w:rsid w:val="00732CF0"/>
    <w:rsid w:val="007331DB"/>
    <w:rsid w:val="007334FF"/>
    <w:rsid w:val="007336EB"/>
    <w:rsid w:val="00733926"/>
    <w:rsid w:val="0073423D"/>
    <w:rsid w:val="007348E6"/>
    <w:rsid w:val="007350C2"/>
    <w:rsid w:val="007350F1"/>
    <w:rsid w:val="00735478"/>
    <w:rsid w:val="007359AF"/>
    <w:rsid w:val="00735D36"/>
    <w:rsid w:val="00736450"/>
    <w:rsid w:val="0073661A"/>
    <w:rsid w:val="00736A0B"/>
    <w:rsid w:val="00736AA4"/>
    <w:rsid w:val="00736E1B"/>
    <w:rsid w:val="00737E6C"/>
    <w:rsid w:val="0074034C"/>
    <w:rsid w:val="0074057D"/>
    <w:rsid w:val="00740837"/>
    <w:rsid w:val="007408DE"/>
    <w:rsid w:val="007408E1"/>
    <w:rsid w:val="00740988"/>
    <w:rsid w:val="00740A35"/>
    <w:rsid w:val="007411B3"/>
    <w:rsid w:val="00741D6C"/>
    <w:rsid w:val="00741FA4"/>
    <w:rsid w:val="00742AA7"/>
    <w:rsid w:val="00742D9E"/>
    <w:rsid w:val="00742F79"/>
    <w:rsid w:val="007432A8"/>
    <w:rsid w:val="0074338A"/>
    <w:rsid w:val="00743745"/>
    <w:rsid w:val="0074377C"/>
    <w:rsid w:val="00743985"/>
    <w:rsid w:val="00743D03"/>
    <w:rsid w:val="007440FF"/>
    <w:rsid w:val="007444CE"/>
    <w:rsid w:val="00744738"/>
    <w:rsid w:val="00744B8B"/>
    <w:rsid w:val="00745F16"/>
    <w:rsid w:val="007462A2"/>
    <w:rsid w:val="00746535"/>
    <w:rsid w:val="00746638"/>
    <w:rsid w:val="0074686B"/>
    <w:rsid w:val="00746DB7"/>
    <w:rsid w:val="0074715B"/>
    <w:rsid w:val="00747182"/>
    <w:rsid w:val="00747637"/>
    <w:rsid w:val="00747A51"/>
    <w:rsid w:val="00747B7B"/>
    <w:rsid w:val="00750A2E"/>
    <w:rsid w:val="00750A51"/>
    <w:rsid w:val="00750AE4"/>
    <w:rsid w:val="00750BD7"/>
    <w:rsid w:val="0075153B"/>
    <w:rsid w:val="007515D5"/>
    <w:rsid w:val="007519C7"/>
    <w:rsid w:val="00751D9D"/>
    <w:rsid w:val="00752413"/>
    <w:rsid w:val="0075247A"/>
    <w:rsid w:val="00752629"/>
    <w:rsid w:val="00752EB9"/>
    <w:rsid w:val="0075327B"/>
    <w:rsid w:val="00754A9D"/>
    <w:rsid w:val="00755D4A"/>
    <w:rsid w:val="007560A6"/>
    <w:rsid w:val="00756595"/>
    <w:rsid w:val="007567CF"/>
    <w:rsid w:val="00756A83"/>
    <w:rsid w:val="00756FE0"/>
    <w:rsid w:val="00757F02"/>
    <w:rsid w:val="00760368"/>
    <w:rsid w:val="007604A9"/>
    <w:rsid w:val="00760506"/>
    <w:rsid w:val="0076085B"/>
    <w:rsid w:val="007609EB"/>
    <w:rsid w:val="0076136F"/>
    <w:rsid w:val="00761EB5"/>
    <w:rsid w:val="00762240"/>
    <w:rsid w:val="007627A2"/>
    <w:rsid w:val="00762C43"/>
    <w:rsid w:val="00762DB7"/>
    <w:rsid w:val="00762F73"/>
    <w:rsid w:val="0076340E"/>
    <w:rsid w:val="007636EE"/>
    <w:rsid w:val="0076399E"/>
    <w:rsid w:val="00763A41"/>
    <w:rsid w:val="00763C2E"/>
    <w:rsid w:val="007640AF"/>
    <w:rsid w:val="00764869"/>
    <w:rsid w:val="00764B10"/>
    <w:rsid w:val="00764B26"/>
    <w:rsid w:val="00764D5D"/>
    <w:rsid w:val="00764FD4"/>
    <w:rsid w:val="0076511E"/>
    <w:rsid w:val="007652A9"/>
    <w:rsid w:val="0076572A"/>
    <w:rsid w:val="0076595D"/>
    <w:rsid w:val="00765BCF"/>
    <w:rsid w:val="0076635D"/>
    <w:rsid w:val="0076646F"/>
    <w:rsid w:val="007664A6"/>
    <w:rsid w:val="00766774"/>
    <w:rsid w:val="00766E0C"/>
    <w:rsid w:val="0076740D"/>
    <w:rsid w:val="0076790C"/>
    <w:rsid w:val="00767A55"/>
    <w:rsid w:val="00767D30"/>
    <w:rsid w:val="007701D5"/>
    <w:rsid w:val="007702EE"/>
    <w:rsid w:val="00770795"/>
    <w:rsid w:val="00770B16"/>
    <w:rsid w:val="00770E5A"/>
    <w:rsid w:val="0077105C"/>
    <w:rsid w:val="007712C2"/>
    <w:rsid w:val="007712C6"/>
    <w:rsid w:val="00771A9D"/>
    <w:rsid w:val="00772468"/>
    <w:rsid w:val="0077308A"/>
    <w:rsid w:val="0077312B"/>
    <w:rsid w:val="00773A0D"/>
    <w:rsid w:val="00774D52"/>
    <w:rsid w:val="007752C7"/>
    <w:rsid w:val="007756BE"/>
    <w:rsid w:val="007756FF"/>
    <w:rsid w:val="0077587B"/>
    <w:rsid w:val="00775991"/>
    <w:rsid w:val="0077624E"/>
    <w:rsid w:val="0077649F"/>
    <w:rsid w:val="00776DCD"/>
    <w:rsid w:val="00777178"/>
    <w:rsid w:val="00777487"/>
    <w:rsid w:val="00777571"/>
    <w:rsid w:val="00777B05"/>
    <w:rsid w:val="00777D67"/>
    <w:rsid w:val="007802A7"/>
    <w:rsid w:val="00780494"/>
    <w:rsid w:val="00780A62"/>
    <w:rsid w:val="00780A7C"/>
    <w:rsid w:val="0078128D"/>
    <w:rsid w:val="0078193E"/>
    <w:rsid w:val="0078361E"/>
    <w:rsid w:val="0078388A"/>
    <w:rsid w:val="00783C18"/>
    <w:rsid w:val="00783D84"/>
    <w:rsid w:val="00784CA1"/>
    <w:rsid w:val="00784FE1"/>
    <w:rsid w:val="007856BD"/>
    <w:rsid w:val="00785E35"/>
    <w:rsid w:val="00785FDB"/>
    <w:rsid w:val="00786D89"/>
    <w:rsid w:val="00787016"/>
    <w:rsid w:val="007871B5"/>
    <w:rsid w:val="0078746E"/>
    <w:rsid w:val="0079022C"/>
    <w:rsid w:val="007909F8"/>
    <w:rsid w:val="00791334"/>
    <w:rsid w:val="00791488"/>
    <w:rsid w:val="00791A4A"/>
    <w:rsid w:val="00791C45"/>
    <w:rsid w:val="0079241A"/>
    <w:rsid w:val="007929B4"/>
    <w:rsid w:val="00792A11"/>
    <w:rsid w:val="00793317"/>
    <w:rsid w:val="007934A7"/>
    <w:rsid w:val="00793EE7"/>
    <w:rsid w:val="007949E4"/>
    <w:rsid w:val="00795415"/>
    <w:rsid w:val="00795556"/>
    <w:rsid w:val="007956FD"/>
    <w:rsid w:val="0079593E"/>
    <w:rsid w:val="00796247"/>
    <w:rsid w:val="00796900"/>
    <w:rsid w:val="007969B1"/>
    <w:rsid w:val="007969D6"/>
    <w:rsid w:val="00796BB3"/>
    <w:rsid w:val="00797030"/>
    <w:rsid w:val="0079722E"/>
    <w:rsid w:val="007A0BDD"/>
    <w:rsid w:val="007A10F7"/>
    <w:rsid w:val="007A1168"/>
    <w:rsid w:val="007A1174"/>
    <w:rsid w:val="007A146E"/>
    <w:rsid w:val="007A1938"/>
    <w:rsid w:val="007A1B6C"/>
    <w:rsid w:val="007A1FD5"/>
    <w:rsid w:val="007A1FDA"/>
    <w:rsid w:val="007A2038"/>
    <w:rsid w:val="007A235D"/>
    <w:rsid w:val="007A2892"/>
    <w:rsid w:val="007A3501"/>
    <w:rsid w:val="007A381A"/>
    <w:rsid w:val="007A3A0D"/>
    <w:rsid w:val="007A3A15"/>
    <w:rsid w:val="007A3E0D"/>
    <w:rsid w:val="007A3E98"/>
    <w:rsid w:val="007A40BF"/>
    <w:rsid w:val="007A4110"/>
    <w:rsid w:val="007A443D"/>
    <w:rsid w:val="007A4862"/>
    <w:rsid w:val="007A5201"/>
    <w:rsid w:val="007A52CE"/>
    <w:rsid w:val="007A5AF9"/>
    <w:rsid w:val="007A5CEF"/>
    <w:rsid w:val="007A5DE7"/>
    <w:rsid w:val="007A5F11"/>
    <w:rsid w:val="007A6579"/>
    <w:rsid w:val="007A699E"/>
    <w:rsid w:val="007A79C2"/>
    <w:rsid w:val="007A7BF7"/>
    <w:rsid w:val="007B0254"/>
    <w:rsid w:val="007B0773"/>
    <w:rsid w:val="007B08E1"/>
    <w:rsid w:val="007B1DD2"/>
    <w:rsid w:val="007B1FB6"/>
    <w:rsid w:val="007B2031"/>
    <w:rsid w:val="007B226B"/>
    <w:rsid w:val="007B2E69"/>
    <w:rsid w:val="007B36C9"/>
    <w:rsid w:val="007B3990"/>
    <w:rsid w:val="007B3D54"/>
    <w:rsid w:val="007B3F0E"/>
    <w:rsid w:val="007B3F36"/>
    <w:rsid w:val="007B463F"/>
    <w:rsid w:val="007B4FF8"/>
    <w:rsid w:val="007B52E8"/>
    <w:rsid w:val="007B533C"/>
    <w:rsid w:val="007B5FE9"/>
    <w:rsid w:val="007B6C20"/>
    <w:rsid w:val="007B7237"/>
    <w:rsid w:val="007B7AD2"/>
    <w:rsid w:val="007C0262"/>
    <w:rsid w:val="007C04B9"/>
    <w:rsid w:val="007C0877"/>
    <w:rsid w:val="007C148E"/>
    <w:rsid w:val="007C26A1"/>
    <w:rsid w:val="007C3041"/>
    <w:rsid w:val="007C3AE3"/>
    <w:rsid w:val="007C446D"/>
    <w:rsid w:val="007C5862"/>
    <w:rsid w:val="007C5B7D"/>
    <w:rsid w:val="007C652F"/>
    <w:rsid w:val="007C67BC"/>
    <w:rsid w:val="007C6A31"/>
    <w:rsid w:val="007C7A81"/>
    <w:rsid w:val="007C7CD9"/>
    <w:rsid w:val="007C7D10"/>
    <w:rsid w:val="007D0B14"/>
    <w:rsid w:val="007D0C7C"/>
    <w:rsid w:val="007D0F69"/>
    <w:rsid w:val="007D1541"/>
    <w:rsid w:val="007D16A7"/>
    <w:rsid w:val="007D1A43"/>
    <w:rsid w:val="007D1CD7"/>
    <w:rsid w:val="007D2304"/>
    <w:rsid w:val="007D2AF3"/>
    <w:rsid w:val="007D2B92"/>
    <w:rsid w:val="007D2EDE"/>
    <w:rsid w:val="007D3336"/>
    <w:rsid w:val="007D351D"/>
    <w:rsid w:val="007D3E85"/>
    <w:rsid w:val="007D4AE1"/>
    <w:rsid w:val="007D4BB5"/>
    <w:rsid w:val="007D4D64"/>
    <w:rsid w:val="007D5513"/>
    <w:rsid w:val="007D579B"/>
    <w:rsid w:val="007D57CD"/>
    <w:rsid w:val="007D58D7"/>
    <w:rsid w:val="007D597D"/>
    <w:rsid w:val="007D5D8C"/>
    <w:rsid w:val="007D5F6D"/>
    <w:rsid w:val="007D61BE"/>
    <w:rsid w:val="007D7028"/>
    <w:rsid w:val="007D72FE"/>
    <w:rsid w:val="007D7B32"/>
    <w:rsid w:val="007E032D"/>
    <w:rsid w:val="007E0906"/>
    <w:rsid w:val="007E132E"/>
    <w:rsid w:val="007E13AE"/>
    <w:rsid w:val="007E14DB"/>
    <w:rsid w:val="007E15A2"/>
    <w:rsid w:val="007E1613"/>
    <w:rsid w:val="007E1A49"/>
    <w:rsid w:val="007E1D42"/>
    <w:rsid w:val="007E2245"/>
    <w:rsid w:val="007E22E0"/>
    <w:rsid w:val="007E247A"/>
    <w:rsid w:val="007E2602"/>
    <w:rsid w:val="007E2C0B"/>
    <w:rsid w:val="007E3352"/>
    <w:rsid w:val="007E34A0"/>
    <w:rsid w:val="007E39E2"/>
    <w:rsid w:val="007E39F0"/>
    <w:rsid w:val="007E3E4A"/>
    <w:rsid w:val="007E45E7"/>
    <w:rsid w:val="007E4B79"/>
    <w:rsid w:val="007E5F16"/>
    <w:rsid w:val="007E5F79"/>
    <w:rsid w:val="007E611D"/>
    <w:rsid w:val="007E6384"/>
    <w:rsid w:val="007E6826"/>
    <w:rsid w:val="007E72A7"/>
    <w:rsid w:val="007E72C2"/>
    <w:rsid w:val="007E7C02"/>
    <w:rsid w:val="007F194D"/>
    <w:rsid w:val="007F1B6F"/>
    <w:rsid w:val="007F1E6B"/>
    <w:rsid w:val="007F278D"/>
    <w:rsid w:val="007F2A14"/>
    <w:rsid w:val="007F3685"/>
    <w:rsid w:val="007F36C5"/>
    <w:rsid w:val="007F39C3"/>
    <w:rsid w:val="007F423B"/>
    <w:rsid w:val="007F4721"/>
    <w:rsid w:val="007F4741"/>
    <w:rsid w:val="007F4E50"/>
    <w:rsid w:val="007F62B8"/>
    <w:rsid w:val="007F6486"/>
    <w:rsid w:val="007F6701"/>
    <w:rsid w:val="007F6A89"/>
    <w:rsid w:val="007F7118"/>
    <w:rsid w:val="007F77BE"/>
    <w:rsid w:val="007F78B0"/>
    <w:rsid w:val="007F7B6D"/>
    <w:rsid w:val="007F7DAF"/>
    <w:rsid w:val="0080018D"/>
    <w:rsid w:val="00800B4E"/>
    <w:rsid w:val="00800F22"/>
    <w:rsid w:val="00801063"/>
    <w:rsid w:val="0080197B"/>
    <w:rsid w:val="00801A3A"/>
    <w:rsid w:val="00801A89"/>
    <w:rsid w:val="00801C08"/>
    <w:rsid w:val="008022DC"/>
    <w:rsid w:val="00802580"/>
    <w:rsid w:val="00802604"/>
    <w:rsid w:val="008027B5"/>
    <w:rsid w:val="00802AD0"/>
    <w:rsid w:val="008031CE"/>
    <w:rsid w:val="008034AC"/>
    <w:rsid w:val="00803558"/>
    <w:rsid w:val="00803756"/>
    <w:rsid w:val="008043AE"/>
    <w:rsid w:val="008046CC"/>
    <w:rsid w:val="00804763"/>
    <w:rsid w:val="00804C2F"/>
    <w:rsid w:val="00804F08"/>
    <w:rsid w:val="008051C2"/>
    <w:rsid w:val="0080562B"/>
    <w:rsid w:val="0080611E"/>
    <w:rsid w:val="0080645A"/>
    <w:rsid w:val="008064FB"/>
    <w:rsid w:val="00806675"/>
    <w:rsid w:val="00806FAA"/>
    <w:rsid w:val="008072D2"/>
    <w:rsid w:val="008073C7"/>
    <w:rsid w:val="00807908"/>
    <w:rsid w:val="00807D38"/>
    <w:rsid w:val="00810B4B"/>
    <w:rsid w:val="00810C55"/>
    <w:rsid w:val="00810EB7"/>
    <w:rsid w:val="0081100B"/>
    <w:rsid w:val="00811271"/>
    <w:rsid w:val="008112B5"/>
    <w:rsid w:val="00811B06"/>
    <w:rsid w:val="00811B2B"/>
    <w:rsid w:val="00811B4E"/>
    <w:rsid w:val="00811D2C"/>
    <w:rsid w:val="008128DA"/>
    <w:rsid w:val="008132B9"/>
    <w:rsid w:val="008133E3"/>
    <w:rsid w:val="00813400"/>
    <w:rsid w:val="008138FC"/>
    <w:rsid w:val="00813AE2"/>
    <w:rsid w:val="00813BDC"/>
    <w:rsid w:val="00813BF3"/>
    <w:rsid w:val="00813FD3"/>
    <w:rsid w:val="00814342"/>
    <w:rsid w:val="00814459"/>
    <w:rsid w:val="00814D6B"/>
    <w:rsid w:val="008151A4"/>
    <w:rsid w:val="00816171"/>
    <w:rsid w:val="008161FB"/>
    <w:rsid w:val="00816794"/>
    <w:rsid w:val="00816A16"/>
    <w:rsid w:val="00816EF8"/>
    <w:rsid w:val="008172F8"/>
    <w:rsid w:val="00817447"/>
    <w:rsid w:val="0081786C"/>
    <w:rsid w:val="00817ED0"/>
    <w:rsid w:val="00817FF6"/>
    <w:rsid w:val="008201A6"/>
    <w:rsid w:val="008201F8"/>
    <w:rsid w:val="00820221"/>
    <w:rsid w:val="008203C8"/>
    <w:rsid w:val="0082055C"/>
    <w:rsid w:val="008206ED"/>
    <w:rsid w:val="00820A71"/>
    <w:rsid w:val="00820EDE"/>
    <w:rsid w:val="00821396"/>
    <w:rsid w:val="0082154F"/>
    <w:rsid w:val="0082164B"/>
    <w:rsid w:val="00821A02"/>
    <w:rsid w:val="00822659"/>
    <w:rsid w:val="00822CFB"/>
    <w:rsid w:val="008233DA"/>
    <w:rsid w:val="008239FE"/>
    <w:rsid w:val="00823EDE"/>
    <w:rsid w:val="00824770"/>
    <w:rsid w:val="008248EB"/>
    <w:rsid w:val="00825123"/>
    <w:rsid w:val="008252DB"/>
    <w:rsid w:val="00825474"/>
    <w:rsid w:val="00825B09"/>
    <w:rsid w:val="00825B16"/>
    <w:rsid w:val="00825FC5"/>
    <w:rsid w:val="0082652F"/>
    <w:rsid w:val="00826758"/>
    <w:rsid w:val="0082677D"/>
    <w:rsid w:val="008267B8"/>
    <w:rsid w:val="00826A96"/>
    <w:rsid w:val="00826FC8"/>
    <w:rsid w:val="008271AB"/>
    <w:rsid w:val="008273EC"/>
    <w:rsid w:val="00827A72"/>
    <w:rsid w:val="00830029"/>
    <w:rsid w:val="00831038"/>
    <w:rsid w:val="00831060"/>
    <w:rsid w:val="008311DB"/>
    <w:rsid w:val="00831423"/>
    <w:rsid w:val="008315A4"/>
    <w:rsid w:val="008319EE"/>
    <w:rsid w:val="00831BF5"/>
    <w:rsid w:val="00831E10"/>
    <w:rsid w:val="00831E24"/>
    <w:rsid w:val="0083229B"/>
    <w:rsid w:val="00832383"/>
    <w:rsid w:val="00832816"/>
    <w:rsid w:val="008328E4"/>
    <w:rsid w:val="00832C1A"/>
    <w:rsid w:val="00833532"/>
    <w:rsid w:val="008338FE"/>
    <w:rsid w:val="00834149"/>
    <w:rsid w:val="00834351"/>
    <w:rsid w:val="008343D3"/>
    <w:rsid w:val="008345C1"/>
    <w:rsid w:val="00834A33"/>
    <w:rsid w:val="00835783"/>
    <w:rsid w:val="00835BF1"/>
    <w:rsid w:val="00835CD5"/>
    <w:rsid w:val="00836549"/>
    <w:rsid w:val="00836621"/>
    <w:rsid w:val="00836C06"/>
    <w:rsid w:val="00836F46"/>
    <w:rsid w:val="00836F62"/>
    <w:rsid w:val="00837796"/>
    <w:rsid w:val="008377BB"/>
    <w:rsid w:val="0083799A"/>
    <w:rsid w:val="00837BB3"/>
    <w:rsid w:val="00837D6B"/>
    <w:rsid w:val="00840898"/>
    <w:rsid w:val="00840928"/>
    <w:rsid w:val="00841234"/>
    <w:rsid w:val="008419DA"/>
    <w:rsid w:val="00841D3A"/>
    <w:rsid w:val="008425AC"/>
    <w:rsid w:val="0084392E"/>
    <w:rsid w:val="00843AE2"/>
    <w:rsid w:val="00843AFF"/>
    <w:rsid w:val="00843B7E"/>
    <w:rsid w:val="00843D7C"/>
    <w:rsid w:val="00844684"/>
    <w:rsid w:val="008446C2"/>
    <w:rsid w:val="00844F77"/>
    <w:rsid w:val="00844FE3"/>
    <w:rsid w:val="008451B9"/>
    <w:rsid w:val="00845309"/>
    <w:rsid w:val="0084542C"/>
    <w:rsid w:val="00845437"/>
    <w:rsid w:val="00845441"/>
    <w:rsid w:val="00846255"/>
    <w:rsid w:val="00846439"/>
    <w:rsid w:val="008464DE"/>
    <w:rsid w:val="00846A6B"/>
    <w:rsid w:val="00846D4F"/>
    <w:rsid w:val="00847D15"/>
    <w:rsid w:val="008503F7"/>
    <w:rsid w:val="0085073E"/>
    <w:rsid w:val="00851207"/>
    <w:rsid w:val="008512BA"/>
    <w:rsid w:val="00851765"/>
    <w:rsid w:val="0085215B"/>
    <w:rsid w:val="0085215D"/>
    <w:rsid w:val="008530F6"/>
    <w:rsid w:val="00853532"/>
    <w:rsid w:val="00853590"/>
    <w:rsid w:val="008537BA"/>
    <w:rsid w:val="00853A8C"/>
    <w:rsid w:val="00853C25"/>
    <w:rsid w:val="00853C5A"/>
    <w:rsid w:val="008542ED"/>
    <w:rsid w:val="008550A5"/>
    <w:rsid w:val="00855318"/>
    <w:rsid w:val="00855DD2"/>
    <w:rsid w:val="00855F71"/>
    <w:rsid w:val="008561F2"/>
    <w:rsid w:val="00856321"/>
    <w:rsid w:val="00856750"/>
    <w:rsid w:val="008570FD"/>
    <w:rsid w:val="008575FF"/>
    <w:rsid w:val="00857EAF"/>
    <w:rsid w:val="00860966"/>
    <w:rsid w:val="00861090"/>
    <w:rsid w:val="0086148A"/>
    <w:rsid w:val="008616FC"/>
    <w:rsid w:val="008624E8"/>
    <w:rsid w:val="0086269C"/>
    <w:rsid w:val="00862902"/>
    <w:rsid w:val="0086321A"/>
    <w:rsid w:val="00864B7C"/>
    <w:rsid w:val="00865286"/>
    <w:rsid w:val="00865A1F"/>
    <w:rsid w:val="00865AE2"/>
    <w:rsid w:val="00865AE3"/>
    <w:rsid w:val="00866057"/>
    <w:rsid w:val="00866514"/>
    <w:rsid w:val="00866564"/>
    <w:rsid w:val="00866EA8"/>
    <w:rsid w:val="00867731"/>
    <w:rsid w:val="0086781C"/>
    <w:rsid w:val="0086796D"/>
    <w:rsid w:val="00867B36"/>
    <w:rsid w:val="0087033D"/>
    <w:rsid w:val="00870D0D"/>
    <w:rsid w:val="00870ED5"/>
    <w:rsid w:val="00871025"/>
    <w:rsid w:val="008715FF"/>
    <w:rsid w:val="008716A5"/>
    <w:rsid w:val="00871A21"/>
    <w:rsid w:val="00871B81"/>
    <w:rsid w:val="00871EB3"/>
    <w:rsid w:val="008724AD"/>
    <w:rsid w:val="00872C5A"/>
    <w:rsid w:val="00872C78"/>
    <w:rsid w:val="00872E63"/>
    <w:rsid w:val="00872F33"/>
    <w:rsid w:val="008733D7"/>
    <w:rsid w:val="00873635"/>
    <w:rsid w:val="00873CB0"/>
    <w:rsid w:val="00874512"/>
    <w:rsid w:val="008747C3"/>
    <w:rsid w:val="00874A31"/>
    <w:rsid w:val="00874BF0"/>
    <w:rsid w:val="00874CBC"/>
    <w:rsid w:val="00874F26"/>
    <w:rsid w:val="00875A94"/>
    <w:rsid w:val="00875BB7"/>
    <w:rsid w:val="00875CCA"/>
    <w:rsid w:val="00875DD6"/>
    <w:rsid w:val="00876264"/>
    <w:rsid w:val="00876277"/>
    <w:rsid w:val="00876810"/>
    <w:rsid w:val="008768BF"/>
    <w:rsid w:val="008769CA"/>
    <w:rsid w:val="00876D75"/>
    <w:rsid w:val="00876E9F"/>
    <w:rsid w:val="00876F6B"/>
    <w:rsid w:val="008802DE"/>
    <w:rsid w:val="0088031C"/>
    <w:rsid w:val="00880DDC"/>
    <w:rsid w:val="00881330"/>
    <w:rsid w:val="00881378"/>
    <w:rsid w:val="00882029"/>
    <w:rsid w:val="00882070"/>
    <w:rsid w:val="00883864"/>
    <w:rsid w:val="00883984"/>
    <w:rsid w:val="00883CA4"/>
    <w:rsid w:val="00883D47"/>
    <w:rsid w:val="008848B1"/>
    <w:rsid w:val="0088513E"/>
    <w:rsid w:val="008854B3"/>
    <w:rsid w:val="00885B18"/>
    <w:rsid w:val="00885D18"/>
    <w:rsid w:val="00885D36"/>
    <w:rsid w:val="008860C8"/>
    <w:rsid w:val="008862EC"/>
    <w:rsid w:val="00886548"/>
    <w:rsid w:val="008866D8"/>
    <w:rsid w:val="00886C63"/>
    <w:rsid w:val="00886D22"/>
    <w:rsid w:val="00886EE1"/>
    <w:rsid w:val="0088736B"/>
    <w:rsid w:val="0088737F"/>
    <w:rsid w:val="008878B4"/>
    <w:rsid w:val="00887C5D"/>
    <w:rsid w:val="00890032"/>
    <w:rsid w:val="00890B2F"/>
    <w:rsid w:val="00890B86"/>
    <w:rsid w:val="00891512"/>
    <w:rsid w:val="008919DC"/>
    <w:rsid w:val="00892260"/>
    <w:rsid w:val="008922A9"/>
    <w:rsid w:val="008923A4"/>
    <w:rsid w:val="00892864"/>
    <w:rsid w:val="00892A9E"/>
    <w:rsid w:val="008933B5"/>
    <w:rsid w:val="00893930"/>
    <w:rsid w:val="00893EA6"/>
    <w:rsid w:val="00894C60"/>
    <w:rsid w:val="00894D46"/>
    <w:rsid w:val="00894E5E"/>
    <w:rsid w:val="00895242"/>
    <w:rsid w:val="00896729"/>
    <w:rsid w:val="00896FF3"/>
    <w:rsid w:val="00897056"/>
    <w:rsid w:val="0089710C"/>
    <w:rsid w:val="00897520"/>
    <w:rsid w:val="008978D2"/>
    <w:rsid w:val="00897B6A"/>
    <w:rsid w:val="00897D9E"/>
    <w:rsid w:val="008A062A"/>
    <w:rsid w:val="008A0B41"/>
    <w:rsid w:val="008A0D64"/>
    <w:rsid w:val="008A0F00"/>
    <w:rsid w:val="008A137D"/>
    <w:rsid w:val="008A13FB"/>
    <w:rsid w:val="008A1C5D"/>
    <w:rsid w:val="008A1F50"/>
    <w:rsid w:val="008A1F7F"/>
    <w:rsid w:val="008A280C"/>
    <w:rsid w:val="008A2D29"/>
    <w:rsid w:val="008A30CE"/>
    <w:rsid w:val="008A33A3"/>
    <w:rsid w:val="008A46C2"/>
    <w:rsid w:val="008A4C09"/>
    <w:rsid w:val="008A538A"/>
    <w:rsid w:val="008A561B"/>
    <w:rsid w:val="008A6B11"/>
    <w:rsid w:val="008A6D19"/>
    <w:rsid w:val="008A749E"/>
    <w:rsid w:val="008A7BE4"/>
    <w:rsid w:val="008A7D89"/>
    <w:rsid w:val="008A7F80"/>
    <w:rsid w:val="008B0544"/>
    <w:rsid w:val="008B099D"/>
    <w:rsid w:val="008B0A89"/>
    <w:rsid w:val="008B0DDB"/>
    <w:rsid w:val="008B0DFC"/>
    <w:rsid w:val="008B1146"/>
    <w:rsid w:val="008B1A8E"/>
    <w:rsid w:val="008B1C48"/>
    <w:rsid w:val="008B1FB6"/>
    <w:rsid w:val="008B28B0"/>
    <w:rsid w:val="008B2FC9"/>
    <w:rsid w:val="008B35D3"/>
    <w:rsid w:val="008B3758"/>
    <w:rsid w:val="008B4C76"/>
    <w:rsid w:val="008B4C81"/>
    <w:rsid w:val="008B4CE0"/>
    <w:rsid w:val="008B5654"/>
    <w:rsid w:val="008B5A34"/>
    <w:rsid w:val="008B5CA4"/>
    <w:rsid w:val="008B6113"/>
    <w:rsid w:val="008B6295"/>
    <w:rsid w:val="008B6465"/>
    <w:rsid w:val="008B668B"/>
    <w:rsid w:val="008B68F6"/>
    <w:rsid w:val="008B6CFC"/>
    <w:rsid w:val="008B7739"/>
    <w:rsid w:val="008B7790"/>
    <w:rsid w:val="008B7B50"/>
    <w:rsid w:val="008C053A"/>
    <w:rsid w:val="008C059B"/>
    <w:rsid w:val="008C07F0"/>
    <w:rsid w:val="008C0A07"/>
    <w:rsid w:val="008C0A50"/>
    <w:rsid w:val="008C0AB0"/>
    <w:rsid w:val="008C0DA4"/>
    <w:rsid w:val="008C1FC7"/>
    <w:rsid w:val="008C224E"/>
    <w:rsid w:val="008C2848"/>
    <w:rsid w:val="008C2AAA"/>
    <w:rsid w:val="008C34B6"/>
    <w:rsid w:val="008C3647"/>
    <w:rsid w:val="008C3974"/>
    <w:rsid w:val="008C3A49"/>
    <w:rsid w:val="008C3E1F"/>
    <w:rsid w:val="008C3E78"/>
    <w:rsid w:val="008C3EA1"/>
    <w:rsid w:val="008C45AD"/>
    <w:rsid w:val="008C462D"/>
    <w:rsid w:val="008C4672"/>
    <w:rsid w:val="008C56A7"/>
    <w:rsid w:val="008C57A2"/>
    <w:rsid w:val="008C5ADC"/>
    <w:rsid w:val="008C61DF"/>
    <w:rsid w:val="008C6430"/>
    <w:rsid w:val="008C7186"/>
    <w:rsid w:val="008C7341"/>
    <w:rsid w:val="008C78DF"/>
    <w:rsid w:val="008C7A7B"/>
    <w:rsid w:val="008D00C7"/>
    <w:rsid w:val="008D108E"/>
    <w:rsid w:val="008D16D7"/>
    <w:rsid w:val="008D175B"/>
    <w:rsid w:val="008D2C14"/>
    <w:rsid w:val="008D2D7A"/>
    <w:rsid w:val="008D3BE5"/>
    <w:rsid w:val="008D4250"/>
    <w:rsid w:val="008D468B"/>
    <w:rsid w:val="008D4DC3"/>
    <w:rsid w:val="008D505E"/>
    <w:rsid w:val="008D5809"/>
    <w:rsid w:val="008D5AF9"/>
    <w:rsid w:val="008D6243"/>
    <w:rsid w:val="008D63E8"/>
    <w:rsid w:val="008D65AC"/>
    <w:rsid w:val="008D6B56"/>
    <w:rsid w:val="008D6E36"/>
    <w:rsid w:val="008D788D"/>
    <w:rsid w:val="008E0007"/>
    <w:rsid w:val="008E001C"/>
    <w:rsid w:val="008E01C6"/>
    <w:rsid w:val="008E0CEA"/>
    <w:rsid w:val="008E144E"/>
    <w:rsid w:val="008E157E"/>
    <w:rsid w:val="008E1BC3"/>
    <w:rsid w:val="008E1E8D"/>
    <w:rsid w:val="008E1E8E"/>
    <w:rsid w:val="008E1EC5"/>
    <w:rsid w:val="008E2030"/>
    <w:rsid w:val="008E28C1"/>
    <w:rsid w:val="008E2DB3"/>
    <w:rsid w:val="008E2EDF"/>
    <w:rsid w:val="008E3C8F"/>
    <w:rsid w:val="008E4A96"/>
    <w:rsid w:val="008E4D76"/>
    <w:rsid w:val="008E4F2A"/>
    <w:rsid w:val="008E58B5"/>
    <w:rsid w:val="008E5ED9"/>
    <w:rsid w:val="008E601A"/>
    <w:rsid w:val="008E619B"/>
    <w:rsid w:val="008E62FF"/>
    <w:rsid w:val="008E714F"/>
    <w:rsid w:val="008E7345"/>
    <w:rsid w:val="008E7454"/>
    <w:rsid w:val="008E7A5E"/>
    <w:rsid w:val="008E7CCC"/>
    <w:rsid w:val="008F01AE"/>
    <w:rsid w:val="008F02D7"/>
    <w:rsid w:val="008F0F0D"/>
    <w:rsid w:val="008F1B4E"/>
    <w:rsid w:val="008F1B4F"/>
    <w:rsid w:val="008F1DCF"/>
    <w:rsid w:val="008F221D"/>
    <w:rsid w:val="008F285C"/>
    <w:rsid w:val="008F2DA1"/>
    <w:rsid w:val="008F2DC1"/>
    <w:rsid w:val="008F2EE3"/>
    <w:rsid w:val="008F3499"/>
    <w:rsid w:val="008F3519"/>
    <w:rsid w:val="008F36B5"/>
    <w:rsid w:val="008F4297"/>
    <w:rsid w:val="008F489E"/>
    <w:rsid w:val="008F48FE"/>
    <w:rsid w:val="008F496F"/>
    <w:rsid w:val="008F497E"/>
    <w:rsid w:val="008F4FB7"/>
    <w:rsid w:val="008F5041"/>
    <w:rsid w:val="008F528A"/>
    <w:rsid w:val="008F5E22"/>
    <w:rsid w:val="008F604F"/>
    <w:rsid w:val="008F7123"/>
    <w:rsid w:val="008F7F74"/>
    <w:rsid w:val="009003A5"/>
    <w:rsid w:val="009003AB"/>
    <w:rsid w:val="00900457"/>
    <w:rsid w:val="00900903"/>
    <w:rsid w:val="00901194"/>
    <w:rsid w:val="00901F88"/>
    <w:rsid w:val="009020EA"/>
    <w:rsid w:val="00902B5F"/>
    <w:rsid w:val="00902FBD"/>
    <w:rsid w:val="009032F7"/>
    <w:rsid w:val="00903369"/>
    <w:rsid w:val="0090376D"/>
    <w:rsid w:val="00903B2B"/>
    <w:rsid w:val="00903CDD"/>
    <w:rsid w:val="00903F72"/>
    <w:rsid w:val="009040E3"/>
    <w:rsid w:val="00904389"/>
    <w:rsid w:val="00904B8E"/>
    <w:rsid w:val="00904DDB"/>
    <w:rsid w:val="00905BFA"/>
    <w:rsid w:val="009067DE"/>
    <w:rsid w:val="009067FB"/>
    <w:rsid w:val="00906F8D"/>
    <w:rsid w:val="00906F9F"/>
    <w:rsid w:val="0090754A"/>
    <w:rsid w:val="00907800"/>
    <w:rsid w:val="00907B50"/>
    <w:rsid w:val="00907CE9"/>
    <w:rsid w:val="0091010F"/>
    <w:rsid w:val="0091039F"/>
    <w:rsid w:val="009103C4"/>
    <w:rsid w:val="00910BB8"/>
    <w:rsid w:val="00910D69"/>
    <w:rsid w:val="00911001"/>
    <w:rsid w:val="0091169D"/>
    <w:rsid w:val="00911E6C"/>
    <w:rsid w:val="00912AC3"/>
    <w:rsid w:val="00912B09"/>
    <w:rsid w:val="00912D6E"/>
    <w:rsid w:val="00912E72"/>
    <w:rsid w:val="009130AB"/>
    <w:rsid w:val="009136A4"/>
    <w:rsid w:val="00913A1E"/>
    <w:rsid w:val="00914057"/>
    <w:rsid w:val="00914984"/>
    <w:rsid w:val="00914DD4"/>
    <w:rsid w:val="00914FF4"/>
    <w:rsid w:val="009151FC"/>
    <w:rsid w:val="009152A0"/>
    <w:rsid w:val="009154ED"/>
    <w:rsid w:val="0091550F"/>
    <w:rsid w:val="0091573B"/>
    <w:rsid w:val="009163B2"/>
    <w:rsid w:val="009165F1"/>
    <w:rsid w:val="00916830"/>
    <w:rsid w:val="009170F1"/>
    <w:rsid w:val="00917564"/>
    <w:rsid w:val="009178C0"/>
    <w:rsid w:val="009178DB"/>
    <w:rsid w:val="009200DE"/>
    <w:rsid w:val="009202F8"/>
    <w:rsid w:val="009210A8"/>
    <w:rsid w:val="00921A85"/>
    <w:rsid w:val="00921DB4"/>
    <w:rsid w:val="00921F51"/>
    <w:rsid w:val="00921F65"/>
    <w:rsid w:val="00922378"/>
    <w:rsid w:val="0092239D"/>
    <w:rsid w:val="009229CA"/>
    <w:rsid w:val="00922AA1"/>
    <w:rsid w:val="00922ABA"/>
    <w:rsid w:val="00922C89"/>
    <w:rsid w:val="00922E27"/>
    <w:rsid w:val="00922F36"/>
    <w:rsid w:val="00923479"/>
    <w:rsid w:val="0092351C"/>
    <w:rsid w:val="009237E1"/>
    <w:rsid w:val="00923B75"/>
    <w:rsid w:val="00924324"/>
    <w:rsid w:val="00924AC2"/>
    <w:rsid w:val="00924E4F"/>
    <w:rsid w:val="00924F5A"/>
    <w:rsid w:val="0092541A"/>
    <w:rsid w:val="0092549C"/>
    <w:rsid w:val="00926267"/>
    <w:rsid w:val="00926F87"/>
    <w:rsid w:val="00927381"/>
    <w:rsid w:val="009275B7"/>
    <w:rsid w:val="00927847"/>
    <w:rsid w:val="00927FBB"/>
    <w:rsid w:val="009304B7"/>
    <w:rsid w:val="009304BA"/>
    <w:rsid w:val="009305D1"/>
    <w:rsid w:val="00931FF4"/>
    <w:rsid w:val="0093228F"/>
    <w:rsid w:val="00932495"/>
    <w:rsid w:val="0093272A"/>
    <w:rsid w:val="00932D6B"/>
    <w:rsid w:val="0093387E"/>
    <w:rsid w:val="009339EE"/>
    <w:rsid w:val="0093418A"/>
    <w:rsid w:val="00934D22"/>
    <w:rsid w:val="00936345"/>
    <w:rsid w:val="00936AF1"/>
    <w:rsid w:val="00937A60"/>
    <w:rsid w:val="00937A66"/>
    <w:rsid w:val="00937BD6"/>
    <w:rsid w:val="00937BF7"/>
    <w:rsid w:val="00937FA4"/>
    <w:rsid w:val="00940348"/>
    <w:rsid w:val="00940A39"/>
    <w:rsid w:val="00940A3E"/>
    <w:rsid w:val="00940D83"/>
    <w:rsid w:val="00940E9C"/>
    <w:rsid w:val="00940FA8"/>
    <w:rsid w:val="0094132B"/>
    <w:rsid w:val="00942CBA"/>
    <w:rsid w:val="009436E5"/>
    <w:rsid w:val="00943C86"/>
    <w:rsid w:val="009441DE"/>
    <w:rsid w:val="0094493C"/>
    <w:rsid w:val="0094519A"/>
    <w:rsid w:val="0094567C"/>
    <w:rsid w:val="00945A99"/>
    <w:rsid w:val="00945D46"/>
    <w:rsid w:val="00946145"/>
    <w:rsid w:val="0094687C"/>
    <w:rsid w:val="0094694A"/>
    <w:rsid w:val="00946BFE"/>
    <w:rsid w:val="00946DF0"/>
    <w:rsid w:val="0094702F"/>
    <w:rsid w:val="009478B2"/>
    <w:rsid w:val="009479EE"/>
    <w:rsid w:val="00950074"/>
    <w:rsid w:val="00950333"/>
    <w:rsid w:val="0095054C"/>
    <w:rsid w:val="00950742"/>
    <w:rsid w:val="0095095E"/>
    <w:rsid w:val="00950FB7"/>
    <w:rsid w:val="00951427"/>
    <w:rsid w:val="009517D4"/>
    <w:rsid w:val="00951C09"/>
    <w:rsid w:val="00953AA8"/>
    <w:rsid w:val="00953DEB"/>
    <w:rsid w:val="00954273"/>
    <w:rsid w:val="00954879"/>
    <w:rsid w:val="009548B7"/>
    <w:rsid w:val="00954996"/>
    <w:rsid w:val="009556BF"/>
    <w:rsid w:val="00955A5D"/>
    <w:rsid w:val="00955F78"/>
    <w:rsid w:val="009562B2"/>
    <w:rsid w:val="00956405"/>
    <w:rsid w:val="00956A98"/>
    <w:rsid w:val="00957448"/>
    <w:rsid w:val="00960059"/>
    <w:rsid w:val="00960300"/>
    <w:rsid w:val="00960425"/>
    <w:rsid w:val="00960444"/>
    <w:rsid w:val="00960485"/>
    <w:rsid w:val="00961467"/>
    <w:rsid w:val="009614DE"/>
    <w:rsid w:val="009617E5"/>
    <w:rsid w:val="009619CB"/>
    <w:rsid w:val="00961FA2"/>
    <w:rsid w:val="009637C8"/>
    <w:rsid w:val="00963CC5"/>
    <w:rsid w:val="00963DDF"/>
    <w:rsid w:val="00963EA2"/>
    <w:rsid w:val="009643B5"/>
    <w:rsid w:val="009647CF"/>
    <w:rsid w:val="00964B49"/>
    <w:rsid w:val="00964E90"/>
    <w:rsid w:val="00964F7D"/>
    <w:rsid w:val="009654A2"/>
    <w:rsid w:val="00965B9D"/>
    <w:rsid w:val="00965C9A"/>
    <w:rsid w:val="0096678C"/>
    <w:rsid w:val="00966FF6"/>
    <w:rsid w:val="00967879"/>
    <w:rsid w:val="00967A2A"/>
    <w:rsid w:val="00970272"/>
    <w:rsid w:val="00970554"/>
    <w:rsid w:val="00970B60"/>
    <w:rsid w:val="009711CC"/>
    <w:rsid w:val="00971358"/>
    <w:rsid w:val="00971730"/>
    <w:rsid w:val="00971B99"/>
    <w:rsid w:val="0097216A"/>
    <w:rsid w:val="009723CE"/>
    <w:rsid w:val="00972F66"/>
    <w:rsid w:val="00972FC4"/>
    <w:rsid w:val="00973188"/>
    <w:rsid w:val="009736A4"/>
    <w:rsid w:val="0097381F"/>
    <w:rsid w:val="00973D20"/>
    <w:rsid w:val="00973F39"/>
    <w:rsid w:val="00974793"/>
    <w:rsid w:val="00975F06"/>
    <w:rsid w:val="00975F24"/>
    <w:rsid w:val="00975F41"/>
    <w:rsid w:val="009764A2"/>
    <w:rsid w:val="00976D80"/>
    <w:rsid w:val="00976DE2"/>
    <w:rsid w:val="00976F65"/>
    <w:rsid w:val="00977010"/>
    <w:rsid w:val="00977012"/>
    <w:rsid w:val="00977387"/>
    <w:rsid w:val="00977A8E"/>
    <w:rsid w:val="00977F4A"/>
    <w:rsid w:val="009805C8"/>
    <w:rsid w:val="009805E0"/>
    <w:rsid w:val="0098080A"/>
    <w:rsid w:val="0098094C"/>
    <w:rsid w:val="00980BEF"/>
    <w:rsid w:val="00981485"/>
    <w:rsid w:val="009815DA"/>
    <w:rsid w:val="00981C4C"/>
    <w:rsid w:val="009820A4"/>
    <w:rsid w:val="009823E9"/>
    <w:rsid w:val="00982604"/>
    <w:rsid w:val="0098321D"/>
    <w:rsid w:val="0098334C"/>
    <w:rsid w:val="00983D2A"/>
    <w:rsid w:val="009842E6"/>
    <w:rsid w:val="009845FB"/>
    <w:rsid w:val="009846BA"/>
    <w:rsid w:val="0098492D"/>
    <w:rsid w:val="00984988"/>
    <w:rsid w:val="00984A16"/>
    <w:rsid w:val="00984BAC"/>
    <w:rsid w:val="00984F82"/>
    <w:rsid w:val="009858EE"/>
    <w:rsid w:val="00985F4F"/>
    <w:rsid w:val="0098601F"/>
    <w:rsid w:val="00986F01"/>
    <w:rsid w:val="00987190"/>
    <w:rsid w:val="00987294"/>
    <w:rsid w:val="00987526"/>
    <w:rsid w:val="00987688"/>
    <w:rsid w:val="009878B9"/>
    <w:rsid w:val="00990424"/>
    <w:rsid w:val="00991320"/>
    <w:rsid w:val="009913C0"/>
    <w:rsid w:val="0099199D"/>
    <w:rsid w:val="00991D58"/>
    <w:rsid w:val="00991E1E"/>
    <w:rsid w:val="00992B46"/>
    <w:rsid w:val="00992B92"/>
    <w:rsid w:val="00992E53"/>
    <w:rsid w:val="009931B5"/>
    <w:rsid w:val="00993369"/>
    <w:rsid w:val="009935AD"/>
    <w:rsid w:val="0099373A"/>
    <w:rsid w:val="00993B0B"/>
    <w:rsid w:val="009943D3"/>
    <w:rsid w:val="0099453A"/>
    <w:rsid w:val="00994627"/>
    <w:rsid w:val="00994F1E"/>
    <w:rsid w:val="0099551E"/>
    <w:rsid w:val="00995918"/>
    <w:rsid w:val="00995AD3"/>
    <w:rsid w:val="00995DDB"/>
    <w:rsid w:val="00996102"/>
    <w:rsid w:val="00996F72"/>
    <w:rsid w:val="00996F9F"/>
    <w:rsid w:val="00997CBF"/>
    <w:rsid w:val="009A08A8"/>
    <w:rsid w:val="009A1324"/>
    <w:rsid w:val="009A13FE"/>
    <w:rsid w:val="009A16DD"/>
    <w:rsid w:val="009A198D"/>
    <w:rsid w:val="009A1AF5"/>
    <w:rsid w:val="009A1BC9"/>
    <w:rsid w:val="009A2941"/>
    <w:rsid w:val="009A301F"/>
    <w:rsid w:val="009A359B"/>
    <w:rsid w:val="009A4983"/>
    <w:rsid w:val="009A4AD3"/>
    <w:rsid w:val="009A4E67"/>
    <w:rsid w:val="009A4EBA"/>
    <w:rsid w:val="009A50F9"/>
    <w:rsid w:val="009A569A"/>
    <w:rsid w:val="009A56BD"/>
    <w:rsid w:val="009A5D2A"/>
    <w:rsid w:val="009A5EA4"/>
    <w:rsid w:val="009A5FF7"/>
    <w:rsid w:val="009A6D4C"/>
    <w:rsid w:val="009A7105"/>
    <w:rsid w:val="009A710F"/>
    <w:rsid w:val="009A7211"/>
    <w:rsid w:val="009A72C5"/>
    <w:rsid w:val="009A72D8"/>
    <w:rsid w:val="009A770C"/>
    <w:rsid w:val="009A7FB2"/>
    <w:rsid w:val="009B0AE3"/>
    <w:rsid w:val="009B0E96"/>
    <w:rsid w:val="009B1227"/>
    <w:rsid w:val="009B12D1"/>
    <w:rsid w:val="009B22B8"/>
    <w:rsid w:val="009B2808"/>
    <w:rsid w:val="009B3832"/>
    <w:rsid w:val="009B4266"/>
    <w:rsid w:val="009B4521"/>
    <w:rsid w:val="009B4F68"/>
    <w:rsid w:val="009B5243"/>
    <w:rsid w:val="009B5460"/>
    <w:rsid w:val="009B5D97"/>
    <w:rsid w:val="009B5EA2"/>
    <w:rsid w:val="009B68DF"/>
    <w:rsid w:val="009B6980"/>
    <w:rsid w:val="009B6D89"/>
    <w:rsid w:val="009B6FDA"/>
    <w:rsid w:val="009B7139"/>
    <w:rsid w:val="009B7A0B"/>
    <w:rsid w:val="009B7A11"/>
    <w:rsid w:val="009C06C5"/>
    <w:rsid w:val="009C0A07"/>
    <w:rsid w:val="009C10BD"/>
    <w:rsid w:val="009C1235"/>
    <w:rsid w:val="009C1321"/>
    <w:rsid w:val="009C1803"/>
    <w:rsid w:val="009C1E77"/>
    <w:rsid w:val="009C217F"/>
    <w:rsid w:val="009C2233"/>
    <w:rsid w:val="009C24DB"/>
    <w:rsid w:val="009C2914"/>
    <w:rsid w:val="009C33FC"/>
    <w:rsid w:val="009C346C"/>
    <w:rsid w:val="009C3BC5"/>
    <w:rsid w:val="009C3F5A"/>
    <w:rsid w:val="009C4511"/>
    <w:rsid w:val="009C4BFD"/>
    <w:rsid w:val="009C4C21"/>
    <w:rsid w:val="009C4D38"/>
    <w:rsid w:val="009C4E4A"/>
    <w:rsid w:val="009C55A3"/>
    <w:rsid w:val="009C5D2D"/>
    <w:rsid w:val="009C5FE5"/>
    <w:rsid w:val="009C66AF"/>
    <w:rsid w:val="009C699A"/>
    <w:rsid w:val="009C69A9"/>
    <w:rsid w:val="009C6FCB"/>
    <w:rsid w:val="009C740D"/>
    <w:rsid w:val="009C7592"/>
    <w:rsid w:val="009C77C3"/>
    <w:rsid w:val="009C7AEC"/>
    <w:rsid w:val="009D0327"/>
    <w:rsid w:val="009D08F6"/>
    <w:rsid w:val="009D0F4F"/>
    <w:rsid w:val="009D1579"/>
    <w:rsid w:val="009D1606"/>
    <w:rsid w:val="009D18E6"/>
    <w:rsid w:val="009D1942"/>
    <w:rsid w:val="009D1B66"/>
    <w:rsid w:val="009D1B79"/>
    <w:rsid w:val="009D1FB3"/>
    <w:rsid w:val="009D24EB"/>
    <w:rsid w:val="009D25E8"/>
    <w:rsid w:val="009D264B"/>
    <w:rsid w:val="009D2E2C"/>
    <w:rsid w:val="009D2E87"/>
    <w:rsid w:val="009D3033"/>
    <w:rsid w:val="009D3057"/>
    <w:rsid w:val="009D34A4"/>
    <w:rsid w:val="009D3C22"/>
    <w:rsid w:val="009D4494"/>
    <w:rsid w:val="009D4E09"/>
    <w:rsid w:val="009D4F83"/>
    <w:rsid w:val="009D5425"/>
    <w:rsid w:val="009D570C"/>
    <w:rsid w:val="009D5974"/>
    <w:rsid w:val="009D6460"/>
    <w:rsid w:val="009D6593"/>
    <w:rsid w:val="009D66B5"/>
    <w:rsid w:val="009D6986"/>
    <w:rsid w:val="009D6BBB"/>
    <w:rsid w:val="009D747A"/>
    <w:rsid w:val="009E0542"/>
    <w:rsid w:val="009E06CD"/>
    <w:rsid w:val="009E0D17"/>
    <w:rsid w:val="009E14DE"/>
    <w:rsid w:val="009E16F4"/>
    <w:rsid w:val="009E17FA"/>
    <w:rsid w:val="009E1D42"/>
    <w:rsid w:val="009E1E67"/>
    <w:rsid w:val="009E2C5C"/>
    <w:rsid w:val="009E2E88"/>
    <w:rsid w:val="009E3500"/>
    <w:rsid w:val="009E3871"/>
    <w:rsid w:val="009E3A00"/>
    <w:rsid w:val="009E3E01"/>
    <w:rsid w:val="009E445C"/>
    <w:rsid w:val="009E456D"/>
    <w:rsid w:val="009E4B5B"/>
    <w:rsid w:val="009E4D20"/>
    <w:rsid w:val="009E4E4A"/>
    <w:rsid w:val="009E4F88"/>
    <w:rsid w:val="009E58AE"/>
    <w:rsid w:val="009E5EC1"/>
    <w:rsid w:val="009E5F27"/>
    <w:rsid w:val="009E673F"/>
    <w:rsid w:val="009E67F8"/>
    <w:rsid w:val="009E702D"/>
    <w:rsid w:val="009E72B7"/>
    <w:rsid w:val="009E73A8"/>
    <w:rsid w:val="009E7980"/>
    <w:rsid w:val="009E7AB6"/>
    <w:rsid w:val="009F0314"/>
    <w:rsid w:val="009F032E"/>
    <w:rsid w:val="009F03C2"/>
    <w:rsid w:val="009F05AA"/>
    <w:rsid w:val="009F05CC"/>
    <w:rsid w:val="009F08E4"/>
    <w:rsid w:val="009F0A4E"/>
    <w:rsid w:val="009F1848"/>
    <w:rsid w:val="009F1B24"/>
    <w:rsid w:val="009F2055"/>
    <w:rsid w:val="009F2360"/>
    <w:rsid w:val="009F23E8"/>
    <w:rsid w:val="009F2E98"/>
    <w:rsid w:val="009F3B70"/>
    <w:rsid w:val="009F3D4A"/>
    <w:rsid w:val="009F4279"/>
    <w:rsid w:val="009F42B6"/>
    <w:rsid w:val="009F4435"/>
    <w:rsid w:val="009F4657"/>
    <w:rsid w:val="009F4BCB"/>
    <w:rsid w:val="009F5739"/>
    <w:rsid w:val="009F622D"/>
    <w:rsid w:val="009F62A3"/>
    <w:rsid w:val="009F6B52"/>
    <w:rsid w:val="009F6EF2"/>
    <w:rsid w:val="009F70A3"/>
    <w:rsid w:val="009F71E2"/>
    <w:rsid w:val="009F74E4"/>
    <w:rsid w:val="009F77E0"/>
    <w:rsid w:val="009F7BFC"/>
    <w:rsid w:val="00A0030E"/>
    <w:rsid w:val="00A009F7"/>
    <w:rsid w:val="00A00ADE"/>
    <w:rsid w:val="00A00F6B"/>
    <w:rsid w:val="00A011E3"/>
    <w:rsid w:val="00A01308"/>
    <w:rsid w:val="00A0276D"/>
    <w:rsid w:val="00A029C8"/>
    <w:rsid w:val="00A02B32"/>
    <w:rsid w:val="00A02BCC"/>
    <w:rsid w:val="00A02CC0"/>
    <w:rsid w:val="00A02CF7"/>
    <w:rsid w:val="00A03BB7"/>
    <w:rsid w:val="00A04359"/>
    <w:rsid w:val="00A043DD"/>
    <w:rsid w:val="00A0477B"/>
    <w:rsid w:val="00A05054"/>
    <w:rsid w:val="00A05253"/>
    <w:rsid w:val="00A052EE"/>
    <w:rsid w:val="00A057A7"/>
    <w:rsid w:val="00A05C20"/>
    <w:rsid w:val="00A05CCF"/>
    <w:rsid w:val="00A05F73"/>
    <w:rsid w:val="00A0601F"/>
    <w:rsid w:val="00A06046"/>
    <w:rsid w:val="00A061DF"/>
    <w:rsid w:val="00A06C5E"/>
    <w:rsid w:val="00A074F4"/>
    <w:rsid w:val="00A076F0"/>
    <w:rsid w:val="00A1085B"/>
    <w:rsid w:val="00A10EBB"/>
    <w:rsid w:val="00A10FE3"/>
    <w:rsid w:val="00A11323"/>
    <w:rsid w:val="00A113F4"/>
    <w:rsid w:val="00A117AF"/>
    <w:rsid w:val="00A11C50"/>
    <w:rsid w:val="00A120D8"/>
    <w:rsid w:val="00A1259B"/>
    <w:rsid w:val="00A12622"/>
    <w:rsid w:val="00A1297D"/>
    <w:rsid w:val="00A131E6"/>
    <w:rsid w:val="00A13885"/>
    <w:rsid w:val="00A13B65"/>
    <w:rsid w:val="00A13F84"/>
    <w:rsid w:val="00A1438F"/>
    <w:rsid w:val="00A1470E"/>
    <w:rsid w:val="00A14A81"/>
    <w:rsid w:val="00A14B0C"/>
    <w:rsid w:val="00A15125"/>
    <w:rsid w:val="00A1515D"/>
    <w:rsid w:val="00A15A9D"/>
    <w:rsid w:val="00A15DB5"/>
    <w:rsid w:val="00A1661F"/>
    <w:rsid w:val="00A1681F"/>
    <w:rsid w:val="00A16973"/>
    <w:rsid w:val="00A16C91"/>
    <w:rsid w:val="00A16D2B"/>
    <w:rsid w:val="00A17939"/>
    <w:rsid w:val="00A17940"/>
    <w:rsid w:val="00A17A43"/>
    <w:rsid w:val="00A17F58"/>
    <w:rsid w:val="00A20489"/>
    <w:rsid w:val="00A209B8"/>
    <w:rsid w:val="00A20C85"/>
    <w:rsid w:val="00A212B5"/>
    <w:rsid w:val="00A21783"/>
    <w:rsid w:val="00A21864"/>
    <w:rsid w:val="00A2187A"/>
    <w:rsid w:val="00A21B82"/>
    <w:rsid w:val="00A22491"/>
    <w:rsid w:val="00A22567"/>
    <w:rsid w:val="00A23794"/>
    <w:rsid w:val="00A23EA7"/>
    <w:rsid w:val="00A23F3C"/>
    <w:rsid w:val="00A23F83"/>
    <w:rsid w:val="00A242A3"/>
    <w:rsid w:val="00A2432A"/>
    <w:rsid w:val="00A2434E"/>
    <w:rsid w:val="00A2435D"/>
    <w:rsid w:val="00A246B0"/>
    <w:rsid w:val="00A24A4F"/>
    <w:rsid w:val="00A24BB4"/>
    <w:rsid w:val="00A253DF"/>
    <w:rsid w:val="00A2580B"/>
    <w:rsid w:val="00A2581F"/>
    <w:rsid w:val="00A25D72"/>
    <w:rsid w:val="00A2702C"/>
    <w:rsid w:val="00A276BA"/>
    <w:rsid w:val="00A27E23"/>
    <w:rsid w:val="00A27F5D"/>
    <w:rsid w:val="00A302AB"/>
    <w:rsid w:val="00A30A5C"/>
    <w:rsid w:val="00A31479"/>
    <w:rsid w:val="00A317C3"/>
    <w:rsid w:val="00A31BCE"/>
    <w:rsid w:val="00A31FAC"/>
    <w:rsid w:val="00A323E6"/>
    <w:rsid w:val="00A32584"/>
    <w:rsid w:val="00A32A61"/>
    <w:rsid w:val="00A330CB"/>
    <w:rsid w:val="00A33182"/>
    <w:rsid w:val="00A33313"/>
    <w:rsid w:val="00A35733"/>
    <w:rsid w:val="00A359F1"/>
    <w:rsid w:val="00A36586"/>
    <w:rsid w:val="00A36679"/>
    <w:rsid w:val="00A37DE7"/>
    <w:rsid w:val="00A37F11"/>
    <w:rsid w:val="00A40025"/>
    <w:rsid w:val="00A40405"/>
    <w:rsid w:val="00A408B2"/>
    <w:rsid w:val="00A4214B"/>
    <w:rsid w:val="00A4276C"/>
    <w:rsid w:val="00A4277A"/>
    <w:rsid w:val="00A43997"/>
    <w:rsid w:val="00A43BB5"/>
    <w:rsid w:val="00A43D74"/>
    <w:rsid w:val="00A44212"/>
    <w:rsid w:val="00A443DA"/>
    <w:rsid w:val="00A44606"/>
    <w:rsid w:val="00A44B5E"/>
    <w:rsid w:val="00A452D5"/>
    <w:rsid w:val="00A45934"/>
    <w:rsid w:val="00A459EC"/>
    <w:rsid w:val="00A45BF4"/>
    <w:rsid w:val="00A45DD0"/>
    <w:rsid w:val="00A4687D"/>
    <w:rsid w:val="00A47601"/>
    <w:rsid w:val="00A47707"/>
    <w:rsid w:val="00A477F0"/>
    <w:rsid w:val="00A47B0A"/>
    <w:rsid w:val="00A503D5"/>
    <w:rsid w:val="00A508A3"/>
    <w:rsid w:val="00A510FC"/>
    <w:rsid w:val="00A5115F"/>
    <w:rsid w:val="00A5144C"/>
    <w:rsid w:val="00A51971"/>
    <w:rsid w:val="00A52063"/>
    <w:rsid w:val="00A52582"/>
    <w:rsid w:val="00A52614"/>
    <w:rsid w:val="00A527F8"/>
    <w:rsid w:val="00A52C1F"/>
    <w:rsid w:val="00A52D31"/>
    <w:rsid w:val="00A52ED4"/>
    <w:rsid w:val="00A531D1"/>
    <w:rsid w:val="00A54F1F"/>
    <w:rsid w:val="00A54F47"/>
    <w:rsid w:val="00A553F9"/>
    <w:rsid w:val="00A55DA2"/>
    <w:rsid w:val="00A55F12"/>
    <w:rsid w:val="00A564DD"/>
    <w:rsid w:val="00A56AD3"/>
    <w:rsid w:val="00A56D5E"/>
    <w:rsid w:val="00A5714A"/>
    <w:rsid w:val="00A571E6"/>
    <w:rsid w:val="00A57296"/>
    <w:rsid w:val="00A574D8"/>
    <w:rsid w:val="00A57821"/>
    <w:rsid w:val="00A57DB0"/>
    <w:rsid w:val="00A57DCD"/>
    <w:rsid w:val="00A57E58"/>
    <w:rsid w:val="00A60206"/>
    <w:rsid w:val="00A6055D"/>
    <w:rsid w:val="00A6089B"/>
    <w:rsid w:val="00A60B46"/>
    <w:rsid w:val="00A6131D"/>
    <w:rsid w:val="00A61A39"/>
    <w:rsid w:val="00A61D16"/>
    <w:rsid w:val="00A63046"/>
    <w:rsid w:val="00A6389B"/>
    <w:rsid w:val="00A63C98"/>
    <w:rsid w:val="00A63F60"/>
    <w:rsid w:val="00A63FA1"/>
    <w:rsid w:val="00A63FF8"/>
    <w:rsid w:val="00A642A7"/>
    <w:rsid w:val="00A642C7"/>
    <w:rsid w:val="00A649E4"/>
    <w:rsid w:val="00A65226"/>
    <w:rsid w:val="00A654E4"/>
    <w:rsid w:val="00A664FF"/>
    <w:rsid w:val="00A66EF4"/>
    <w:rsid w:val="00A67BBE"/>
    <w:rsid w:val="00A67E70"/>
    <w:rsid w:val="00A67FF9"/>
    <w:rsid w:val="00A70078"/>
    <w:rsid w:val="00A70C09"/>
    <w:rsid w:val="00A70DBA"/>
    <w:rsid w:val="00A70E4F"/>
    <w:rsid w:val="00A71216"/>
    <w:rsid w:val="00A714A2"/>
    <w:rsid w:val="00A714E2"/>
    <w:rsid w:val="00A71855"/>
    <w:rsid w:val="00A71B66"/>
    <w:rsid w:val="00A72C6D"/>
    <w:rsid w:val="00A73B25"/>
    <w:rsid w:val="00A73B95"/>
    <w:rsid w:val="00A73E67"/>
    <w:rsid w:val="00A74B8F"/>
    <w:rsid w:val="00A74C44"/>
    <w:rsid w:val="00A754D6"/>
    <w:rsid w:val="00A758B9"/>
    <w:rsid w:val="00A75A43"/>
    <w:rsid w:val="00A76535"/>
    <w:rsid w:val="00A76BE7"/>
    <w:rsid w:val="00A76DDF"/>
    <w:rsid w:val="00A770E4"/>
    <w:rsid w:val="00A7798B"/>
    <w:rsid w:val="00A77B75"/>
    <w:rsid w:val="00A77E45"/>
    <w:rsid w:val="00A80226"/>
    <w:rsid w:val="00A809CB"/>
    <w:rsid w:val="00A80DD8"/>
    <w:rsid w:val="00A80F05"/>
    <w:rsid w:val="00A810EE"/>
    <w:rsid w:val="00A81147"/>
    <w:rsid w:val="00A81B99"/>
    <w:rsid w:val="00A823C1"/>
    <w:rsid w:val="00A82902"/>
    <w:rsid w:val="00A82B16"/>
    <w:rsid w:val="00A83B3D"/>
    <w:rsid w:val="00A83CE5"/>
    <w:rsid w:val="00A83DEC"/>
    <w:rsid w:val="00A84763"/>
    <w:rsid w:val="00A8520E"/>
    <w:rsid w:val="00A85682"/>
    <w:rsid w:val="00A86BB4"/>
    <w:rsid w:val="00A86D86"/>
    <w:rsid w:val="00A86E39"/>
    <w:rsid w:val="00A86F90"/>
    <w:rsid w:val="00A87555"/>
    <w:rsid w:val="00A87582"/>
    <w:rsid w:val="00A900B6"/>
    <w:rsid w:val="00A90467"/>
    <w:rsid w:val="00A90626"/>
    <w:rsid w:val="00A9090A"/>
    <w:rsid w:val="00A90E34"/>
    <w:rsid w:val="00A90FDD"/>
    <w:rsid w:val="00A910AE"/>
    <w:rsid w:val="00A91A07"/>
    <w:rsid w:val="00A91CE9"/>
    <w:rsid w:val="00A92905"/>
    <w:rsid w:val="00A92AD0"/>
    <w:rsid w:val="00A92BC8"/>
    <w:rsid w:val="00A93115"/>
    <w:rsid w:val="00A93389"/>
    <w:rsid w:val="00A9341C"/>
    <w:rsid w:val="00A93BA5"/>
    <w:rsid w:val="00A9435E"/>
    <w:rsid w:val="00A94408"/>
    <w:rsid w:val="00A94463"/>
    <w:rsid w:val="00A9480C"/>
    <w:rsid w:val="00A94D99"/>
    <w:rsid w:val="00A94DCB"/>
    <w:rsid w:val="00A94DD6"/>
    <w:rsid w:val="00A953A4"/>
    <w:rsid w:val="00A95A2F"/>
    <w:rsid w:val="00A95AA8"/>
    <w:rsid w:val="00A95D41"/>
    <w:rsid w:val="00A9611A"/>
    <w:rsid w:val="00A96B29"/>
    <w:rsid w:val="00A96BC1"/>
    <w:rsid w:val="00A96CE4"/>
    <w:rsid w:val="00A96FCE"/>
    <w:rsid w:val="00A97300"/>
    <w:rsid w:val="00A9748A"/>
    <w:rsid w:val="00A97A3E"/>
    <w:rsid w:val="00A97CE1"/>
    <w:rsid w:val="00AA01CD"/>
    <w:rsid w:val="00AA0593"/>
    <w:rsid w:val="00AA0651"/>
    <w:rsid w:val="00AA0750"/>
    <w:rsid w:val="00AA0A50"/>
    <w:rsid w:val="00AA0B95"/>
    <w:rsid w:val="00AA1C31"/>
    <w:rsid w:val="00AA1F42"/>
    <w:rsid w:val="00AA2027"/>
    <w:rsid w:val="00AA20C1"/>
    <w:rsid w:val="00AA210D"/>
    <w:rsid w:val="00AA223E"/>
    <w:rsid w:val="00AA28D9"/>
    <w:rsid w:val="00AA292B"/>
    <w:rsid w:val="00AA2D4B"/>
    <w:rsid w:val="00AA2FCC"/>
    <w:rsid w:val="00AA301B"/>
    <w:rsid w:val="00AA3053"/>
    <w:rsid w:val="00AA305A"/>
    <w:rsid w:val="00AA34BC"/>
    <w:rsid w:val="00AA34CC"/>
    <w:rsid w:val="00AA3543"/>
    <w:rsid w:val="00AA3A4F"/>
    <w:rsid w:val="00AA3B2D"/>
    <w:rsid w:val="00AA3BB5"/>
    <w:rsid w:val="00AA3DD0"/>
    <w:rsid w:val="00AA409B"/>
    <w:rsid w:val="00AA4DED"/>
    <w:rsid w:val="00AA4E97"/>
    <w:rsid w:val="00AA4F72"/>
    <w:rsid w:val="00AA571E"/>
    <w:rsid w:val="00AA576A"/>
    <w:rsid w:val="00AA597E"/>
    <w:rsid w:val="00AA5B86"/>
    <w:rsid w:val="00AA6056"/>
    <w:rsid w:val="00AA6175"/>
    <w:rsid w:val="00AA6446"/>
    <w:rsid w:val="00AA711F"/>
    <w:rsid w:val="00AA7488"/>
    <w:rsid w:val="00AA76CA"/>
    <w:rsid w:val="00AA784E"/>
    <w:rsid w:val="00AB022B"/>
    <w:rsid w:val="00AB0A72"/>
    <w:rsid w:val="00AB0B60"/>
    <w:rsid w:val="00AB0CD6"/>
    <w:rsid w:val="00AB0CEF"/>
    <w:rsid w:val="00AB0EFC"/>
    <w:rsid w:val="00AB178A"/>
    <w:rsid w:val="00AB2171"/>
    <w:rsid w:val="00AB263C"/>
    <w:rsid w:val="00AB2829"/>
    <w:rsid w:val="00AB2ACC"/>
    <w:rsid w:val="00AB2D09"/>
    <w:rsid w:val="00AB2E50"/>
    <w:rsid w:val="00AB3165"/>
    <w:rsid w:val="00AB367D"/>
    <w:rsid w:val="00AB36E5"/>
    <w:rsid w:val="00AB39D0"/>
    <w:rsid w:val="00AB4C74"/>
    <w:rsid w:val="00AB6268"/>
    <w:rsid w:val="00AB66CB"/>
    <w:rsid w:val="00AB7457"/>
    <w:rsid w:val="00AB76FD"/>
    <w:rsid w:val="00AB78FE"/>
    <w:rsid w:val="00AB7BAC"/>
    <w:rsid w:val="00AB7C22"/>
    <w:rsid w:val="00AC00EC"/>
    <w:rsid w:val="00AC012A"/>
    <w:rsid w:val="00AC0E71"/>
    <w:rsid w:val="00AC104F"/>
    <w:rsid w:val="00AC1214"/>
    <w:rsid w:val="00AC1371"/>
    <w:rsid w:val="00AC17CE"/>
    <w:rsid w:val="00AC1A31"/>
    <w:rsid w:val="00AC1BD4"/>
    <w:rsid w:val="00AC1C25"/>
    <w:rsid w:val="00AC2A97"/>
    <w:rsid w:val="00AC4524"/>
    <w:rsid w:val="00AC4F78"/>
    <w:rsid w:val="00AC527C"/>
    <w:rsid w:val="00AC5BB0"/>
    <w:rsid w:val="00AC6028"/>
    <w:rsid w:val="00AC61B3"/>
    <w:rsid w:val="00AC6973"/>
    <w:rsid w:val="00AC6A6F"/>
    <w:rsid w:val="00AC72DE"/>
    <w:rsid w:val="00AC7331"/>
    <w:rsid w:val="00AC7428"/>
    <w:rsid w:val="00AC7481"/>
    <w:rsid w:val="00AC7853"/>
    <w:rsid w:val="00AC7E89"/>
    <w:rsid w:val="00AC7ECE"/>
    <w:rsid w:val="00AD00AB"/>
    <w:rsid w:val="00AD0A39"/>
    <w:rsid w:val="00AD1A93"/>
    <w:rsid w:val="00AD1B60"/>
    <w:rsid w:val="00AD1D7A"/>
    <w:rsid w:val="00AD2273"/>
    <w:rsid w:val="00AD3178"/>
    <w:rsid w:val="00AD31B1"/>
    <w:rsid w:val="00AD3DFC"/>
    <w:rsid w:val="00AD4034"/>
    <w:rsid w:val="00AD42BD"/>
    <w:rsid w:val="00AD472B"/>
    <w:rsid w:val="00AD4990"/>
    <w:rsid w:val="00AD4CD3"/>
    <w:rsid w:val="00AD4E4E"/>
    <w:rsid w:val="00AD5B30"/>
    <w:rsid w:val="00AD6294"/>
    <w:rsid w:val="00AD672D"/>
    <w:rsid w:val="00AD69A2"/>
    <w:rsid w:val="00AD6ADC"/>
    <w:rsid w:val="00AD6BD1"/>
    <w:rsid w:val="00AD6F26"/>
    <w:rsid w:val="00AD71B7"/>
    <w:rsid w:val="00AD7CDD"/>
    <w:rsid w:val="00AD7EAA"/>
    <w:rsid w:val="00AD7FD9"/>
    <w:rsid w:val="00AE0251"/>
    <w:rsid w:val="00AE172F"/>
    <w:rsid w:val="00AE2B3C"/>
    <w:rsid w:val="00AE2D75"/>
    <w:rsid w:val="00AE33E5"/>
    <w:rsid w:val="00AE4DBB"/>
    <w:rsid w:val="00AE4F79"/>
    <w:rsid w:val="00AE5FE1"/>
    <w:rsid w:val="00AE6061"/>
    <w:rsid w:val="00AE6102"/>
    <w:rsid w:val="00AE6676"/>
    <w:rsid w:val="00AE7ABC"/>
    <w:rsid w:val="00AE7C74"/>
    <w:rsid w:val="00AF02E0"/>
    <w:rsid w:val="00AF04D7"/>
    <w:rsid w:val="00AF06A1"/>
    <w:rsid w:val="00AF0EDC"/>
    <w:rsid w:val="00AF10CB"/>
    <w:rsid w:val="00AF1208"/>
    <w:rsid w:val="00AF175A"/>
    <w:rsid w:val="00AF2628"/>
    <w:rsid w:val="00AF2B35"/>
    <w:rsid w:val="00AF332B"/>
    <w:rsid w:val="00AF3EDE"/>
    <w:rsid w:val="00AF3F31"/>
    <w:rsid w:val="00AF47D2"/>
    <w:rsid w:val="00AF4D32"/>
    <w:rsid w:val="00AF5438"/>
    <w:rsid w:val="00AF5E15"/>
    <w:rsid w:val="00AF61E0"/>
    <w:rsid w:val="00AF6741"/>
    <w:rsid w:val="00AF6D21"/>
    <w:rsid w:val="00AF6D27"/>
    <w:rsid w:val="00AF70DB"/>
    <w:rsid w:val="00AF739C"/>
    <w:rsid w:val="00AF7441"/>
    <w:rsid w:val="00AF769F"/>
    <w:rsid w:val="00AF76FC"/>
    <w:rsid w:val="00AF7AEF"/>
    <w:rsid w:val="00B0015D"/>
    <w:rsid w:val="00B0054E"/>
    <w:rsid w:val="00B009DB"/>
    <w:rsid w:val="00B00D44"/>
    <w:rsid w:val="00B00EF0"/>
    <w:rsid w:val="00B01137"/>
    <w:rsid w:val="00B01170"/>
    <w:rsid w:val="00B01541"/>
    <w:rsid w:val="00B017B3"/>
    <w:rsid w:val="00B01804"/>
    <w:rsid w:val="00B01908"/>
    <w:rsid w:val="00B0193F"/>
    <w:rsid w:val="00B01B03"/>
    <w:rsid w:val="00B02938"/>
    <w:rsid w:val="00B02B69"/>
    <w:rsid w:val="00B02C18"/>
    <w:rsid w:val="00B02CF4"/>
    <w:rsid w:val="00B039CE"/>
    <w:rsid w:val="00B03CE8"/>
    <w:rsid w:val="00B03D1F"/>
    <w:rsid w:val="00B04521"/>
    <w:rsid w:val="00B04923"/>
    <w:rsid w:val="00B05B05"/>
    <w:rsid w:val="00B05B6C"/>
    <w:rsid w:val="00B05BCB"/>
    <w:rsid w:val="00B06535"/>
    <w:rsid w:val="00B0671C"/>
    <w:rsid w:val="00B06B78"/>
    <w:rsid w:val="00B06C42"/>
    <w:rsid w:val="00B070D5"/>
    <w:rsid w:val="00B108CF"/>
    <w:rsid w:val="00B10F2B"/>
    <w:rsid w:val="00B115AE"/>
    <w:rsid w:val="00B12365"/>
    <w:rsid w:val="00B12386"/>
    <w:rsid w:val="00B123BD"/>
    <w:rsid w:val="00B1289E"/>
    <w:rsid w:val="00B12C18"/>
    <w:rsid w:val="00B12E9F"/>
    <w:rsid w:val="00B12F9E"/>
    <w:rsid w:val="00B13015"/>
    <w:rsid w:val="00B13462"/>
    <w:rsid w:val="00B134BA"/>
    <w:rsid w:val="00B14671"/>
    <w:rsid w:val="00B149BA"/>
    <w:rsid w:val="00B14E66"/>
    <w:rsid w:val="00B14EE0"/>
    <w:rsid w:val="00B14FDB"/>
    <w:rsid w:val="00B15143"/>
    <w:rsid w:val="00B15604"/>
    <w:rsid w:val="00B15E9B"/>
    <w:rsid w:val="00B15F66"/>
    <w:rsid w:val="00B15FDD"/>
    <w:rsid w:val="00B16A4E"/>
    <w:rsid w:val="00B16D3D"/>
    <w:rsid w:val="00B16EC0"/>
    <w:rsid w:val="00B17148"/>
    <w:rsid w:val="00B1718B"/>
    <w:rsid w:val="00B173E2"/>
    <w:rsid w:val="00B178FC"/>
    <w:rsid w:val="00B17AFB"/>
    <w:rsid w:val="00B207DF"/>
    <w:rsid w:val="00B20A6F"/>
    <w:rsid w:val="00B20AB9"/>
    <w:rsid w:val="00B20BB1"/>
    <w:rsid w:val="00B20E41"/>
    <w:rsid w:val="00B21337"/>
    <w:rsid w:val="00B22435"/>
    <w:rsid w:val="00B22440"/>
    <w:rsid w:val="00B228ED"/>
    <w:rsid w:val="00B22BCE"/>
    <w:rsid w:val="00B22DD3"/>
    <w:rsid w:val="00B22DF9"/>
    <w:rsid w:val="00B23453"/>
    <w:rsid w:val="00B23BAB"/>
    <w:rsid w:val="00B23E4C"/>
    <w:rsid w:val="00B26667"/>
    <w:rsid w:val="00B26E32"/>
    <w:rsid w:val="00B26F5C"/>
    <w:rsid w:val="00B274BC"/>
    <w:rsid w:val="00B276E9"/>
    <w:rsid w:val="00B27C9D"/>
    <w:rsid w:val="00B27DA2"/>
    <w:rsid w:val="00B27F9E"/>
    <w:rsid w:val="00B300B6"/>
    <w:rsid w:val="00B307BD"/>
    <w:rsid w:val="00B30DE8"/>
    <w:rsid w:val="00B31D0B"/>
    <w:rsid w:val="00B325E5"/>
    <w:rsid w:val="00B337AC"/>
    <w:rsid w:val="00B337E0"/>
    <w:rsid w:val="00B33BE0"/>
    <w:rsid w:val="00B33FD6"/>
    <w:rsid w:val="00B34944"/>
    <w:rsid w:val="00B34B85"/>
    <w:rsid w:val="00B34C52"/>
    <w:rsid w:val="00B34CAB"/>
    <w:rsid w:val="00B34D15"/>
    <w:rsid w:val="00B351B5"/>
    <w:rsid w:val="00B35305"/>
    <w:rsid w:val="00B35341"/>
    <w:rsid w:val="00B35BC1"/>
    <w:rsid w:val="00B36268"/>
    <w:rsid w:val="00B362BE"/>
    <w:rsid w:val="00B36416"/>
    <w:rsid w:val="00B368C0"/>
    <w:rsid w:val="00B36B91"/>
    <w:rsid w:val="00B37095"/>
    <w:rsid w:val="00B3756E"/>
    <w:rsid w:val="00B375DF"/>
    <w:rsid w:val="00B375F2"/>
    <w:rsid w:val="00B37993"/>
    <w:rsid w:val="00B37C15"/>
    <w:rsid w:val="00B40313"/>
    <w:rsid w:val="00B405A0"/>
    <w:rsid w:val="00B41F18"/>
    <w:rsid w:val="00B4234B"/>
    <w:rsid w:val="00B4247B"/>
    <w:rsid w:val="00B426C1"/>
    <w:rsid w:val="00B427DF"/>
    <w:rsid w:val="00B42800"/>
    <w:rsid w:val="00B428ED"/>
    <w:rsid w:val="00B429C8"/>
    <w:rsid w:val="00B42B90"/>
    <w:rsid w:val="00B42F68"/>
    <w:rsid w:val="00B43B65"/>
    <w:rsid w:val="00B43BD6"/>
    <w:rsid w:val="00B43F30"/>
    <w:rsid w:val="00B44797"/>
    <w:rsid w:val="00B4481F"/>
    <w:rsid w:val="00B44C3D"/>
    <w:rsid w:val="00B44D7C"/>
    <w:rsid w:val="00B453C8"/>
    <w:rsid w:val="00B45AB7"/>
    <w:rsid w:val="00B45ABA"/>
    <w:rsid w:val="00B45B65"/>
    <w:rsid w:val="00B461EB"/>
    <w:rsid w:val="00B46931"/>
    <w:rsid w:val="00B469C7"/>
    <w:rsid w:val="00B4717F"/>
    <w:rsid w:val="00B47505"/>
    <w:rsid w:val="00B47701"/>
    <w:rsid w:val="00B47BCC"/>
    <w:rsid w:val="00B47CB2"/>
    <w:rsid w:val="00B47FBF"/>
    <w:rsid w:val="00B506E8"/>
    <w:rsid w:val="00B507F6"/>
    <w:rsid w:val="00B50D2A"/>
    <w:rsid w:val="00B5102B"/>
    <w:rsid w:val="00B51439"/>
    <w:rsid w:val="00B51C21"/>
    <w:rsid w:val="00B51D5D"/>
    <w:rsid w:val="00B524D4"/>
    <w:rsid w:val="00B5278B"/>
    <w:rsid w:val="00B52B2E"/>
    <w:rsid w:val="00B530F5"/>
    <w:rsid w:val="00B53464"/>
    <w:rsid w:val="00B53894"/>
    <w:rsid w:val="00B5443B"/>
    <w:rsid w:val="00B54B57"/>
    <w:rsid w:val="00B55027"/>
    <w:rsid w:val="00B557D7"/>
    <w:rsid w:val="00B5616A"/>
    <w:rsid w:val="00B561AE"/>
    <w:rsid w:val="00B56444"/>
    <w:rsid w:val="00B5653E"/>
    <w:rsid w:val="00B5683A"/>
    <w:rsid w:val="00B56B8A"/>
    <w:rsid w:val="00B56E90"/>
    <w:rsid w:val="00B57366"/>
    <w:rsid w:val="00B57625"/>
    <w:rsid w:val="00B57823"/>
    <w:rsid w:val="00B579B8"/>
    <w:rsid w:val="00B57EBF"/>
    <w:rsid w:val="00B60245"/>
    <w:rsid w:val="00B60261"/>
    <w:rsid w:val="00B60286"/>
    <w:rsid w:val="00B60334"/>
    <w:rsid w:val="00B604CD"/>
    <w:rsid w:val="00B60F23"/>
    <w:rsid w:val="00B6161A"/>
    <w:rsid w:val="00B6164A"/>
    <w:rsid w:val="00B620FD"/>
    <w:rsid w:val="00B63086"/>
    <w:rsid w:val="00B63201"/>
    <w:rsid w:val="00B63EED"/>
    <w:rsid w:val="00B6409F"/>
    <w:rsid w:val="00B641DC"/>
    <w:rsid w:val="00B643D4"/>
    <w:rsid w:val="00B64479"/>
    <w:rsid w:val="00B64EAF"/>
    <w:rsid w:val="00B65199"/>
    <w:rsid w:val="00B6547A"/>
    <w:rsid w:val="00B6629F"/>
    <w:rsid w:val="00B66F6A"/>
    <w:rsid w:val="00B6707D"/>
    <w:rsid w:val="00B677E7"/>
    <w:rsid w:val="00B67A7A"/>
    <w:rsid w:val="00B67CDC"/>
    <w:rsid w:val="00B67DE5"/>
    <w:rsid w:val="00B700D8"/>
    <w:rsid w:val="00B703E9"/>
    <w:rsid w:val="00B708CF"/>
    <w:rsid w:val="00B7163B"/>
    <w:rsid w:val="00B717C4"/>
    <w:rsid w:val="00B71E61"/>
    <w:rsid w:val="00B72084"/>
    <w:rsid w:val="00B720D9"/>
    <w:rsid w:val="00B72359"/>
    <w:rsid w:val="00B723A5"/>
    <w:rsid w:val="00B72A0F"/>
    <w:rsid w:val="00B7467A"/>
    <w:rsid w:val="00B746CB"/>
    <w:rsid w:val="00B749AD"/>
    <w:rsid w:val="00B74E75"/>
    <w:rsid w:val="00B7539E"/>
    <w:rsid w:val="00B756DD"/>
    <w:rsid w:val="00B7585F"/>
    <w:rsid w:val="00B75A47"/>
    <w:rsid w:val="00B75B15"/>
    <w:rsid w:val="00B7659F"/>
    <w:rsid w:val="00B76714"/>
    <w:rsid w:val="00B768A3"/>
    <w:rsid w:val="00B76E30"/>
    <w:rsid w:val="00B76EFE"/>
    <w:rsid w:val="00B76FA4"/>
    <w:rsid w:val="00B77155"/>
    <w:rsid w:val="00B77247"/>
    <w:rsid w:val="00B773B8"/>
    <w:rsid w:val="00B77918"/>
    <w:rsid w:val="00B77962"/>
    <w:rsid w:val="00B77CEB"/>
    <w:rsid w:val="00B80037"/>
    <w:rsid w:val="00B8003F"/>
    <w:rsid w:val="00B80057"/>
    <w:rsid w:val="00B80809"/>
    <w:rsid w:val="00B80EB0"/>
    <w:rsid w:val="00B8138A"/>
    <w:rsid w:val="00B82972"/>
    <w:rsid w:val="00B829D3"/>
    <w:rsid w:val="00B82D5B"/>
    <w:rsid w:val="00B832BC"/>
    <w:rsid w:val="00B833E6"/>
    <w:rsid w:val="00B84080"/>
    <w:rsid w:val="00B841C9"/>
    <w:rsid w:val="00B841D2"/>
    <w:rsid w:val="00B84223"/>
    <w:rsid w:val="00B84256"/>
    <w:rsid w:val="00B8444E"/>
    <w:rsid w:val="00B8446E"/>
    <w:rsid w:val="00B8483C"/>
    <w:rsid w:val="00B850FE"/>
    <w:rsid w:val="00B85443"/>
    <w:rsid w:val="00B85766"/>
    <w:rsid w:val="00B85B91"/>
    <w:rsid w:val="00B86471"/>
    <w:rsid w:val="00B86511"/>
    <w:rsid w:val="00B86635"/>
    <w:rsid w:val="00B86F68"/>
    <w:rsid w:val="00B87709"/>
    <w:rsid w:val="00B8789D"/>
    <w:rsid w:val="00B87E31"/>
    <w:rsid w:val="00B906EB"/>
    <w:rsid w:val="00B90B42"/>
    <w:rsid w:val="00B912CD"/>
    <w:rsid w:val="00B91308"/>
    <w:rsid w:val="00B91628"/>
    <w:rsid w:val="00B919D1"/>
    <w:rsid w:val="00B9225D"/>
    <w:rsid w:val="00B926D5"/>
    <w:rsid w:val="00B9306E"/>
    <w:rsid w:val="00B9324A"/>
    <w:rsid w:val="00B9327C"/>
    <w:rsid w:val="00B937C1"/>
    <w:rsid w:val="00B939D2"/>
    <w:rsid w:val="00B93AEC"/>
    <w:rsid w:val="00B93D5B"/>
    <w:rsid w:val="00B93DEE"/>
    <w:rsid w:val="00B947E4"/>
    <w:rsid w:val="00B951E5"/>
    <w:rsid w:val="00B9552B"/>
    <w:rsid w:val="00B959F5"/>
    <w:rsid w:val="00B95F48"/>
    <w:rsid w:val="00B96289"/>
    <w:rsid w:val="00B962D5"/>
    <w:rsid w:val="00B965C6"/>
    <w:rsid w:val="00B9696C"/>
    <w:rsid w:val="00B96E46"/>
    <w:rsid w:val="00B96F3B"/>
    <w:rsid w:val="00B97299"/>
    <w:rsid w:val="00B97666"/>
    <w:rsid w:val="00B9766C"/>
    <w:rsid w:val="00B97780"/>
    <w:rsid w:val="00BA0005"/>
    <w:rsid w:val="00BA0054"/>
    <w:rsid w:val="00BA04B6"/>
    <w:rsid w:val="00BA0F27"/>
    <w:rsid w:val="00BA1193"/>
    <w:rsid w:val="00BA17A0"/>
    <w:rsid w:val="00BA1E29"/>
    <w:rsid w:val="00BA326A"/>
    <w:rsid w:val="00BA32E2"/>
    <w:rsid w:val="00BA3414"/>
    <w:rsid w:val="00BA35E0"/>
    <w:rsid w:val="00BA3A56"/>
    <w:rsid w:val="00BA3F4E"/>
    <w:rsid w:val="00BA4006"/>
    <w:rsid w:val="00BA40CA"/>
    <w:rsid w:val="00BA4167"/>
    <w:rsid w:val="00BA44CE"/>
    <w:rsid w:val="00BA4584"/>
    <w:rsid w:val="00BA4D5C"/>
    <w:rsid w:val="00BA52B7"/>
    <w:rsid w:val="00BA5A68"/>
    <w:rsid w:val="00BA5CFB"/>
    <w:rsid w:val="00BA5D29"/>
    <w:rsid w:val="00BA6737"/>
    <w:rsid w:val="00BA690D"/>
    <w:rsid w:val="00BA6B0B"/>
    <w:rsid w:val="00BA6B17"/>
    <w:rsid w:val="00BA6C27"/>
    <w:rsid w:val="00BA6D19"/>
    <w:rsid w:val="00BA6D99"/>
    <w:rsid w:val="00BA6E8B"/>
    <w:rsid w:val="00BA70FD"/>
    <w:rsid w:val="00BA78C3"/>
    <w:rsid w:val="00BA7F56"/>
    <w:rsid w:val="00BB0068"/>
    <w:rsid w:val="00BB0B0D"/>
    <w:rsid w:val="00BB0C7B"/>
    <w:rsid w:val="00BB0C89"/>
    <w:rsid w:val="00BB10D6"/>
    <w:rsid w:val="00BB1E4D"/>
    <w:rsid w:val="00BB27C9"/>
    <w:rsid w:val="00BB280F"/>
    <w:rsid w:val="00BB28AE"/>
    <w:rsid w:val="00BB2FBE"/>
    <w:rsid w:val="00BB3985"/>
    <w:rsid w:val="00BB3D97"/>
    <w:rsid w:val="00BB3FEA"/>
    <w:rsid w:val="00BB3FF3"/>
    <w:rsid w:val="00BB406A"/>
    <w:rsid w:val="00BB4120"/>
    <w:rsid w:val="00BB43AE"/>
    <w:rsid w:val="00BB458C"/>
    <w:rsid w:val="00BB492B"/>
    <w:rsid w:val="00BB53D0"/>
    <w:rsid w:val="00BB551F"/>
    <w:rsid w:val="00BB5B29"/>
    <w:rsid w:val="00BB5B7C"/>
    <w:rsid w:val="00BB5C3C"/>
    <w:rsid w:val="00BB5D91"/>
    <w:rsid w:val="00BB6714"/>
    <w:rsid w:val="00BB6AFF"/>
    <w:rsid w:val="00BB6CF2"/>
    <w:rsid w:val="00BB71E7"/>
    <w:rsid w:val="00BB73C5"/>
    <w:rsid w:val="00BC0394"/>
    <w:rsid w:val="00BC13E0"/>
    <w:rsid w:val="00BC1744"/>
    <w:rsid w:val="00BC1EB5"/>
    <w:rsid w:val="00BC2449"/>
    <w:rsid w:val="00BC2D06"/>
    <w:rsid w:val="00BC3107"/>
    <w:rsid w:val="00BC34A2"/>
    <w:rsid w:val="00BC3839"/>
    <w:rsid w:val="00BC3969"/>
    <w:rsid w:val="00BC39BA"/>
    <w:rsid w:val="00BC3ECB"/>
    <w:rsid w:val="00BC4015"/>
    <w:rsid w:val="00BC4344"/>
    <w:rsid w:val="00BC43FF"/>
    <w:rsid w:val="00BC5106"/>
    <w:rsid w:val="00BC517A"/>
    <w:rsid w:val="00BC598F"/>
    <w:rsid w:val="00BC6B74"/>
    <w:rsid w:val="00BC6CF9"/>
    <w:rsid w:val="00BC6E2A"/>
    <w:rsid w:val="00BC6EA7"/>
    <w:rsid w:val="00BC7696"/>
    <w:rsid w:val="00BC77CC"/>
    <w:rsid w:val="00BC7839"/>
    <w:rsid w:val="00BC7E34"/>
    <w:rsid w:val="00BD0BC9"/>
    <w:rsid w:val="00BD0DF3"/>
    <w:rsid w:val="00BD1173"/>
    <w:rsid w:val="00BD1B82"/>
    <w:rsid w:val="00BD1BF1"/>
    <w:rsid w:val="00BD219B"/>
    <w:rsid w:val="00BD2C2B"/>
    <w:rsid w:val="00BD32CD"/>
    <w:rsid w:val="00BD34EB"/>
    <w:rsid w:val="00BD386F"/>
    <w:rsid w:val="00BD3EA0"/>
    <w:rsid w:val="00BD489A"/>
    <w:rsid w:val="00BD4B78"/>
    <w:rsid w:val="00BD4C50"/>
    <w:rsid w:val="00BD4DB0"/>
    <w:rsid w:val="00BD4F29"/>
    <w:rsid w:val="00BD4FA6"/>
    <w:rsid w:val="00BD57E6"/>
    <w:rsid w:val="00BD580A"/>
    <w:rsid w:val="00BD58AD"/>
    <w:rsid w:val="00BD6A61"/>
    <w:rsid w:val="00BD6C84"/>
    <w:rsid w:val="00BD6F0C"/>
    <w:rsid w:val="00BD6FB2"/>
    <w:rsid w:val="00BD7052"/>
    <w:rsid w:val="00BD70CF"/>
    <w:rsid w:val="00BD71B8"/>
    <w:rsid w:val="00BD7250"/>
    <w:rsid w:val="00BD738B"/>
    <w:rsid w:val="00BD7C0F"/>
    <w:rsid w:val="00BD7E05"/>
    <w:rsid w:val="00BE0785"/>
    <w:rsid w:val="00BE0CAE"/>
    <w:rsid w:val="00BE0FCD"/>
    <w:rsid w:val="00BE1DB5"/>
    <w:rsid w:val="00BE22EA"/>
    <w:rsid w:val="00BE25A1"/>
    <w:rsid w:val="00BE2FDE"/>
    <w:rsid w:val="00BE3818"/>
    <w:rsid w:val="00BE3906"/>
    <w:rsid w:val="00BE3986"/>
    <w:rsid w:val="00BE460D"/>
    <w:rsid w:val="00BE4611"/>
    <w:rsid w:val="00BE46AE"/>
    <w:rsid w:val="00BE500E"/>
    <w:rsid w:val="00BE5504"/>
    <w:rsid w:val="00BE5524"/>
    <w:rsid w:val="00BE5874"/>
    <w:rsid w:val="00BE5C69"/>
    <w:rsid w:val="00BE6C8C"/>
    <w:rsid w:val="00BE6EDE"/>
    <w:rsid w:val="00BE7080"/>
    <w:rsid w:val="00BE7DEB"/>
    <w:rsid w:val="00BF0D6C"/>
    <w:rsid w:val="00BF10AB"/>
    <w:rsid w:val="00BF1844"/>
    <w:rsid w:val="00BF1CB5"/>
    <w:rsid w:val="00BF1F3E"/>
    <w:rsid w:val="00BF1F89"/>
    <w:rsid w:val="00BF27E2"/>
    <w:rsid w:val="00BF33DF"/>
    <w:rsid w:val="00BF3453"/>
    <w:rsid w:val="00BF357E"/>
    <w:rsid w:val="00BF3630"/>
    <w:rsid w:val="00BF379E"/>
    <w:rsid w:val="00BF387B"/>
    <w:rsid w:val="00BF3D5E"/>
    <w:rsid w:val="00BF3DE8"/>
    <w:rsid w:val="00BF4082"/>
    <w:rsid w:val="00BF409F"/>
    <w:rsid w:val="00BF414E"/>
    <w:rsid w:val="00BF46CA"/>
    <w:rsid w:val="00BF4A6C"/>
    <w:rsid w:val="00BF4B52"/>
    <w:rsid w:val="00BF51A9"/>
    <w:rsid w:val="00BF52ED"/>
    <w:rsid w:val="00BF580C"/>
    <w:rsid w:val="00BF5F73"/>
    <w:rsid w:val="00BF61EA"/>
    <w:rsid w:val="00BF6227"/>
    <w:rsid w:val="00BF7CE5"/>
    <w:rsid w:val="00C00061"/>
    <w:rsid w:val="00C0043D"/>
    <w:rsid w:val="00C00B09"/>
    <w:rsid w:val="00C011CC"/>
    <w:rsid w:val="00C0126D"/>
    <w:rsid w:val="00C0138A"/>
    <w:rsid w:val="00C02044"/>
    <w:rsid w:val="00C0232A"/>
    <w:rsid w:val="00C02630"/>
    <w:rsid w:val="00C028F0"/>
    <w:rsid w:val="00C029B5"/>
    <w:rsid w:val="00C02A61"/>
    <w:rsid w:val="00C02D21"/>
    <w:rsid w:val="00C02EC1"/>
    <w:rsid w:val="00C038E1"/>
    <w:rsid w:val="00C03DEE"/>
    <w:rsid w:val="00C041F3"/>
    <w:rsid w:val="00C04A33"/>
    <w:rsid w:val="00C04B99"/>
    <w:rsid w:val="00C04C35"/>
    <w:rsid w:val="00C04DF2"/>
    <w:rsid w:val="00C05497"/>
    <w:rsid w:val="00C0552A"/>
    <w:rsid w:val="00C07D3A"/>
    <w:rsid w:val="00C07ED6"/>
    <w:rsid w:val="00C104FE"/>
    <w:rsid w:val="00C106AB"/>
    <w:rsid w:val="00C10CF8"/>
    <w:rsid w:val="00C11251"/>
    <w:rsid w:val="00C114BB"/>
    <w:rsid w:val="00C11D1C"/>
    <w:rsid w:val="00C11E6B"/>
    <w:rsid w:val="00C121C7"/>
    <w:rsid w:val="00C12B66"/>
    <w:rsid w:val="00C12C7A"/>
    <w:rsid w:val="00C12EA7"/>
    <w:rsid w:val="00C13059"/>
    <w:rsid w:val="00C131ED"/>
    <w:rsid w:val="00C13D4E"/>
    <w:rsid w:val="00C13D71"/>
    <w:rsid w:val="00C145B5"/>
    <w:rsid w:val="00C147BA"/>
    <w:rsid w:val="00C15475"/>
    <w:rsid w:val="00C15843"/>
    <w:rsid w:val="00C1659C"/>
    <w:rsid w:val="00C178F5"/>
    <w:rsid w:val="00C17BFC"/>
    <w:rsid w:val="00C17E5E"/>
    <w:rsid w:val="00C17FBB"/>
    <w:rsid w:val="00C201FC"/>
    <w:rsid w:val="00C20281"/>
    <w:rsid w:val="00C203A6"/>
    <w:rsid w:val="00C208D2"/>
    <w:rsid w:val="00C208EE"/>
    <w:rsid w:val="00C21E2B"/>
    <w:rsid w:val="00C21F69"/>
    <w:rsid w:val="00C22498"/>
    <w:rsid w:val="00C22DCE"/>
    <w:rsid w:val="00C22E6E"/>
    <w:rsid w:val="00C23CF5"/>
    <w:rsid w:val="00C23D46"/>
    <w:rsid w:val="00C24975"/>
    <w:rsid w:val="00C24B9E"/>
    <w:rsid w:val="00C2560C"/>
    <w:rsid w:val="00C2596E"/>
    <w:rsid w:val="00C25B9D"/>
    <w:rsid w:val="00C25CD8"/>
    <w:rsid w:val="00C25D2A"/>
    <w:rsid w:val="00C26716"/>
    <w:rsid w:val="00C268C1"/>
    <w:rsid w:val="00C2749A"/>
    <w:rsid w:val="00C3017D"/>
    <w:rsid w:val="00C3030D"/>
    <w:rsid w:val="00C30334"/>
    <w:rsid w:val="00C303A1"/>
    <w:rsid w:val="00C3065E"/>
    <w:rsid w:val="00C30E8A"/>
    <w:rsid w:val="00C319A2"/>
    <w:rsid w:val="00C3235A"/>
    <w:rsid w:val="00C3251C"/>
    <w:rsid w:val="00C32725"/>
    <w:rsid w:val="00C32AF0"/>
    <w:rsid w:val="00C33487"/>
    <w:rsid w:val="00C335A2"/>
    <w:rsid w:val="00C3366E"/>
    <w:rsid w:val="00C344EC"/>
    <w:rsid w:val="00C3451B"/>
    <w:rsid w:val="00C34A73"/>
    <w:rsid w:val="00C34B33"/>
    <w:rsid w:val="00C34B36"/>
    <w:rsid w:val="00C34D7A"/>
    <w:rsid w:val="00C34EA4"/>
    <w:rsid w:val="00C35421"/>
    <w:rsid w:val="00C36089"/>
    <w:rsid w:val="00C361B3"/>
    <w:rsid w:val="00C36544"/>
    <w:rsid w:val="00C36588"/>
    <w:rsid w:val="00C36BE0"/>
    <w:rsid w:val="00C377CD"/>
    <w:rsid w:val="00C40AAA"/>
    <w:rsid w:val="00C40D87"/>
    <w:rsid w:val="00C411A8"/>
    <w:rsid w:val="00C41C7D"/>
    <w:rsid w:val="00C4248A"/>
    <w:rsid w:val="00C4275D"/>
    <w:rsid w:val="00C42D2B"/>
    <w:rsid w:val="00C42E48"/>
    <w:rsid w:val="00C432EF"/>
    <w:rsid w:val="00C4347D"/>
    <w:rsid w:val="00C43663"/>
    <w:rsid w:val="00C4390C"/>
    <w:rsid w:val="00C43C30"/>
    <w:rsid w:val="00C43CFE"/>
    <w:rsid w:val="00C442F6"/>
    <w:rsid w:val="00C45990"/>
    <w:rsid w:val="00C45A98"/>
    <w:rsid w:val="00C45C53"/>
    <w:rsid w:val="00C45D74"/>
    <w:rsid w:val="00C46311"/>
    <w:rsid w:val="00C46466"/>
    <w:rsid w:val="00C46F2A"/>
    <w:rsid w:val="00C47036"/>
    <w:rsid w:val="00C471A0"/>
    <w:rsid w:val="00C4728B"/>
    <w:rsid w:val="00C4741E"/>
    <w:rsid w:val="00C47A8C"/>
    <w:rsid w:val="00C47C45"/>
    <w:rsid w:val="00C50018"/>
    <w:rsid w:val="00C504A3"/>
    <w:rsid w:val="00C50585"/>
    <w:rsid w:val="00C50874"/>
    <w:rsid w:val="00C5135B"/>
    <w:rsid w:val="00C5153C"/>
    <w:rsid w:val="00C51D64"/>
    <w:rsid w:val="00C52021"/>
    <w:rsid w:val="00C52138"/>
    <w:rsid w:val="00C52209"/>
    <w:rsid w:val="00C52290"/>
    <w:rsid w:val="00C52665"/>
    <w:rsid w:val="00C52C9B"/>
    <w:rsid w:val="00C52CB0"/>
    <w:rsid w:val="00C53286"/>
    <w:rsid w:val="00C536A6"/>
    <w:rsid w:val="00C538E2"/>
    <w:rsid w:val="00C53A20"/>
    <w:rsid w:val="00C53FF2"/>
    <w:rsid w:val="00C54075"/>
    <w:rsid w:val="00C54536"/>
    <w:rsid w:val="00C54ACD"/>
    <w:rsid w:val="00C54DBE"/>
    <w:rsid w:val="00C54E1A"/>
    <w:rsid w:val="00C55D90"/>
    <w:rsid w:val="00C55E6A"/>
    <w:rsid w:val="00C5729D"/>
    <w:rsid w:val="00C573C6"/>
    <w:rsid w:val="00C57D6C"/>
    <w:rsid w:val="00C60265"/>
    <w:rsid w:val="00C61557"/>
    <w:rsid w:val="00C61DF1"/>
    <w:rsid w:val="00C62377"/>
    <w:rsid w:val="00C6248A"/>
    <w:rsid w:val="00C62503"/>
    <w:rsid w:val="00C62508"/>
    <w:rsid w:val="00C62B7D"/>
    <w:rsid w:val="00C62E3F"/>
    <w:rsid w:val="00C640DD"/>
    <w:rsid w:val="00C64266"/>
    <w:rsid w:val="00C65783"/>
    <w:rsid w:val="00C66172"/>
    <w:rsid w:val="00C6625F"/>
    <w:rsid w:val="00C66988"/>
    <w:rsid w:val="00C67249"/>
    <w:rsid w:val="00C67512"/>
    <w:rsid w:val="00C679E9"/>
    <w:rsid w:val="00C70B2D"/>
    <w:rsid w:val="00C70D5E"/>
    <w:rsid w:val="00C71456"/>
    <w:rsid w:val="00C72096"/>
    <w:rsid w:val="00C72621"/>
    <w:rsid w:val="00C72906"/>
    <w:rsid w:val="00C72CD0"/>
    <w:rsid w:val="00C73020"/>
    <w:rsid w:val="00C7306C"/>
    <w:rsid w:val="00C730C8"/>
    <w:rsid w:val="00C73761"/>
    <w:rsid w:val="00C73987"/>
    <w:rsid w:val="00C73BB0"/>
    <w:rsid w:val="00C73EB6"/>
    <w:rsid w:val="00C73F28"/>
    <w:rsid w:val="00C7418A"/>
    <w:rsid w:val="00C74417"/>
    <w:rsid w:val="00C7442E"/>
    <w:rsid w:val="00C74DFA"/>
    <w:rsid w:val="00C753A1"/>
    <w:rsid w:val="00C75457"/>
    <w:rsid w:val="00C75474"/>
    <w:rsid w:val="00C76435"/>
    <w:rsid w:val="00C76B8D"/>
    <w:rsid w:val="00C76D4A"/>
    <w:rsid w:val="00C77007"/>
    <w:rsid w:val="00C77008"/>
    <w:rsid w:val="00C7718E"/>
    <w:rsid w:val="00C77505"/>
    <w:rsid w:val="00C80826"/>
    <w:rsid w:val="00C80B77"/>
    <w:rsid w:val="00C8134D"/>
    <w:rsid w:val="00C8158F"/>
    <w:rsid w:val="00C818C7"/>
    <w:rsid w:val="00C83578"/>
    <w:rsid w:val="00C845CB"/>
    <w:rsid w:val="00C847BC"/>
    <w:rsid w:val="00C84AEC"/>
    <w:rsid w:val="00C84D85"/>
    <w:rsid w:val="00C84EDC"/>
    <w:rsid w:val="00C8504F"/>
    <w:rsid w:val="00C854CE"/>
    <w:rsid w:val="00C856FF"/>
    <w:rsid w:val="00C857FD"/>
    <w:rsid w:val="00C859A3"/>
    <w:rsid w:val="00C85F23"/>
    <w:rsid w:val="00C860E9"/>
    <w:rsid w:val="00C868CA"/>
    <w:rsid w:val="00C87791"/>
    <w:rsid w:val="00C87B9B"/>
    <w:rsid w:val="00C904DC"/>
    <w:rsid w:val="00C904E6"/>
    <w:rsid w:val="00C90778"/>
    <w:rsid w:val="00C9089F"/>
    <w:rsid w:val="00C90AF4"/>
    <w:rsid w:val="00C910BE"/>
    <w:rsid w:val="00C9158E"/>
    <w:rsid w:val="00C918BC"/>
    <w:rsid w:val="00C91C0C"/>
    <w:rsid w:val="00C91FA3"/>
    <w:rsid w:val="00C9226E"/>
    <w:rsid w:val="00C939C6"/>
    <w:rsid w:val="00C93C2C"/>
    <w:rsid w:val="00C9462B"/>
    <w:rsid w:val="00C94792"/>
    <w:rsid w:val="00C95D56"/>
    <w:rsid w:val="00C9777D"/>
    <w:rsid w:val="00C97B1B"/>
    <w:rsid w:val="00CA03E0"/>
    <w:rsid w:val="00CA04EB"/>
    <w:rsid w:val="00CA0735"/>
    <w:rsid w:val="00CA130D"/>
    <w:rsid w:val="00CA1850"/>
    <w:rsid w:val="00CA1CF5"/>
    <w:rsid w:val="00CA278B"/>
    <w:rsid w:val="00CA2E4B"/>
    <w:rsid w:val="00CA2F19"/>
    <w:rsid w:val="00CA335D"/>
    <w:rsid w:val="00CA3926"/>
    <w:rsid w:val="00CA39CF"/>
    <w:rsid w:val="00CA3BD3"/>
    <w:rsid w:val="00CA40CF"/>
    <w:rsid w:val="00CA486A"/>
    <w:rsid w:val="00CA4C81"/>
    <w:rsid w:val="00CA58A7"/>
    <w:rsid w:val="00CA6740"/>
    <w:rsid w:val="00CA67F8"/>
    <w:rsid w:val="00CA6D5A"/>
    <w:rsid w:val="00CA6DF1"/>
    <w:rsid w:val="00CA6E7B"/>
    <w:rsid w:val="00CA7418"/>
    <w:rsid w:val="00CA7D42"/>
    <w:rsid w:val="00CA7E84"/>
    <w:rsid w:val="00CB0643"/>
    <w:rsid w:val="00CB06F2"/>
    <w:rsid w:val="00CB1693"/>
    <w:rsid w:val="00CB1C14"/>
    <w:rsid w:val="00CB1CEB"/>
    <w:rsid w:val="00CB1EDC"/>
    <w:rsid w:val="00CB1F2D"/>
    <w:rsid w:val="00CB246F"/>
    <w:rsid w:val="00CB2718"/>
    <w:rsid w:val="00CB3647"/>
    <w:rsid w:val="00CB3F87"/>
    <w:rsid w:val="00CB3FA7"/>
    <w:rsid w:val="00CB426F"/>
    <w:rsid w:val="00CB4CDB"/>
    <w:rsid w:val="00CB5853"/>
    <w:rsid w:val="00CB67EE"/>
    <w:rsid w:val="00CB6BFB"/>
    <w:rsid w:val="00CB6FD1"/>
    <w:rsid w:val="00CB71A7"/>
    <w:rsid w:val="00CB7694"/>
    <w:rsid w:val="00CB7A00"/>
    <w:rsid w:val="00CB7EFF"/>
    <w:rsid w:val="00CC0B37"/>
    <w:rsid w:val="00CC0D88"/>
    <w:rsid w:val="00CC0FAB"/>
    <w:rsid w:val="00CC149F"/>
    <w:rsid w:val="00CC16A6"/>
    <w:rsid w:val="00CC19EE"/>
    <w:rsid w:val="00CC1BCC"/>
    <w:rsid w:val="00CC1EE5"/>
    <w:rsid w:val="00CC26EE"/>
    <w:rsid w:val="00CC2A94"/>
    <w:rsid w:val="00CC32E8"/>
    <w:rsid w:val="00CC364E"/>
    <w:rsid w:val="00CC4380"/>
    <w:rsid w:val="00CC4895"/>
    <w:rsid w:val="00CC4B01"/>
    <w:rsid w:val="00CC4B36"/>
    <w:rsid w:val="00CC4E5A"/>
    <w:rsid w:val="00CC50B9"/>
    <w:rsid w:val="00CC6230"/>
    <w:rsid w:val="00CC6B72"/>
    <w:rsid w:val="00CC714C"/>
    <w:rsid w:val="00CC732C"/>
    <w:rsid w:val="00CC762B"/>
    <w:rsid w:val="00CC769C"/>
    <w:rsid w:val="00CC77D4"/>
    <w:rsid w:val="00CC79CC"/>
    <w:rsid w:val="00CC7ED8"/>
    <w:rsid w:val="00CD095F"/>
    <w:rsid w:val="00CD0BAF"/>
    <w:rsid w:val="00CD0D8A"/>
    <w:rsid w:val="00CD20EF"/>
    <w:rsid w:val="00CD23BD"/>
    <w:rsid w:val="00CD2478"/>
    <w:rsid w:val="00CD2830"/>
    <w:rsid w:val="00CD3DE5"/>
    <w:rsid w:val="00CD42A6"/>
    <w:rsid w:val="00CD4A7E"/>
    <w:rsid w:val="00CD4DB7"/>
    <w:rsid w:val="00CD52C9"/>
    <w:rsid w:val="00CD5846"/>
    <w:rsid w:val="00CD59A0"/>
    <w:rsid w:val="00CD5ABF"/>
    <w:rsid w:val="00CD5B41"/>
    <w:rsid w:val="00CD630E"/>
    <w:rsid w:val="00CD7186"/>
    <w:rsid w:val="00CD7810"/>
    <w:rsid w:val="00CE0278"/>
    <w:rsid w:val="00CE0A10"/>
    <w:rsid w:val="00CE0A2D"/>
    <w:rsid w:val="00CE0A5B"/>
    <w:rsid w:val="00CE12C0"/>
    <w:rsid w:val="00CE15B3"/>
    <w:rsid w:val="00CE18D3"/>
    <w:rsid w:val="00CE1944"/>
    <w:rsid w:val="00CE1AA9"/>
    <w:rsid w:val="00CE1C91"/>
    <w:rsid w:val="00CE2421"/>
    <w:rsid w:val="00CE2F98"/>
    <w:rsid w:val="00CE321B"/>
    <w:rsid w:val="00CE351A"/>
    <w:rsid w:val="00CE3725"/>
    <w:rsid w:val="00CE4114"/>
    <w:rsid w:val="00CE49B2"/>
    <w:rsid w:val="00CE7103"/>
    <w:rsid w:val="00CE7770"/>
    <w:rsid w:val="00CE7D13"/>
    <w:rsid w:val="00CE7DF9"/>
    <w:rsid w:val="00CF0B8C"/>
    <w:rsid w:val="00CF1038"/>
    <w:rsid w:val="00CF1065"/>
    <w:rsid w:val="00CF1505"/>
    <w:rsid w:val="00CF1514"/>
    <w:rsid w:val="00CF16DA"/>
    <w:rsid w:val="00CF171E"/>
    <w:rsid w:val="00CF1CBC"/>
    <w:rsid w:val="00CF1DB3"/>
    <w:rsid w:val="00CF1ECB"/>
    <w:rsid w:val="00CF20FA"/>
    <w:rsid w:val="00CF28AF"/>
    <w:rsid w:val="00CF2CD4"/>
    <w:rsid w:val="00CF31D7"/>
    <w:rsid w:val="00CF3343"/>
    <w:rsid w:val="00CF37D9"/>
    <w:rsid w:val="00CF437F"/>
    <w:rsid w:val="00CF44AE"/>
    <w:rsid w:val="00CF4EB9"/>
    <w:rsid w:val="00CF4FB3"/>
    <w:rsid w:val="00CF5D6F"/>
    <w:rsid w:val="00CF7286"/>
    <w:rsid w:val="00CF735C"/>
    <w:rsid w:val="00CF7675"/>
    <w:rsid w:val="00CF7A66"/>
    <w:rsid w:val="00D001CD"/>
    <w:rsid w:val="00D0036C"/>
    <w:rsid w:val="00D012D6"/>
    <w:rsid w:val="00D013A3"/>
    <w:rsid w:val="00D0188E"/>
    <w:rsid w:val="00D01933"/>
    <w:rsid w:val="00D02564"/>
    <w:rsid w:val="00D0316A"/>
    <w:rsid w:val="00D03E8B"/>
    <w:rsid w:val="00D04018"/>
    <w:rsid w:val="00D043AE"/>
    <w:rsid w:val="00D04BFA"/>
    <w:rsid w:val="00D0553B"/>
    <w:rsid w:val="00D05924"/>
    <w:rsid w:val="00D05998"/>
    <w:rsid w:val="00D064A1"/>
    <w:rsid w:val="00D0663B"/>
    <w:rsid w:val="00D068D8"/>
    <w:rsid w:val="00D06E06"/>
    <w:rsid w:val="00D07A51"/>
    <w:rsid w:val="00D101FC"/>
    <w:rsid w:val="00D10458"/>
    <w:rsid w:val="00D10BB4"/>
    <w:rsid w:val="00D10D73"/>
    <w:rsid w:val="00D10F61"/>
    <w:rsid w:val="00D11470"/>
    <w:rsid w:val="00D116A8"/>
    <w:rsid w:val="00D11764"/>
    <w:rsid w:val="00D11926"/>
    <w:rsid w:val="00D119F6"/>
    <w:rsid w:val="00D11D65"/>
    <w:rsid w:val="00D122DB"/>
    <w:rsid w:val="00D124D1"/>
    <w:rsid w:val="00D12A94"/>
    <w:rsid w:val="00D1374A"/>
    <w:rsid w:val="00D13CC9"/>
    <w:rsid w:val="00D13E73"/>
    <w:rsid w:val="00D140C2"/>
    <w:rsid w:val="00D14355"/>
    <w:rsid w:val="00D14BF8"/>
    <w:rsid w:val="00D14C8E"/>
    <w:rsid w:val="00D14DC6"/>
    <w:rsid w:val="00D15203"/>
    <w:rsid w:val="00D1529C"/>
    <w:rsid w:val="00D16335"/>
    <w:rsid w:val="00D16409"/>
    <w:rsid w:val="00D165BB"/>
    <w:rsid w:val="00D16628"/>
    <w:rsid w:val="00D1684C"/>
    <w:rsid w:val="00D16CC2"/>
    <w:rsid w:val="00D170B5"/>
    <w:rsid w:val="00D17799"/>
    <w:rsid w:val="00D17A62"/>
    <w:rsid w:val="00D200EC"/>
    <w:rsid w:val="00D20C14"/>
    <w:rsid w:val="00D20E86"/>
    <w:rsid w:val="00D212A4"/>
    <w:rsid w:val="00D22259"/>
    <w:rsid w:val="00D228B8"/>
    <w:rsid w:val="00D22A9C"/>
    <w:rsid w:val="00D22C5C"/>
    <w:rsid w:val="00D22EA2"/>
    <w:rsid w:val="00D23EE6"/>
    <w:rsid w:val="00D24B25"/>
    <w:rsid w:val="00D25237"/>
    <w:rsid w:val="00D257F1"/>
    <w:rsid w:val="00D25DC2"/>
    <w:rsid w:val="00D25EB9"/>
    <w:rsid w:val="00D26AC8"/>
    <w:rsid w:val="00D26FF7"/>
    <w:rsid w:val="00D27159"/>
    <w:rsid w:val="00D27A2D"/>
    <w:rsid w:val="00D27C76"/>
    <w:rsid w:val="00D27E3A"/>
    <w:rsid w:val="00D30034"/>
    <w:rsid w:val="00D309FB"/>
    <w:rsid w:val="00D30BD1"/>
    <w:rsid w:val="00D30E2B"/>
    <w:rsid w:val="00D31265"/>
    <w:rsid w:val="00D313F2"/>
    <w:rsid w:val="00D324A7"/>
    <w:rsid w:val="00D328F9"/>
    <w:rsid w:val="00D32ADF"/>
    <w:rsid w:val="00D33239"/>
    <w:rsid w:val="00D336BB"/>
    <w:rsid w:val="00D33BE0"/>
    <w:rsid w:val="00D33DF2"/>
    <w:rsid w:val="00D33F6C"/>
    <w:rsid w:val="00D34330"/>
    <w:rsid w:val="00D34510"/>
    <w:rsid w:val="00D34B3D"/>
    <w:rsid w:val="00D34CA4"/>
    <w:rsid w:val="00D34CF7"/>
    <w:rsid w:val="00D34E74"/>
    <w:rsid w:val="00D34FB9"/>
    <w:rsid w:val="00D350BC"/>
    <w:rsid w:val="00D351C2"/>
    <w:rsid w:val="00D35495"/>
    <w:rsid w:val="00D356B1"/>
    <w:rsid w:val="00D359AA"/>
    <w:rsid w:val="00D35A7B"/>
    <w:rsid w:val="00D35F48"/>
    <w:rsid w:val="00D36864"/>
    <w:rsid w:val="00D36CAD"/>
    <w:rsid w:val="00D3753F"/>
    <w:rsid w:val="00D375C8"/>
    <w:rsid w:val="00D3783F"/>
    <w:rsid w:val="00D37C48"/>
    <w:rsid w:val="00D40133"/>
    <w:rsid w:val="00D4029C"/>
    <w:rsid w:val="00D40709"/>
    <w:rsid w:val="00D40897"/>
    <w:rsid w:val="00D40A51"/>
    <w:rsid w:val="00D40A54"/>
    <w:rsid w:val="00D4127C"/>
    <w:rsid w:val="00D41AE0"/>
    <w:rsid w:val="00D42191"/>
    <w:rsid w:val="00D42773"/>
    <w:rsid w:val="00D4298C"/>
    <w:rsid w:val="00D42BD7"/>
    <w:rsid w:val="00D43000"/>
    <w:rsid w:val="00D43014"/>
    <w:rsid w:val="00D4302D"/>
    <w:rsid w:val="00D43F43"/>
    <w:rsid w:val="00D440BD"/>
    <w:rsid w:val="00D4423B"/>
    <w:rsid w:val="00D4450E"/>
    <w:rsid w:val="00D44545"/>
    <w:rsid w:val="00D448D3"/>
    <w:rsid w:val="00D44AAE"/>
    <w:rsid w:val="00D44FB4"/>
    <w:rsid w:val="00D44FD4"/>
    <w:rsid w:val="00D45F4D"/>
    <w:rsid w:val="00D46198"/>
    <w:rsid w:val="00D463F1"/>
    <w:rsid w:val="00D46418"/>
    <w:rsid w:val="00D46FB7"/>
    <w:rsid w:val="00D47065"/>
    <w:rsid w:val="00D4713A"/>
    <w:rsid w:val="00D472D4"/>
    <w:rsid w:val="00D473E0"/>
    <w:rsid w:val="00D475E3"/>
    <w:rsid w:val="00D476F4"/>
    <w:rsid w:val="00D478F2"/>
    <w:rsid w:val="00D47ADB"/>
    <w:rsid w:val="00D47CA7"/>
    <w:rsid w:val="00D47CB9"/>
    <w:rsid w:val="00D5106E"/>
    <w:rsid w:val="00D5174F"/>
    <w:rsid w:val="00D51B07"/>
    <w:rsid w:val="00D52207"/>
    <w:rsid w:val="00D52ABA"/>
    <w:rsid w:val="00D52B53"/>
    <w:rsid w:val="00D52CBD"/>
    <w:rsid w:val="00D53A39"/>
    <w:rsid w:val="00D53B67"/>
    <w:rsid w:val="00D53CFD"/>
    <w:rsid w:val="00D5433F"/>
    <w:rsid w:val="00D544A3"/>
    <w:rsid w:val="00D54512"/>
    <w:rsid w:val="00D54A06"/>
    <w:rsid w:val="00D55470"/>
    <w:rsid w:val="00D55B9C"/>
    <w:rsid w:val="00D55D5D"/>
    <w:rsid w:val="00D56108"/>
    <w:rsid w:val="00D56ADF"/>
    <w:rsid w:val="00D56AE5"/>
    <w:rsid w:val="00D56BC2"/>
    <w:rsid w:val="00D56DAC"/>
    <w:rsid w:val="00D5718A"/>
    <w:rsid w:val="00D5734D"/>
    <w:rsid w:val="00D60315"/>
    <w:rsid w:val="00D606A8"/>
    <w:rsid w:val="00D608AB"/>
    <w:rsid w:val="00D60934"/>
    <w:rsid w:val="00D618B5"/>
    <w:rsid w:val="00D618D5"/>
    <w:rsid w:val="00D61D01"/>
    <w:rsid w:val="00D63791"/>
    <w:rsid w:val="00D63978"/>
    <w:rsid w:val="00D63A58"/>
    <w:rsid w:val="00D64DD1"/>
    <w:rsid w:val="00D650CD"/>
    <w:rsid w:val="00D65257"/>
    <w:rsid w:val="00D652D0"/>
    <w:rsid w:val="00D65979"/>
    <w:rsid w:val="00D6625F"/>
    <w:rsid w:val="00D66611"/>
    <w:rsid w:val="00D66E8D"/>
    <w:rsid w:val="00D70851"/>
    <w:rsid w:val="00D70A30"/>
    <w:rsid w:val="00D70F1F"/>
    <w:rsid w:val="00D71170"/>
    <w:rsid w:val="00D7159E"/>
    <w:rsid w:val="00D71AA0"/>
    <w:rsid w:val="00D71D3A"/>
    <w:rsid w:val="00D721E8"/>
    <w:rsid w:val="00D7234A"/>
    <w:rsid w:val="00D726D2"/>
    <w:rsid w:val="00D7286D"/>
    <w:rsid w:val="00D72939"/>
    <w:rsid w:val="00D72D33"/>
    <w:rsid w:val="00D73307"/>
    <w:rsid w:val="00D734E0"/>
    <w:rsid w:val="00D73C75"/>
    <w:rsid w:val="00D73E7B"/>
    <w:rsid w:val="00D73E88"/>
    <w:rsid w:val="00D741FE"/>
    <w:rsid w:val="00D746C4"/>
    <w:rsid w:val="00D74A44"/>
    <w:rsid w:val="00D74AB2"/>
    <w:rsid w:val="00D74C64"/>
    <w:rsid w:val="00D750A2"/>
    <w:rsid w:val="00D75E27"/>
    <w:rsid w:val="00D75ED1"/>
    <w:rsid w:val="00D7614F"/>
    <w:rsid w:val="00D76374"/>
    <w:rsid w:val="00D7690B"/>
    <w:rsid w:val="00D76B4F"/>
    <w:rsid w:val="00D772FA"/>
    <w:rsid w:val="00D80A9B"/>
    <w:rsid w:val="00D81738"/>
    <w:rsid w:val="00D81752"/>
    <w:rsid w:val="00D81887"/>
    <w:rsid w:val="00D834F7"/>
    <w:rsid w:val="00D83678"/>
    <w:rsid w:val="00D8375A"/>
    <w:rsid w:val="00D8388B"/>
    <w:rsid w:val="00D83969"/>
    <w:rsid w:val="00D83D49"/>
    <w:rsid w:val="00D84338"/>
    <w:rsid w:val="00D849B4"/>
    <w:rsid w:val="00D84AB4"/>
    <w:rsid w:val="00D84C20"/>
    <w:rsid w:val="00D85532"/>
    <w:rsid w:val="00D85BAC"/>
    <w:rsid w:val="00D861EE"/>
    <w:rsid w:val="00D865C5"/>
    <w:rsid w:val="00D868B2"/>
    <w:rsid w:val="00D87065"/>
    <w:rsid w:val="00D878B4"/>
    <w:rsid w:val="00D87967"/>
    <w:rsid w:val="00D879A6"/>
    <w:rsid w:val="00D87D52"/>
    <w:rsid w:val="00D87ED5"/>
    <w:rsid w:val="00D90672"/>
    <w:rsid w:val="00D90DB5"/>
    <w:rsid w:val="00D91409"/>
    <w:rsid w:val="00D915D8"/>
    <w:rsid w:val="00D9295B"/>
    <w:rsid w:val="00D92A06"/>
    <w:rsid w:val="00D92EF7"/>
    <w:rsid w:val="00D93ECD"/>
    <w:rsid w:val="00D942DD"/>
    <w:rsid w:val="00D94647"/>
    <w:rsid w:val="00D9494D"/>
    <w:rsid w:val="00D94C5C"/>
    <w:rsid w:val="00D94DEA"/>
    <w:rsid w:val="00D94E2B"/>
    <w:rsid w:val="00D94EC9"/>
    <w:rsid w:val="00D9514A"/>
    <w:rsid w:val="00D9534F"/>
    <w:rsid w:val="00D95E17"/>
    <w:rsid w:val="00D96F2D"/>
    <w:rsid w:val="00D972D4"/>
    <w:rsid w:val="00D97420"/>
    <w:rsid w:val="00D97653"/>
    <w:rsid w:val="00D976D8"/>
    <w:rsid w:val="00D97BAD"/>
    <w:rsid w:val="00D97C00"/>
    <w:rsid w:val="00D97E0E"/>
    <w:rsid w:val="00D97F7B"/>
    <w:rsid w:val="00DA01A9"/>
    <w:rsid w:val="00DA1221"/>
    <w:rsid w:val="00DA1C3F"/>
    <w:rsid w:val="00DA2394"/>
    <w:rsid w:val="00DA31AC"/>
    <w:rsid w:val="00DA42C6"/>
    <w:rsid w:val="00DA43D3"/>
    <w:rsid w:val="00DA4584"/>
    <w:rsid w:val="00DA45BA"/>
    <w:rsid w:val="00DA538E"/>
    <w:rsid w:val="00DA54F0"/>
    <w:rsid w:val="00DA5B82"/>
    <w:rsid w:val="00DA64A3"/>
    <w:rsid w:val="00DA6756"/>
    <w:rsid w:val="00DA6B67"/>
    <w:rsid w:val="00DA713D"/>
    <w:rsid w:val="00DA7293"/>
    <w:rsid w:val="00DA75D9"/>
    <w:rsid w:val="00DA7D31"/>
    <w:rsid w:val="00DB06CA"/>
    <w:rsid w:val="00DB0B5B"/>
    <w:rsid w:val="00DB0D69"/>
    <w:rsid w:val="00DB0DFE"/>
    <w:rsid w:val="00DB1693"/>
    <w:rsid w:val="00DB16CC"/>
    <w:rsid w:val="00DB23E9"/>
    <w:rsid w:val="00DB274F"/>
    <w:rsid w:val="00DB2853"/>
    <w:rsid w:val="00DB2C44"/>
    <w:rsid w:val="00DB2D48"/>
    <w:rsid w:val="00DB2E9D"/>
    <w:rsid w:val="00DB31ED"/>
    <w:rsid w:val="00DB3726"/>
    <w:rsid w:val="00DB3BF0"/>
    <w:rsid w:val="00DB3D0A"/>
    <w:rsid w:val="00DB3E2D"/>
    <w:rsid w:val="00DB45F7"/>
    <w:rsid w:val="00DB5401"/>
    <w:rsid w:val="00DB5637"/>
    <w:rsid w:val="00DB56F8"/>
    <w:rsid w:val="00DB5C14"/>
    <w:rsid w:val="00DB5C54"/>
    <w:rsid w:val="00DB633C"/>
    <w:rsid w:val="00DB6676"/>
    <w:rsid w:val="00DB7051"/>
    <w:rsid w:val="00DB7112"/>
    <w:rsid w:val="00DB727C"/>
    <w:rsid w:val="00DC05FF"/>
    <w:rsid w:val="00DC1650"/>
    <w:rsid w:val="00DC1A0F"/>
    <w:rsid w:val="00DC1F2F"/>
    <w:rsid w:val="00DC2129"/>
    <w:rsid w:val="00DC2C0B"/>
    <w:rsid w:val="00DC33B8"/>
    <w:rsid w:val="00DC3794"/>
    <w:rsid w:val="00DC39D4"/>
    <w:rsid w:val="00DC3BC8"/>
    <w:rsid w:val="00DC3DE3"/>
    <w:rsid w:val="00DC426E"/>
    <w:rsid w:val="00DC4326"/>
    <w:rsid w:val="00DC4451"/>
    <w:rsid w:val="00DC4DA7"/>
    <w:rsid w:val="00DC4DD2"/>
    <w:rsid w:val="00DC541D"/>
    <w:rsid w:val="00DC5FDF"/>
    <w:rsid w:val="00DC64E8"/>
    <w:rsid w:val="00DC6ABD"/>
    <w:rsid w:val="00DC6FFF"/>
    <w:rsid w:val="00DC7077"/>
    <w:rsid w:val="00DC7089"/>
    <w:rsid w:val="00DC71DF"/>
    <w:rsid w:val="00DC71E0"/>
    <w:rsid w:val="00DC7D69"/>
    <w:rsid w:val="00DD004B"/>
    <w:rsid w:val="00DD08D3"/>
    <w:rsid w:val="00DD0D18"/>
    <w:rsid w:val="00DD0E31"/>
    <w:rsid w:val="00DD1056"/>
    <w:rsid w:val="00DD1120"/>
    <w:rsid w:val="00DD12C5"/>
    <w:rsid w:val="00DD13B6"/>
    <w:rsid w:val="00DD23DB"/>
    <w:rsid w:val="00DD2D7A"/>
    <w:rsid w:val="00DD3276"/>
    <w:rsid w:val="00DD3787"/>
    <w:rsid w:val="00DD3C41"/>
    <w:rsid w:val="00DD3D54"/>
    <w:rsid w:val="00DD3DF8"/>
    <w:rsid w:val="00DD404A"/>
    <w:rsid w:val="00DD40B5"/>
    <w:rsid w:val="00DD4274"/>
    <w:rsid w:val="00DD4751"/>
    <w:rsid w:val="00DD4C14"/>
    <w:rsid w:val="00DD4F72"/>
    <w:rsid w:val="00DD5087"/>
    <w:rsid w:val="00DD510B"/>
    <w:rsid w:val="00DD51BA"/>
    <w:rsid w:val="00DD5661"/>
    <w:rsid w:val="00DD58FE"/>
    <w:rsid w:val="00DD593A"/>
    <w:rsid w:val="00DD5BA3"/>
    <w:rsid w:val="00DD5BB1"/>
    <w:rsid w:val="00DD6255"/>
    <w:rsid w:val="00DD65A7"/>
    <w:rsid w:val="00DD65F6"/>
    <w:rsid w:val="00DD6974"/>
    <w:rsid w:val="00DD6EFE"/>
    <w:rsid w:val="00DD7160"/>
    <w:rsid w:val="00DD736F"/>
    <w:rsid w:val="00DD776C"/>
    <w:rsid w:val="00DD7BF2"/>
    <w:rsid w:val="00DD7E1F"/>
    <w:rsid w:val="00DE0458"/>
    <w:rsid w:val="00DE079D"/>
    <w:rsid w:val="00DE0B6D"/>
    <w:rsid w:val="00DE1269"/>
    <w:rsid w:val="00DE256B"/>
    <w:rsid w:val="00DE2A0F"/>
    <w:rsid w:val="00DE2B14"/>
    <w:rsid w:val="00DE2BA6"/>
    <w:rsid w:val="00DE2BF6"/>
    <w:rsid w:val="00DE375F"/>
    <w:rsid w:val="00DE39AA"/>
    <w:rsid w:val="00DE3CB4"/>
    <w:rsid w:val="00DE3EEA"/>
    <w:rsid w:val="00DE4E03"/>
    <w:rsid w:val="00DE5794"/>
    <w:rsid w:val="00DE5C06"/>
    <w:rsid w:val="00DE5C55"/>
    <w:rsid w:val="00DE5D42"/>
    <w:rsid w:val="00DE6357"/>
    <w:rsid w:val="00DE6F82"/>
    <w:rsid w:val="00DE798C"/>
    <w:rsid w:val="00DF02CC"/>
    <w:rsid w:val="00DF287F"/>
    <w:rsid w:val="00DF2B62"/>
    <w:rsid w:val="00DF2CB7"/>
    <w:rsid w:val="00DF3460"/>
    <w:rsid w:val="00DF39A4"/>
    <w:rsid w:val="00DF3DC1"/>
    <w:rsid w:val="00DF4134"/>
    <w:rsid w:val="00DF49AD"/>
    <w:rsid w:val="00DF4F27"/>
    <w:rsid w:val="00DF5462"/>
    <w:rsid w:val="00DF5504"/>
    <w:rsid w:val="00DF56D4"/>
    <w:rsid w:val="00DF587C"/>
    <w:rsid w:val="00DF5A53"/>
    <w:rsid w:val="00DF64BC"/>
    <w:rsid w:val="00DF6AA3"/>
    <w:rsid w:val="00DF6BE9"/>
    <w:rsid w:val="00DF7462"/>
    <w:rsid w:val="00DF7ADF"/>
    <w:rsid w:val="00E001C5"/>
    <w:rsid w:val="00E00608"/>
    <w:rsid w:val="00E00B9B"/>
    <w:rsid w:val="00E00C94"/>
    <w:rsid w:val="00E0186D"/>
    <w:rsid w:val="00E01A6D"/>
    <w:rsid w:val="00E01FC3"/>
    <w:rsid w:val="00E02035"/>
    <w:rsid w:val="00E0207F"/>
    <w:rsid w:val="00E0263C"/>
    <w:rsid w:val="00E02F81"/>
    <w:rsid w:val="00E03767"/>
    <w:rsid w:val="00E03ACF"/>
    <w:rsid w:val="00E040B2"/>
    <w:rsid w:val="00E0424A"/>
    <w:rsid w:val="00E044EC"/>
    <w:rsid w:val="00E04B13"/>
    <w:rsid w:val="00E05105"/>
    <w:rsid w:val="00E05237"/>
    <w:rsid w:val="00E054B6"/>
    <w:rsid w:val="00E058C6"/>
    <w:rsid w:val="00E06321"/>
    <w:rsid w:val="00E064E0"/>
    <w:rsid w:val="00E06D3E"/>
    <w:rsid w:val="00E072B0"/>
    <w:rsid w:val="00E074EE"/>
    <w:rsid w:val="00E0797F"/>
    <w:rsid w:val="00E07CEB"/>
    <w:rsid w:val="00E10568"/>
    <w:rsid w:val="00E10C54"/>
    <w:rsid w:val="00E11202"/>
    <w:rsid w:val="00E113C5"/>
    <w:rsid w:val="00E113F7"/>
    <w:rsid w:val="00E11475"/>
    <w:rsid w:val="00E11B66"/>
    <w:rsid w:val="00E11DC5"/>
    <w:rsid w:val="00E11ED8"/>
    <w:rsid w:val="00E11EFE"/>
    <w:rsid w:val="00E12280"/>
    <w:rsid w:val="00E1239A"/>
    <w:rsid w:val="00E12A8E"/>
    <w:rsid w:val="00E13590"/>
    <w:rsid w:val="00E13882"/>
    <w:rsid w:val="00E13B7C"/>
    <w:rsid w:val="00E1447B"/>
    <w:rsid w:val="00E14A93"/>
    <w:rsid w:val="00E14B03"/>
    <w:rsid w:val="00E1545E"/>
    <w:rsid w:val="00E1548C"/>
    <w:rsid w:val="00E1561E"/>
    <w:rsid w:val="00E15A15"/>
    <w:rsid w:val="00E15F3C"/>
    <w:rsid w:val="00E16274"/>
    <w:rsid w:val="00E16D9E"/>
    <w:rsid w:val="00E17133"/>
    <w:rsid w:val="00E179FE"/>
    <w:rsid w:val="00E17D84"/>
    <w:rsid w:val="00E17DAC"/>
    <w:rsid w:val="00E17FAA"/>
    <w:rsid w:val="00E20014"/>
    <w:rsid w:val="00E20A79"/>
    <w:rsid w:val="00E20D63"/>
    <w:rsid w:val="00E21253"/>
    <w:rsid w:val="00E21556"/>
    <w:rsid w:val="00E2262E"/>
    <w:rsid w:val="00E22D46"/>
    <w:rsid w:val="00E22DC3"/>
    <w:rsid w:val="00E22E50"/>
    <w:rsid w:val="00E23DF1"/>
    <w:rsid w:val="00E23FA8"/>
    <w:rsid w:val="00E2411C"/>
    <w:rsid w:val="00E24206"/>
    <w:rsid w:val="00E2432C"/>
    <w:rsid w:val="00E24430"/>
    <w:rsid w:val="00E246C4"/>
    <w:rsid w:val="00E24D80"/>
    <w:rsid w:val="00E24D96"/>
    <w:rsid w:val="00E25AA9"/>
    <w:rsid w:val="00E25F2A"/>
    <w:rsid w:val="00E26C78"/>
    <w:rsid w:val="00E276AD"/>
    <w:rsid w:val="00E303B4"/>
    <w:rsid w:val="00E30E1A"/>
    <w:rsid w:val="00E311FA"/>
    <w:rsid w:val="00E313A1"/>
    <w:rsid w:val="00E31615"/>
    <w:rsid w:val="00E31E23"/>
    <w:rsid w:val="00E32277"/>
    <w:rsid w:val="00E322DF"/>
    <w:rsid w:val="00E32355"/>
    <w:rsid w:val="00E32452"/>
    <w:rsid w:val="00E3287A"/>
    <w:rsid w:val="00E329E0"/>
    <w:rsid w:val="00E32AE7"/>
    <w:rsid w:val="00E3387F"/>
    <w:rsid w:val="00E338B8"/>
    <w:rsid w:val="00E34788"/>
    <w:rsid w:val="00E349CB"/>
    <w:rsid w:val="00E34E51"/>
    <w:rsid w:val="00E358F3"/>
    <w:rsid w:val="00E35988"/>
    <w:rsid w:val="00E359F9"/>
    <w:rsid w:val="00E365C9"/>
    <w:rsid w:val="00E36759"/>
    <w:rsid w:val="00E36C2A"/>
    <w:rsid w:val="00E36C34"/>
    <w:rsid w:val="00E36C8E"/>
    <w:rsid w:val="00E36FFC"/>
    <w:rsid w:val="00E3702E"/>
    <w:rsid w:val="00E401F4"/>
    <w:rsid w:val="00E405B9"/>
    <w:rsid w:val="00E40CF6"/>
    <w:rsid w:val="00E40E8E"/>
    <w:rsid w:val="00E40F22"/>
    <w:rsid w:val="00E41012"/>
    <w:rsid w:val="00E4123E"/>
    <w:rsid w:val="00E41E8E"/>
    <w:rsid w:val="00E420C6"/>
    <w:rsid w:val="00E424D5"/>
    <w:rsid w:val="00E42611"/>
    <w:rsid w:val="00E42A86"/>
    <w:rsid w:val="00E43EED"/>
    <w:rsid w:val="00E43F97"/>
    <w:rsid w:val="00E44335"/>
    <w:rsid w:val="00E447E4"/>
    <w:rsid w:val="00E44BB8"/>
    <w:rsid w:val="00E451FD"/>
    <w:rsid w:val="00E45202"/>
    <w:rsid w:val="00E45511"/>
    <w:rsid w:val="00E455BE"/>
    <w:rsid w:val="00E45A81"/>
    <w:rsid w:val="00E45D30"/>
    <w:rsid w:val="00E460F4"/>
    <w:rsid w:val="00E46375"/>
    <w:rsid w:val="00E4670A"/>
    <w:rsid w:val="00E469B2"/>
    <w:rsid w:val="00E469B7"/>
    <w:rsid w:val="00E46C3E"/>
    <w:rsid w:val="00E47815"/>
    <w:rsid w:val="00E50193"/>
    <w:rsid w:val="00E504E3"/>
    <w:rsid w:val="00E50C1A"/>
    <w:rsid w:val="00E50D3A"/>
    <w:rsid w:val="00E50E90"/>
    <w:rsid w:val="00E51149"/>
    <w:rsid w:val="00E51630"/>
    <w:rsid w:val="00E525C0"/>
    <w:rsid w:val="00E52E7A"/>
    <w:rsid w:val="00E53157"/>
    <w:rsid w:val="00E53321"/>
    <w:rsid w:val="00E5406E"/>
    <w:rsid w:val="00E543C8"/>
    <w:rsid w:val="00E545F2"/>
    <w:rsid w:val="00E54621"/>
    <w:rsid w:val="00E546D4"/>
    <w:rsid w:val="00E5479B"/>
    <w:rsid w:val="00E551C1"/>
    <w:rsid w:val="00E55747"/>
    <w:rsid w:val="00E5673E"/>
    <w:rsid w:val="00E56C5E"/>
    <w:rsid w:val="00E56D51"/>
    <w:rsid w:val="00E5716C"/>
    <w:rsid w:val="00E5773B"/>
    <w:rsid w:val="00E6001C"/>
    <w:rsid w:val="00E602AD"/>
    <w:rsid w:val="00E60600"/>
    <w:rsid w:val="00E60DC1"/>
    <w:rsid w:val="00E614FF"/>
    <w:rsid w:val="00E6159E"/>
    <w:rsid w:val="00E61C18"/>
    <w:rsid w:val="00E62164"/>
    <w:rsid w:val="00E621DE"/>
    <w:rsid w:val="00E62822"/>
    <w:rsid w:val="00E62963"/>
    <w:rsid w:val="00E63050"/>
    <w:rsid w:val="00E638E6"/>
    <w:rsid w:val="00E64389"/>
    <w:rsid w:val="00E643CE"/>
    <w:rsid w:val="00E64429"/>
    <w:rsid w:val="00E644FB"/>
    <w:rsid w:val="00E64F6C"/>
    <w:rsid w:val="00E6533C"/>
    <w:rsid w:val="00E658B5"/>
    <w:rsid w:val="00E65B1F"/>
    <w:rsid w:val="00E65E11"/>
    <w:rsid w:val="00E665BA"/>
    <w:rsid w:val="00E66B14"/>
    <w:rsid w:val="00E674F4"/>
    <w:rsid w:val="00E70513"/>
    <w:rsid w:val="00E70808"/>
    <w:rsid w:val="00E70884"/>
    <w:rsid w:val="00E71366"/>
    <w:rsid w:val="00E71C95"/>
    <w:rsid w:val="00E71E8F"/>
    <w:rsid w:val="00E71ED7"/>
    <w:rsid w:val="00E7216D"/>
    <w:rsid w:val="00E72D95"/>
    <w:rsid w:val="00E7310E"/>
    <w:rsid w:val="00E7345A"/>
    <w:rsid w:val="00E73C92"/>
    <w:rsid w:val="00E74172"/>
    <w:rsid w:val="00E745C5"/>
    <w:rsid w:val="00E749B0"/>
    <w:rsid w:val="00E74A63"/>
    <w:rsid w:val="00E74AFE"/>
    <w:rsid w:val="00E74FCE"/>
    <w:rsid w:val="00E750FD"/>
    <w:rsid w:val="00E753B2"/>
    <w:rsid w:val="00E75423"/>
    <w:rsid w:val="00E75C2A"/>
    <w:rsid w:val="00E7648C"/>
    <w:rsid w:val="00E76773"/>
    <w:rsid w:val="00E77435"/>
    <w:rsid w:val="00E77BFC"/>
    <w:rsid w:val="00E77CBB"/>
    <w:rsid w:val="00E80148"/>
    <w:rsid w:val="00E812FF"/>
    <w:rsid w:val="00E815A2"/>
    <w:rsid w:val="00E81D2B"/>
    <w:rsid w:val="00E81FF9"/>
    <w:rsid w:val="00E82EE5"/>
    <w:rsid w:val="00E82F26"/>
    <w:rsid w:val="00E82F71"/>
    <w:rsid w:val="00E83A90"/>
    <w:rsid w:val="00E84159"/>
    <w:rsid w:val="00E841C1"/>
    <w:rsid w:val="00E8459E"/>
    <w:rsid w:val="00E84C9B"/>
    <w:rsid w:val="00E84DB5"/>
    <w:rsid w:val="00E84ECA"/>
    <w:rsid w:val="00E85263"/>
    <w:rsid w:val="00E85770"/>
    <w:rsid w:val="00E85EC5"/>
    <w:rsid w:val="00E85FA8"/>
    <w:rsid w:val="00E863D7"/>
    <w:rsid w:val="00E86625"/>
    <w:rsid w:val="00E86D05"/>
    <w:rsid w:val="00E87018"/>
    <w:rsid w:val="00E8796A"/>
    <w:rsid w:val="00E87EC0"/>
    <w:rsid w:val="00E901EF"/>
    <w:rsid w:val="00E90310"/>
    <w:rsid w:val="00E90D3D"/>
    <w:rsid w:val="00E9118D"/>
    <w:rsid w:val="00E913EC"/>
    <w:rsid w:val="00E91535"/>
    <w:rsid w:val="00E91BEA"/>
    <w:rsid w:val="00E91DB0"/>
    <w:rsid w:val="00E923A6"/>
    <w:rsid w:val="00E92495"/>
    <w:rsid w:val="00E927E7"/>
    <w:rsid w:val="00E93881"/>
    <w:rsid w:val="00E94205"/>
    <w:rsid w:val="00E94558"/>
    <w:rsid w:val="00E946C7"/>
    <w:rsid w:val="00E949F5"/>
    <w:rsid w:val="00E94E14"/>
    <w:rsid w:val="00E95BF5"/>
    <w:rsid w:val="00E964B2"/>
    <w:rsid w:val="00E96709"/>
    <w:rsid w:val="00E969F8"/>
    <w:rsid w:val="00E96A6B"/>
    <w:rsid w:val="00E96C77"/>
    <w:rsid w:val="00E9719C"/>
    <w:rsid w:val="00E97A27"/>
    <w:rsid w:val="00EA0AB9"/>
    <w:rsid w:val="00EA1B5D"/>
    <w:rsid w:val="00EA260C"/>
    <w:rsid w:val="00EA272E"/>
    <w:rsid w:val="00EA2EB0"/>
    <w:rsid w:val="00EA2EE2"/>
    <w:rsid w:val="00EA34DF"/>
    <w:rsid w:val="00EA3F26"/>
    <w:rsid w:val="00EA3F37"/>
    <w:rsid w:val="00EA463A"/>
    <w:rsid w:val="00EA4767"/>
    <w:rsid w:val="00EA4938"/>
    <w:rsid w:val="00EA4CC1"/>
    <w:rsid w:val="00EA4DD6"/>
    <w:rsid w:val="00EA51C8"/>
    <w:rsid w:val="00EA55E0"/>
    <w:rsid w:val="00EA57C1"/>
    <w:rsid w:val="00EA5D66"/>
    <w:rsid w:val="00EA5E7A"/>
    <w:rsid w:val="00EA61BF"/>
    <w:rsid w:val="00EA64DC"/>
    <w:rsid w:val="00EA6827"/>
    <w:rsid w:val="00EA68C4"/>
    <w:rsid w:val="00EA7A7D"/>
    <w:rsid w:val="00EA7F7D"/>
    <w:rsid w:val="00EA7F9F"/>
    <w:rsid w:val="00EB01D3"/>
    <w:rsid w:val="00EB08D3"/>
    <w:rsid w:val="00EB0919"/>
    <w:rsid w:val="00EB09A9"/>
    <w:rsid w:val="00EB0FBB"/>
    <w:rsid w:val="00EB19D6"/>
    <w:rsid w:val="00EB1D94"/>
    <w:rsid w:val="00EB21DC"/>
    <w:rsid w:val="00EB2B96"/>
    <w:rsid w:val="00EB2BEB"/>
    <w:rsid w:val="00EB2CBB"/>
    <w:rsid w:val="00EB32ED"/>
    <w:rsid w:val="00EB37FD"/>
    <w:rsid w:val="00EB4453"/>
    <w:rsid w:val="00EB4A2B"/>
    <w:rsid w:val="00EB51EF"/>
    <w:rsid w:val="00EB5338"/>
    <w:rsid w:val="00EB5FF8"/>
    <w:rsid w:val="00EB6290"/>
    <w:rsid w:val="00EB6518"/>
    <w:rsid w:val="00EB69BA"/>
    <w:rsid w:val="00EB6C1D"/>
    <w:rsid w:val="00EB6CEB"/>
    <w:rsid w:val="00EB7221"/>
    <w:rsid w:val="00EB7861"/>
    <w:rsid w:val="00EC03DD"/>
    <w:rsid w:val="00EC054A"/>
    <w:rsid w:val="00EC0A56"/>
    <w:rsid w:val="00EC13C0"/>
    <w:rsid w:val="00EC18AF"/>
    <w:rsid w:val="00EC2782"/>
    <w:rsid w:val="00EC2EE6"/>
    <w:rsid w:val="00EC3310"/>
    <w:rsid w:val="00EC36FB"/>
    <w:rsid w:val="00EC437B"/>
    <w:rsid w:val="00EC4C21"/>
    <w:rsid w:val="00EC4D2C"/>
    <w:rsid w:val="00EC5272"/>
    <w:rsid w:val="00EC5C92"/>
    <w:rsid w:val="00EC667E"/>
    <w:rsid w:val="00EC670C"/>
    <w:rsid w:val="00EC6727"/>
    <w:rsid w:val="00EC6B76"/>
    <w:rsid w:val="00EC6E19"/>
    <w:rsid w:val="00EC71F1"/>
    <w:rsid w:val="00EC74B1"/>
    <w:rsid w:val="00EC75EA"/>
    <w:rsid w:val="00EC7ABA"/>
    <w:rsid w:val="00EC7DA6"/>
    <w:rsid w:val="00ED0F81"/>
    <w:rsid w:val="00ED12AF"/>
    <w:rsid w:val="00ED19C3"/>
    <w:rsid w:val="00ED1BB6"/>
    <w:rsid w:val="00ED20B2"/>
    <w:rsid w:val="00ED20F2"/>
    <w:rsid w:val="00ED39B9"/>
    <w:rsid w:val="00ED3A1A"/>
    <w:rsid w:val="00ED3B24"/>
    <w:rsid w:val="00ED430D"/>
    <w:rsid w:val="00ED48AF"/>
    <w:rsid w:val="00ED5604"/>
    <w:rsid w:val="00ED5A14"/>
    <w:rsid w:val="00ED5C9A"/>
    <w:rsid w:val="00ED5F7A"/>
    <w:rsid w:val="00ED66D5"/>
    <w:rsid w:val="00ED6D2A"/>
    <w:rsid w:val="00ED78E1"/>
    <w:rsid w:val="00EE0A7E"/>
    <w:rsid w:val="00EE1C71"/>
    <w:rsid w:val="00EE2561"/>
    <w:rsid w:val="00EE258E"/>
    <w:rsid w:val="00EE2B62"/>
    <w:rsid w:val="00EE2CE7"/>
    <w:rsid w:val="00EE2F06"/>
    <w:rsid w:val="00EE3700"/>
    <w:rsid w:val="00EE3CE0"/>
    <w:rsid w:val="00EE4AF4"/>
    <w:rsid w:val="00EE52C2"/>
    <w:rsid w:val="00EE54EB"/>
    <w:rsid w:val="00EE5A2B"/>
    <w:rsid w:val="00EE6188"/>
    <w:rsid w:val="00EE63BB"/>
    <w:rsid w:val="00EE6DA3"/>
    <w:rsid w:val="00EE6EBD"/>
    <w:rsid w:val="00EE793C"/>
    <w:rsid w:val="00EF00A2"/>
    <w:rsid w:val="00EF0F12"/>
    <w:rsid w:val="00EF104B"/>
    <w:rsid w:val="00EF14F2"/>
    <w:rsid w:val="00EF15F2"/>
    <w:rsid w:val="00EF1EB5"/>
    <w:rsid w:val="00EF26EF"/>
    <w:rsid w:val="00EF26F5"/>
    <w:rsid w:val="00EF28BF"/>
    <w:rsid w:val="00EF3523"/>
    <w:rsid w:val="00EF375B"/>
    <w:rsid w:val="00EF3965"/>
    <w:rsid w:val="00EF39B9"/>
    <w:rsid w:val="00EF4040"/>
    <w:rsid w:val="00EF40CC"/>
    <w:rsid w:val="00EF5396"/>
    <w:rsid w:val="00EF563A"/>
    <w:rsid w:val="00EF596F"/>
    <w:rsid w:val="00EF5C20"/>
    <w:rsid w:val="00EF5FB6"/>
    <w:rsid w:val="00EF61A2"/>
    <w:rsid w:val="00EF6B67"/>
    <w:rsid w:val="00EF6CEB"/>
    <w:rsid w:val="00EF6D55"/>
    <w:rsid w:val="00EF707B"/>
    <w:rsid w:val="00EF7AA5"/>
    <w:rsid w:val="00EF7B17"/>
    <w:rsid w:val="00F000D7"/>
    <w:rsid w:val="00F002FD"/>
    <w:rsid w:val="00F00C69"/>
    <w:rsid w:val="00F00DD4"/>
    <w:rsid w:val="00F010E5"/>
    <w:rsid w:val="00F02177"/>
    <w:rsid w:val="00F02BA9"/>
    <w:rsid w:val="00F03EA2"/>
    <w:rsid w:val="00F051DE"/>
    <w:rsid w:val="00F058E2"/>
    <w:rsid w:val="00F05999"/>
    <w:rsid w:val="00F05BD5"/>
    <w:rsid w:val="00F05CE6"/>
    <w:rsid w:val="00F05E3A"/>
    <w:rsid w:val="00F06F53"/>
    <w:rsid w:val="00F070A3"/>
    <w:rsid w:val="00F07106"/>
    <w:rsid w:val="00F071B4"/>
    <w:rsid w:val="00F07367"/>
    <w:rsid w:val="00F0738A"/>
    <w:rsid w:val="00F0747D"/>
    <w:rsid w:val="00F07C4E"/>
    <w:rsid w:val="00F10087"/>
    <w:rsid w:val="00F10A2C"/>
    <w:rsid w:val="00F11364"/>
    <w:rsid w:val="00F1169A"/>
    <w:rsid w:val="00F127CD"/>
    <w:rsid w:val="00F128F3"/>
    <w:rsid w:val="00F12DC6"/>
    <w:rsid w:val="00F132E6"/>
    <w:rsid w:val="00F1363E"/>
    <w:rsid w:val="00F13954"/>
    <w:rsid w:val="00F139CC"/>
    <w:rsid w:val="00F13DFB"/>
    <w:rsid w:val="00F140E2"/>
    <w:rsid w:val="00F142EA"/>
    <w:rsid w:val="00F14C3A"/>
    <w:rsid w:val="00F1523B"/>
    <w:rsid w:val="00F153F6"/>
    <w:rsid w:val="00F15441"/>
    <w:rsid w:val="00F16589"/>
    <w:rsid w:val="00F16DA1"/>
    <w:rsid w:val="00F16E03"/>
    <w:rsid w:val="00F16EA3"/>
    <w:rsid w:val="00F17BCE"/>
    <w:rsid w:val="00F17DE1"/>
    <w:rsid w:val="00F20155"/>
    <w:rsid w:val="00F20757"/>
    <w:rsid w:val="00F20785"/>
    <w:rsid w:val="00F20CC9"/>
    <w:rsid w:val="00F2134C"/>
    <w:rsid w:val="00F2213A"/>
    <w:rsid w:val="00F22386"/>
    <w:rsid w:val="00F2299C"/>
    <w:rsid w:val="00F2385B"/>
    <w:rsid w:val="00F239D4"/>
    <w:rsid w:val="00F23C74"/>
    <w:rsid w:val="00F24348"/>
    <w:rsid w:val="00F24AC9"/>
    <w:rsid w:val="00F24CC6"/>
    <w:rsid w:val="00F26453"/>
    <w:rsid w:val="00F2655F"/>
    <w:rsid w:val="00F26830"/>
    <w:rsid w:val="00F26C87"/>
    <w:rsid w:val="00F26E70"/>
    <w:rsid w:val="00F27095"/>
    <w:rsid w:val="00F271A7"/>
    <w:rsid w:val="00F271BC"/>
    <w:rsid w:val="00F27231"/>
    <w:rsid w:val="00F272FA"/>
    <w:rsid w:val="00F27710"/>
    <w:rsid w:val="00F27D93"/>
    <w:rsid w:val="00F30932"/>
    <w:rsid w:val="00F30BC9"/>
    <w:rsid w:val="00F3136A"/>
    <w:rsid w:val="00F3160C"/>
    <w:rsid w:val="00F317CE"/>
    <w:rsid w:val="00F318B3"/>
    <w:rsid w:val="00F321AD"/>
    <w:rsid w:val="00F325AD"/>
    <w:rsid w:val="00F32733"/>
    <w:rsid w:val="00F329DB"/>
    <w:rsid w:val="00F33685"/>
    <w:rsid w:val="00F33D1A"/>
    <w:rsid w:val="00F33E24"/>
    <w:rsid w:val="00F33E4B"/>
    <w:rsid w:val="00F34623"/>
    <w:rsid w:val="00F34763"/>
    <w:rsid w:val="00F34986"/>
    <w:rsid w:val="00F34B5A"/>
    <w:rsid w:val="00F3535D"/>
    <w:rsid w:val="00F35DDE"/>
    <w:rsid w:val="00F35FD1"/>
    <w:rsid w:val="00F36506"/>
    <w:rsid w:val="00F3691D"/>
    <w:rsid w:val="00F3710D"/>
    <w:rsid w:val="00F3712F"/>
    <w:rsid w:val="00F37BA8"/>
    <w:rsid w:val="00F4020A"/>
    <w:rsid w:val="00F4048E"/>
    <w:rsid w:val="00F404D4"/>
    <w:rsid w:val="00F4094E"/>
    <w:rsid w:val="00F409C7"/>
    <w:rsid w:val="00F414EA"/>
    <w:rsid w:val="00F41B7E"/>
    <w:rsid w:val="00F41B97"/>
    <w:rsid w:val="00F42BC3"/>
    <w:rsid w:val="00F42E83"/>
    <w:rsid w:val="00F4323A"/>
    <w:rsid w:val="00F43400"/>
    <w:rsid w:val="00F440E7"/>
    <w:rsid w:val="00F44495"/>
    <w:rsid w:val="00F446F4"/>
    <w:rsid w:val="00F44845"/>
    <w:rsid w:val="00F456E6"/>
    <w:rsid w:val="00F45800"/>
    <w:rsid w:val="00F45D2B"/>
    <w:rsid w:val="00F4630A"/>
    <w:rsid w:val="00F46334"/>
    <w:rsid w:val="00F465A9"/>
    <w:rsid w:val="00F4676B"/>
    <w:rsid w:val="00F471BC"/>
    <w:rsid w:val="00F47DE1"/>
    <w:rsid w:val="00F47F1E"/>
    <w:rsid w:val="00F502FA"/>
    <w:rsid w:val="00F508D7"/>
    <w:rsid w:val="00F509E0"/>
    <w:rsid w:val="00F50B7E"/>
    <w:rsid w:val="00F50D6C"/>
    <w:rsid w:val="00F50F7E"/>
    <w:rsid w:val="00F51364"/>
    <w:rsid w:val="00F5156B"/>
    <w:rsid w:val="00F5181C"/>
    <w:rsid w:val="00F51A24"/>
    <w:rsid w:val="00F52841"/>
    <w:rsid w:val="00F52B75"/>
    <w:rsid w:val="00F53B69"/>
    <w:rsid w:val="00F5430C"/>
    <w:rsid w:val="00F54867"/>
    <w:rsid w:val="00F54D17"/>
    <w:rsid w:val="00F54D6F"/>
    <w:rsid w:val="00F54ECC"/>
    <w:rsid w:val="00F5554C"/>
    <w:rsid w:val="00F55689"/>
    <w:rsid w:val="00F556A3"/>
    <w:rsid w:val="00F556BD"/>
    <w:rsid w:val="00F55882"/>
    <w:rsid w:val="00F5677E"/>
    <w:rsid w:val="00F56DEB"/>
    <w:rsid w:val="00F575E1"/>
    <w:rsid w:val="00F57B56"/>
    <w:rsid w:val="00F57DFE"/>
    <w:rsid w:val="00F60577"/>
    <w:rsid w:val="00F60807"/>
    <w:rsid w:val="00F60A70"/>
    <w:rsid w:val="00F6100D"/>
    <w:rsid w:val="00F61860"/>
    <w:rsid w:val="00F6188A"/>
    <w:rsid w:val="00F6213A"/>
    <w:rsid w:val="00F6304C"/>
    <w:rsid w:val="00F63CB3"/>
    <w:rsid w:val="00F64C6D"/>
    <w:rsid w:val="00F64D62"/>
    <w:rsid w:val="00F651D0"/>
    <w:rsid w:val="00F654ED"/>
    <w:rsid w:val="00F6578F"/>
    <w:rsid w:val="00F662F3"/>
    <w:rsid w:val="00F667E4"/>
    <w:rsid w:val="00F66F22"/>
    <w:rsid w:val="00F67788"/>
    <w:rsid w:val="00F67DE0"/>
    <w:rsid w:val="00F7054B"/>
    <w:rsid w:val="00F705AB"/>
    <w:rsid w:val="00F7073B"/>
    <w:rsid w:val="00F71200"/>
    <w:rsid w:val="00F7183A"/>
    <w:rsid w:val="00F71C06"/>
    <w:rsid w:val="00F72007"/>
    <w:rsid w:val="00F722A2"/>
    <w:rsid w:val="00F722B9"/>
    <w:rsid w:val="00F723D8"/>
    <w:rsid w:val="00F72A60"/>
    <w:rsid w:val="00F7342D"/>
    <w:rsid w:val="00F7359C"/>
    <w:rsid w:val="00F73A86"/>
    <w:rsid w:val="00F73D22"/>
    <w:rsid w:val="00F73E06"/>
    <w:rsid w:val="00F74AB7"/>
    <w:rsid w:val="00F74B48"/>
    <w:rsid w:val="00F74C85"/>
    <w:rsid w:val="00F7596F"/>
    <w:rsid w:val="00F75E63"/>
    <w:rsid w:val="00F76160"/>
    <w:rsid w:val="00F763C7"/>
    <w:rsid w:val="00F76843"/>
    <w:rsid w:val="00F770CC"/>
    <w:rsid w:val="00F77407"/>
    <w:rsid w:val="00F77766"/>
    <w:rsid w:val="00F77A0E"/>
    <w:rsid w:val="00F80352"/>
    <w:rsid w:val="00F805E3"/>
    <w:rsid w:val="00F80610"/>
    <w:rsid w:val="00F806F3"/>
    <w:rsid w:val="00F80BE7"/>
    <w:rsid w:val="00F80ED0"/>
    <w:rsid w:val="00F816BD"/>
    <w:rsid w:val="00F81DC6"/>
    <w:rsid w:val="00F821B6"/>
    <w:rsid w:val="00F82233"/>
    <w:rsid w:val="00F826FA"/>
    <w:rsid w:val="00F8299E"/>
    <w:rsid w:val="00F83A02"/>
    <w:rsid w:val="00F84801"/>
    <w:rsid w:val="00F8496D"/>
    <w:rsid w:val="00F84A99"/>
    <w:rsid w:val="00F84AA0"/>
    <w:rsid w:val="00F84C0D"/>
    <w:rsid w:val="00F85B9F"/>
    <w:rsid w:val="00F8610C"/>
    <w:rsid w:val="00F86253"/>
    <w:rsid w:val="00F86415"/>
    <w:rsid w:val="00F865C7"/>
    <w:rsid w:val="00F87392"/>
    <w:rsid w:val="00F876C1"/>
    <w:rsid w:val="00F87A0D"/>
    <w:rsid w:val="00F87D87"/>
    <w:rsid w:val="00F87F98"/>
    <w:rsid w:val="00F9017A"/>
    <w:rsid w:val="00F90397"/>
    <w:rsid w:val="00F90598"/>
    <w:rsid w:val="00F908AA"/>
    <w:rsid w:val="00F90E81"/>
    <w:rsid w:val="00F9130D"/>
    <w:rsid w:val="00F91FA8"/>
    <w:rsid w:val="00F922C5"/>
    <w:rsid w:val="00F92540"/>
    <w:rsid w:val="00F92C6C"/>
    <w:rsid w:val="00F93877"/>
    <w:rsid w:val="00F93A97"/>
    <w:rsid w:val="00F93DBB"/>
    <w:rsid w:val="00F93F66"/>
    <w:rsid w:val="00F9405A"/>
    <w:rsid w:val="00F943DD"/>
    <w:rsid w:val="00F9474F"/>
    <w:rsid w:val="00F948B5"/>
    <w:rsid w:val="00F955D4"/>
    <w:rsid w:val="00F95A4F"/>
    <w:rsid w:val="00F95C2A"/>
    <w:rsid w:val="00F95EC9"/>
    <w:rsid w:val="00F966E7"/>
    <w:rsid w:val="00F96DBA"/>
    <w:rsid w:val="00F96FAF"/>
    <w:rsid w:val="00F971A6"/>
    <w:rsid w:val="00F9755F"/>
    <w:rsid w:val="00FA00BD"/>
    <w:rsid w:val="00FA06F2"/>
    <w:rsid w:val="00FA18AB"/>
    <w:rsid w:val="00FA1A3A"/>
    <w:rsid w:val="00FA1A93"/>
    <w:rsid w:val="00FA1D49"/>
    <w:rsid w:val="00FA1EBC"/>
    <w:rsid w:val="00FA27BD"/>
    <w:rsid w:val="00FA3169"/>
    <w:rsid w:val="00FA34F4"/>
    <w:rsid w:val="00FA3758"/>
    <w:rsid w:val="00FA3D72"/>
    <w:rsid w:val="00FA4F97"/>
    <w:rsid w:val="00FA535F"/>
    <w:rsid w:val="00FA58F8"/>
    <w:rsid w:val="00FA5ECD"/>
    <w:rsid w:val="00FA5F6F"/>
    <w:rsid w:val="00FA68F7"/>
    <w:rsid w:val="00FA704C"/>
    <w:rsid w:val="00FA7FA3"/>
    <w:rsid w:val="00FB0793"/>
    <w:rsid w:val="00FB0CB0"/>
    <w:rsid w:val="00FB1036"/>
    <w:rsid w:val="00FB112F"/>
    <w:rsid w:val="00FB1657"/>
    <w:rsid w:val="00FB1995"/>
    <w:rsid w:val="00FB1D6A"/>
    <w:rsid w:val="00FB1DEA"/>
    <w:rsid w:val="00FB214F"/>
    <w:rsid w:val="00FB23AD"/>
    <w:rsid w:val="00FB273A"/>
    <w:rsid w:val="00FB33FC"/>
    <w:rsid w:val="00FB4652"/>
    <w:rsid w:val="00FB4972"/>
    <w:rsid w:val="00FB4977"/>
    <w:rsid w:val="00FB4C25"/>
    <w:rsid w:val="00FB4E75"/>
    <w:rsid w:val="00FB5646"/>
    <w:rsid w:val="00FB574F"/>
    <w:rsid w:val="00FB5F0C"/>
    <w:rsid w:val="00FB62B5"/>
    <w:rsid w:val="00FB64FE"/>
    <w:rsid w:val="00FB682D"/>
    <w:rsid w:val="00FB6DBE"/>
    <w:rsid w:val="00FB7CBF"/>
    <w:rsid w:val="00FC00D4"/>
    <w:rsid w:val="00FC019C"/>
    <w:rsid w:val="00FC0269"/>
    <w:rsid w:val="00FC044A"/>
    <w:rsid w:val="00FC0D28"/>
    <w:rsid w:val="00FC0E03"/>
    <w:rsid w:val="00FC12B4"/>
    <w:rsid w:val="00FC1B9B"/>
    <w:rsid w:val="00FC1D03"/>
    <w:rsid w:val="00FC1D6F"/>
    <w:rsid w:val="00FC2A30"/>
    <w:rsid w:val="00FC323B"/>
    <w:rsid w:val="00FC42C2"/>
    <w:rsid w:val="00FC434F"/>
    <w:rsid w:val="00FC481C"/>
    <w:rsid w:val="00FC4D80"/>
    <w:rsid w:val="00FC4DA9"/>
    <w:rsid w:val="00FC4E86"/>
    <w:rsid w:val="00FC50A2"/>
    <w:rsid w:val="00FC5675"/>
    <w:rsid w:val="00FC5991"/>
    <w:rsid w:val="00FC6001"/>
    <w:rsid w:val="00FC63DB"/>
    <w:rsid w:val="00FC6875"/>
    <w:rsid w:val="00FD0723"/>
    <w:rsid w:val="00FD254B"/>
    <w:rsid w:val="00FD2B2F"/>
    <w:rsid w:val="00FD36EF"/>
    <w:rsid w:val="00FD38AF"/>
    <w:rsid w:val="00FD3962"/>
    <w:rsid w:val="00FD4610"/>
    <w:rsid w:val="00FD47BA"/>
    <w:rsid w:val="00FD48DF"/>
    <w:rsid w:val="00FD49A9"/>
    <w:rsid w:val="00FD4B94"/>
    <w:rsid w:val="00FD50E5"/>
    <w:rsid w:val="00FD583D"/>
    <w:rsid w:val="00FD5CE6"/>
    <w:rsid w:val="00FD6570"/>
    <w:rsid w:val="00FD6592"/>
    <w:rsid w:val="00FD65CD"/>
    <w:rsid w:val="00FD6F22"/>
    <w:rsid w:val="00FD75BA"/>
    <w:rsid w:val="00FD79A3"/>
    <w:rsid w:val="00FD7CBB"/>
    <w:rsid w:val="00FD7F6E"/>
    <w:rsid w:val="00FE058B"/>
    <w:rsid w:val="00FE05E5"/>
    <w:rsid w:val="00FE064D"/>
    <w:rsid w:val="00FE1890"/>
    <w:rsid w:val="00FE2392"/>
    <w:rsid w:val="00FE27EE"/>
    <w:rsid w:val="00FE2971"/>
    <w:rsid w:val="00FE3A49"/>
    <w:rsid w:val="00FE3C37"/>
    <w:rsid w:val="00FE3EB5"/>
    <w:rsid w:val="00FE4F2E"/>
    <w:rsid w:val="00FE527C"/>
    <w:rsid w:val="00FE552D"/>
    <w:rsid w:val="00FE5697"/>
    <w:rsid w:val="00FE5A48"/>
    <w:rsid w:val="00FE691E"/>
    <w:rsid w:val="00FE6E50"/>
    <w:rsid w:val="00FE7503"/>
    <w:rsid w:val="00FE7817"/>
    <w:rsid w:val="00FE7AD4"/>
    <w:rsid w:val="00FE7CC7"/>
    <w:rsid w:val="00FF029C"/>
    <w:rsid w:val="00FF03A2"/>
    <w:rsid w:val="00FF045D"/>
    <w:rsid w:val="00FF060E"/>
    <w:rsid w:val="00FF07FF"/>
    <w:rsid w:val="00FF092B"/>
    <w:rsid w:val="00FF0951"/>
    <w:rsid w:val="00FF1108"/>
    <w:rsid w:val="00FF158E"/>
    <w:rsid w:val="00FF1867"/>
    <w:rsid w:val="00FF1E62"/>
    <w:rsid w:val="00FF21D7"/>
    <w:rsid w:val="00FF247A"/>
    <w:rsid w:val="00FF2987"/>
    <w:rsid w:val="00FF3239"/>
    <w:rsid w:val="00FF3E17"/>
    <w:rsid w:val="00FF3FE4"/>
    <w:rsid w:val="00FF4316"/>
    <w:rsid w:val="00FF4450"/>
    <w:rsid w:val="00FF49E1"/>
    <w:rsid w:val="00FF4ACE"/>
    <w:rsid w:val="00FF534C"/>
    <w:rsid w:val="00FF5CA3"/>
    <w:rsid w:val="00FF641F"/>
    <w:rsid w:val="00FF668F"/>
    <w:rsid w:val="00FF6AEA"/>
    <w:rsid w:val="00FF6DDC"/>
    <w:rsid w:val="00FF6EE4"/>
    <w:rsid w:val="00FF6FCD"/>
    <w:rsid w:val="00FF70C2"/>
    <w:rsid w:val="00FF7120"/>
    <w:rsid w:val="00FF72A9"/>
    <w:rsid w:val="00FF754F"/>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DA691"/>
  <w15:docId w15:val="{958FA516-C07E-4E3D-80C2-7EAADDBC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902"/>
    <w:pPr>
      <w:widowControl w:val="0"/>
      <w:suppressAutoHyphens/>
    </w:pPr>
    <w:rPr>
      <w:sz w:val="24"/>
      <w:lang w:eastAsia="ar-SA"/>
    </w:rPr>
  </w:style>
  <w:style w:type="paragraph" w:styleId="Heading1">
    <w:name w:val="heading 1"/>
    <w:basedOn w:val="Normal"/>
    <w:next w:val="Normal"/>
    <w:qFormat/>
    <w:pPr>
      <w:keepNext/>
      <w:numPr>
        <w:numId w:val="1"/>
      </w:numPr>
      <w:tabs>
        <w:tab w:val="left" w:pos="240"/>
        <w:tab w:val="left" w:pos="540"/>
        <w:tab w:val="left" w:pos="7110"/>
        <w:tab w:val="left" w:pos="7650"/>
        <w:tab w:val="left" w:pos="8550"/>
      </w:tabs>
      <w:jc w:val="both"/>
      <w:outlineLvl w:val="0"/>
    </w:pPr>
    <w:rPr>
      <w:b/>
      <w:sz w:val="28"/>
    </w:rPr>
  </w:style>
  <w:style w:type="paragraph" w:styleId="Heading2">
    <w:name w:val="heading 2"/>
    <w:basedOn w:val="Normal"/>
    <w:next w:val="Normal"/>
    <w:qFormat/>
    <w:pPr>
      <w:keepNext/>
      <w:numPr>
        <w:ilvl w:val="1"/>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s>
      <w:outlineLvl w:val="1"/>
    </w:pPr>
    <w:rPr>
      <w:b/>
    </w:rPr>
  </w:style>
  <w:style w:type="paragraph" w:styleId="Heading3">
    <w:name w:val="heading 3"/>
    <w:basedOn w:val="Normal"/>
    <w:next w:val="Normal"/>
    <w:qFormat/>
    <w:pPr>
      <w:keepNext/>
      <w:numPr>
        <w:ilvl w:val="2"/>
        <w:numId w:val="1"/>
      </w:numPr>
      <w:tabs>
        <w:tab w:val="left" w:pos="240"/>
        <w:tab w:val="left" w:pos="540"/>
        <w:tab w:val="left" w:pos="7110"/>
        <w:tab w:val="left" w:pos="7650"/>
        <w:tab w:val="left" w:pos="8550"/>
      </w:tabs>
      <w:outlineLvl w:val="2"/>
    </w:pPr>
    <w:rPr>
      <w:b/>
      <w:sz w:val="22"/>
    </w:rPr>
  </w:style>
  <w:style w:type="paragraph" w:styleId="Heading4">
    <w:name w:val="heading 4"/>
    <w:basedOn w:val="Normal"/>
    <w:next w:val="Normal"/>
    <w:qFormat/>
    <w:pPr>
      <w:keepNext/>
      <w:numPr>
        <w:ilvl w:val="3"/>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s>
      <w:jc w:val="center"/>
      <w:outlineLvl w:val="3"/>
    </w:pPr>
    <w:rPr>
      <w:b/>
    </w:rPr>
  </w:style>
  <w:style w:type="paragraph" w:styleId="Heading5">
    <w:name w:val="heading 5"/>
    <w:basedOn w:val="Normal"/>
    <w:next w:val="Normal"/>
    <w:qFormat/>
    <w:pPr>
      <w:keepNext/>
      <w:numPr>
        <w:ilvl w:val="4"/>
        <w:numId w:val="1"/>
      </w:numPr>
      <w:tabs>
        <w:tab w:val="left" w:pos="240"/>
        <w:tab w:val="left" w:pos="540"/>
        <w:tab w:val="left" w:pos="7110"/>
        <w:tab w:val="left" w:pos="7650"/>
        <w:tab w:val="left" w:pos="8550"/>
      </w:tabs>
      <w:ind w:right="-204"/>
      <w:outlineLvl w:val="4"/>
    </w:pPr>
    <w:rPr>
      <w:b/>
      <w:sz w:val="22"/>
    </w:rPr>
  </w:style>
  <w:style w:type="paragraph" w:styleId="Heading6">
    <w:name w:val="heading 6"/>
    <w:basedOn w:val="Normal"/>
    <w:next w:val="Normal"/>
    <w:qFormat/>
    <w:pPr>
      <w:keepNext/>
      <w:numPr>
        <w:ilvl w:val="5"/>
        <w:numId w:val="1"/>
      </w:numPr>
      <w:outlineLvl w:val="5"/>
    </w:pPr>
    <w:rPr>
      <w:b/>
      <w:i/>
      <w:sz w:val="36"/>
    </w:rPr>
  </w:style>
  <w:style w:type="paragraph" w:styleId="Heading7">
    <w:name w:val="heading 7"/>
    <w:basedOn w:val="Normal"/>
    <w:next w:val="Normal"/>
    <w:qFormat/>
    <w:pPr>
      <w:keepNext/>
      <w:numPr>
        <w:ilvl w:val="6"/>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6"/>
    </w:pPr>
    <w:rPr>
      <w:b/>
      <w:iCs/>
      <w:sz w:val="32"/>
    </w:rPr>
  </w:style>
  <w:style w:type="paragraph" w:styleId="Heading8">
    <w:name w:val="heading 8"/>
    <w:basedOn w:val="Normal"/>
    <w:next w:val="Normal"/>
    <w:qFormat/>
    <w:pPr>
      <w:keepNext/>
      <w:numPr>
        <w:ilvl w:val="7"/>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pPr>
    <w:rPr>
      <w:b/>
    </w:rPr>
  </w:style>
  <w:style w:type="paragraph" w:styleId="Heading9">
    <w:name w:val="heading 9"/>
    <w:basedOn w:val="Normal"/>
    <w:next w:val="Normal"/>
    <w:qFormat/>
    <w:pPr>
      <w:keepNext/>
      <w:numPr>
        <w:ilvl w:val="8"/>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8"/>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1">
    <w:name w:val="WW8Num13z1"/>
    <w:rPr>
      <w:rFonts w:ascii="Wingdings" w:hAnsi="Wingdings"/>
    </w:rPr>
  </w:style>
  <w:style w:type="character" w:customStyle="1" w:styleId="WW8Num15z0">
    <w:name w:val="WW8Num15z0"/>
    <w:rPr>
      <w:b/>
      <w:i w:val="0"/>
      <w:color w:val="7AB800"/>
      <w:sz w:val="24"/>
      <w:szCs w:val="20"/>
    </w:rPr>
  </w:style>
  <w:style w:type="character" w:customStyle="1" w:styleId="WW8Num15z3">
    <w:name w:val="WW8Num15z3"/>
    <w:rPr>
      <w:b/>
      <w:i w:val="0"/>
      <w:color w:val="083863"/>
      <w:sz w:val="20"/>
      <w:szCs w:val="20"/>
    </w:rPr>
  </w:style>
  <w:style w:type="character" w:customStyle="1" w:styleId="WW8Num16z1">
    <w:name w:val="WW8Num16z1"/>
    <w:rPr>
      <w:rFonts w:ascii="Wingdings" w:hAnsi="Wingdings"/>
    </w:rPr>
  </w:style>
  <w:style w:type="character" w:customStyle="1" w:styleId="WW8Num17z0">
    <w:name w:val="WW8Num17z0"/>
    <w:rPr>
      <w:b/>
    </w:rPr>
  </w:style>
  <w:style w:type="character" w:customStyle="1" w:styleId="WW8Num18z0">
    <w:name w:val="WW8Num18z0"/>
    <w:rPr>
      <w:rFonts w:ascii="Arial" w:hAnsi="Arial" w:cs="Arial"/>
      <w:color w:val="auto"/>
      <w:sz w:val="20"/>
    </w:rPr>
  </w:style>
  <w:style w:type="character" w:customStyle="1" w:styleId="WW8Num19z0">
    <w:name w:val="WW8Num19z0"/>
    <w:rPr>
      <w:rFonts w:ascii="Arial Black" w:hAnsi="Arial Black"/>
      <w:sz w:val="24"/>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5z0">
    <w:name w:val="WW8Num25z0"/>
    <w:rPr>
      <w:b/>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Times New Roman"/>
    </w:rPr>
  </w:style>
  <w:style w:type="character" w:customStyle="1" w:styleId="WW8Num33z3">
    <w:name w:val="WW8Num33z3"/>
    <w:rPr>
      <w:rFonts w:ascii="Symbol" w:hAnsi="Symbol" w:cs="Times New Roman"/>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2z1">
    <w:name w:val="WW8Num42z1"/>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b w:val="0"/>
    </w:rPr>
  </w:style>
  <w:style w:type="character" w:customStyle="1" w:styleId="WW8Num48z0">
    <w:name w:val="WW8Num48z0"/>
    <w:rPr>
      <w:sz w:val="20"/>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Times New Roman" w:hAnsi="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New Roman" w:hAnsi="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b w:val="0"/>
      <w:i w:val="0"/>
      <w:sz w:val="24"/>
      <w:u w:val="none"/>
    </w:rPr>
  </w:style>
  <w:style w:type="character" w:customStyle="1" w:styleId="WW8Num53z3">
    <w:name w:val="WW8Num53z3"/>
    <w:rPr>
      <w:rFonts w:ascii="Times New Roman" w:hAnsi="Times New Roman"/>
      <w:b w:val="0"/>
      <w:i w:val="0"/>
      <w:sz w:val="24"/>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sz w:val="18"/>
    </w:rPr>
  </w:style>
  <w:style w:type="character" w:customStyle="1" w:styleId="WW8Num57z0">
    <w:name w:val="WW8Num57z0"/>
    <w:rPr>
      <w:rFonts w:ascii="Symbol" w:hAnsi="Symbol"/>
      <w:sz w:val="20"/>
    </w:rPr>
  </w:style>
  <w:style w:type="character" w:customStyle="1" w:styleId="WW8Num57z1">
    <w:name w:val="WW8Num57z1"/>
    <w:rPr>
      <w:rFonts w:ascii="Courier New" w:hAnsi="Courier New"/>
      <w:sz w:val="20"/>
    </w:rPr>
  </w:style>
  <w:style w:type="character" w:customStyle="1" w:styleId="WW8Num57z2">
    <w:name w:val="WW8Num57z2"/>
    <w:rPr>
      <w:rFonts w:ascii="Wingdings" w:hAnsi="Wingdings"/>
      <w:sz w:val="20"/>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3z0">
    <w:name w:val="WW8Num63z0"/>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Wingdings" w:hAnsi="Wingdings"/>
    </w:rPr>
  </w:style>
  <w:style w:type="character" w:customStyle="1" w:styleId="WW8Num84z1">
    <w:name w:val="WW8Num84z1"/>
    <w:rPr>
      <w:rFonts w:ascii="Courier New" w:hAnsi="Courier New"/>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Symbol" w:hAnsi="Symbol"/>
    </w:rPr>
  </w:style>
  <w:style w:type="character" w:customStyle="1" w:styleId="WW8Num88z1">
    <w:name w:val="WW8Num88z1"/>
    <w:rPr>
      <w:rFonts w:ascii="Wingdings" w:eastAsia="Times New Roman" w:hAnsi="Wingdings" w:cs="Arial"/>
    </w:rPr>
  </w:style>
  <w:style w:type="character" w:customStyle="1" w:styleId="WW8Num88z2">
    <w:name w:val="WW8Num88z2"/>
    <w:rPr>
      <w:rFonts w:ascii="Times New Roman" w:eastAsia="Times New Roman" w:hAnsi="Times New Roman" w:cs="Times New Roman"/>
    </w:rPr>
  </w:style>
  <w:style w:type="character" w:customStyle="1" w:styleId="WW8Num88z4">
    <w:name w:val="WW8Num88z4"/>
    <w:rPr>
      <w:rFonts w:ascii="Courier New" w:hAnsi="Courier New"/>
    </w:rPr>
  </w:style>
  <w:style w:type="character" w:customStyle="1" w:styleId="WW8Num88z5">
    <w:name w:val="WW8Num88z5"/>
    <w:rPr>
      <w:rFonts w:ascii="Wingdings" w:hAnsi="Wingdings"/>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Symbol" w:hAnsi="Symbol"/>
    </w:rPr>
  </w:style>
  <w:style w:type="character" w:customStyle="1" w:styleId="WW8Num91z0">
    <w:name w:val="WW8Num91z0"/>
    <w:rPr>
      <w:rFonts w:ascii="Symbol" w:hAnsi="Symbol"/>
    </w:rPr>
  </w:style>
  <w:style w:type="character" w:customStyle="1" w:styleId="WW8Num91z1">
    <w:name w:val="WW8Num91z1"/>
    <w:rPr>
      <w:rFonts w:ascii="Courier New" w:hAnsi="Courier New"/>
    </w:rPr>
  </w:style>
  <w:style w:type="character" w:customStyle="1" w:styleId="WW8Num91z2">
    <w:name w:val="WW8Num91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Symbol" w:hAnsi="Symbol"/>
    </w:rPr>
  </w:style>
  <w:style w:type="character" w:customStyle="1" w:styleId="WW8Num99z0">
    <w:name w:val="WW8Num99z0"/>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rPr>
  </w:style>
  <w:style w:type="character" w:customStyle="1" w:styleId="WW8Num100z2">
    <w:name w:val="WW8Num100z2"/>
    <w:rPr>
      <w:rFonts w:ascii="Wingdings" w:hAnsi="Wingdings"/>
    </w:rPr>
  </w:style>
  <w:style w:type="character" w:customStyle="1" w:styleId="WW8Num101z0">
    <w:name w:val="WW8Num101z0"/>
    <w:rPr>
      <w:rFonts w:ascii="Arial" w:hAnsi="Arial" w:cs="Arial"/>
      <w:color w:val="auto"/>
      <w:sz w:val="20"/>
    </w:rPr>
  </w:style>
  <w:style w:type="character" w:customStyle="1" w:styleId="WW8Num102z0">
    <w:name w:val="WW8Num102z0"/>
    <w:rPr>
      <w:rFonts w:ascii="Arial" w:hAnsi="Arial" w:cs="Arial"/>
      <w:color w:val="auto"/>
      <w:sz w:val="20"/>
    </w:rPr>
  </w:style>
  <w:style w:type="character" w:customStyle="1" w:styleId="WW8Num103z0">
    <w:name w:val="WW8Num103z0"/>
    <w:rPr>
      <w:rFonts w:ascii="Symbol" w:hAnsi="Symbol"/>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5z0">
    <w:name w:val="WW8Num105z0"/>
    <w:rPr>
      <w:rFonts w:ascii="Symbol" w:hAnsi="Symbol"/>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6z0">
    <w:name w:val="WW8Num106z0"/>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2z0">
    <w:name w:val="WW8Num112z0"/>
    <w:rPr>
      <w:rFonts w:ascii="Symbol" w:hAnsi="Symbol"/>
    </w:rPr>
  </w:style>
  <w:style w:type="character" w:customStyle="1" w:styleId="WW8Num112z1">
    <w:name w:val="WW8Num112z1"/>
    <w:rPr>
      <w:rFonts w:ascii="Courier New" w:hAnsi="Courier New"/>
    </w:rPr>
  </w:style>
  <w:style w:type="character" w:customStyle="1" w:styleId="WW8Num112z2">
    <w:name w:val="WW8Num112z2"/>
    <w:rPr>
      <w:rFonts w:ascii="Wingdings" w:hAnsi="Wingdings"/>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6z0">
    <w:name w:val="WW8Num116z0"/>
    <w:rPr>
      <w:rFonts w:ascii="Symbol" w:hAnsi="Symbol"/>
    </w:rPr>
  </w:style>
  <w:style w:type="character" w:customStyle="1" w:styleId="WW8Num116z1">
    <w:name w:val="WW8Num116z1"/>
    <w:rPr>
      <w:rFonts w:ascii="Courier New" w:hAnsi="Courier New"/>
    </w:rPr>
  </w:style>
  <w:style w:type="character" w:customStyle="1" w:styleId="WW8Num116z2">
    <w:name w:val="WW8Num116z2"/>
    <w:rPr>
      <w:rFonts w:ascii="Wingdings" w:hAnsi="Wingdings"/>
    </w:rPr>
  </w:style>
  <w:style w:type="character" w:customStyle="1" w:styleId="WW8Num119z0">
    <w:name w:val="WW8Num119z0"/>
    <w:rPr>
      <w:b/>
      <w:i w:val="0"/>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5z0">
    <w:name w:val="WW8Num125z0"/>
    <w:rPr>
      <w:rFonts w:ascii="Symbol" w:hAnsi="Symbol"/>
    </w:rPr>
  </w:style>
  <w:style w:type="character" w:customStyle="1" w:styleId="WW8Num125z1">
    <w:name w:val="WW8Num125z1"/>
    <w:rPr>
      <w:rFonts w:ascii="Courier New" w:hAnsi="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7z0">
    <w:name w:val="WW8Num127z0"/>
    <w:rPr>
      <w:rFonts w:ascii="Wingdings" w:hAnsi="Wingdings"/>
    </w:rPr>
  </w:style>
  <w:style w:type="character" w:customStyle="1" w:styleId="WW8Num127z1">
    <w:name w:val="WW8Num127z1"/>
    <w:rPr>
      <w:rFonts w:ascii="Times New Roman" w:eastAsia="Times New Roman" w:hAnsi="Times New Roman" w:cs="Times New Roman"/>
    </w:rPr>
  </w:style>
  <w:style w:type="character" w:customStyle="1" w:styleId="WW8Num127z3">
    <w:name w:val="WW8Num127z3"/>
    <w:rPr>
      <w:rFonts w:ascii="Symbol" w:hAnsi="Symbol"/>
    </w:rPr>
  </w:style>
  <w:style w:type="character" w:customStyle="1" w:styleId="WW8Num127z4">
    <w:name w:val="WW8Num127z4"/>
    <w:rPr>
      <w:rFonts w:ascii="Courier New" w:hAnsi="Courier New"/>
    </w:rPr>
  </w:style>
  <w:style w:type="character" w:customStyle="1" w:styleId="WW8Num130z0">
    <w:name w:val="WW8Num130z0"/>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rPr>
  </w:style>
  <w:style w:type="character" w:customStyle="1" w:styleId="WW8Num132z0">
    <w:name w:val="WW8Num132z0"/>
    <w:rPr>
      <w:rFonts w:ascii="Wingdings" w:hAnsi="Wingdings"/>
    </w:rPr>
  </w:style>
  <w:style w:type="character" w:customStyle="1" w:styleId="WW8Num132z1">
    <w:name w:val="WW8Num132z1"/>
    <w:rPr>
      <w:rFonts w:ascii="Courier New" w:hAnsi="Courier New"/>
    </w:rPr>
  </w:style>
  <w:style w:type="character" w:customStyle="1" w:styleId="WW8Num132z3">
    <w:name w:val="WW8Num132z3"/>
    <w:rPr>
      <w:rFonts w:ascii="Symbol" w:hAnsi="Symbol"/>
    </w:rPr>
  </w:style>
  <w:style w:type="character" w:customStyle="1" w:styleId="WW8Num133z0">
    <w:name w:val="WW8Num133z0"/>
    <w:rPr>
      <w:rFonts w:ascii="Symbol" w:hAnsi="Symbol"/>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4z0">
    <w:name w:val="WW8Num134z0"/>
    <w:rPr>
      <w:rFonts w:ascii="Symbol" w:hAnsi="Symbol"/>
    </w:rPr>
  </w:style>
  <w:style w:type="character" w:customStyle="1" w:styleId="WW8Num134z1">
    <w:name w:val="WW8Num134z1"/>
    <w:rPr>
      <w:rFonts w:ascii="Courier New" w:hAnsi="Courier New"/>
    </w:rPr>
  </w:style>
  <w:style w:type="character" w:customStyle="1" w:styleId="WW8Num134z2">
    <w:name w:val="WW8Num134z2"/>
    <w:rPr>
      <w:rFonts w:ascii="Wingdings" w:hAnsi="Wingdings"/>
    </w:rPr>
  </w:style>
  <w:style w:type="character" w:customStyle="1" w:styleId="WW8Num135z0">
    <w:name w:val="WW8Num135z0"/>
    <w:rPr>
      <w:rFonts w:ascii="Symbol" w:hAnsi="Symbol"/>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rPr>
  </w:style>
  <w:style w:type="character" w:customStyle="1" w:styleId="WW8Num138z2">
    <w:name w:val="WW8Num138z2"/>
    <w:rPr>
      <w:rFonts w:ascii="Wingdings" w:hAnsi="Wingdings"/>
    </w:rPr>
  </w:style>
  <w:style w:type="character" w:customStyle="1" w:styleId="WW8Num140z1">
    <w:name w:val="WW8Num140z1"/>
    <w:rPr>
      <w:rFonts w:ascii="Symbol" w:hAnsi="Symbol"/>
    </w:rPr>
  </w:style>
  <w:style w:type="character" w:customStyle="1" w:styleId="WW8Num141z0">
    <w:name w:val="WW8Num141z0"/>
    <w:rPr>
      <w:rFonts w:ascii="Symbol" w:hAnsi="Symbol"/>
    </w:rPr>
  </w:style>
  <w:style w:type="character" w:customStyle="1" w:styleId="WW8Num141z2">
    <w:name w:val="WW8Num141z2"/>
    <w:rPr>
      <w:rFonts w:ascii="Wingdings" w:hAnsi="Wingdings"/>
    </w:rPr>
  </w:style>
  <w:style w:type="character" w:customStyle="1" w:styleId="WW8Num141z4">
    <w:name w:val="WW8Num141z4"/>
    <w:rPr>
      <w:rFonts w:ascii="Courier New" w:hAnsi="Courier New"/>
    </w:rPr>
  </w:style>
  <w:style w:type="character" w:customStyle="1" w:styleId="WW8Num142z0">
    <w:name w:val="WW8Num142z0"/>
    <w:rPr>
      <w:rFonts w:ascii="Arial" w:hAnsi="Arial" w:cs="Arial"/>
      <w:color w:val="auto"/>
      <w:sz w:val="20"/>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Symbol" w:hAnsi="Symbol"/>
    </w:rPr>
  </w:style>
  <w:style w:type="character" w:customStyle="1" w:styleId="WW8Num144z1">
    <w:name w:val="WW8Num144z1"/>
    <w:rPr>
      <w:rFonts w:ascii="Courier New" w:hAnsi="Courier New"/>
    </w:rPr>
  </w:style>
  <w:style w:type="character" w:customStyle="1" w:styleId="WW8Num144z2">
    <w:name w:val="WW8Num144z2"/>
    <w:rPr>
      <w:rFonts w:ascii="Wingdings" w:hAnsi="Wingdings"/>
    </w:rPr>
  </w:style>
  <w:style w:type="character" w:customStyle="1" w:styleId="WW8Num146z0">
    <w:name w:val="WW8Num146z0"/>
    <w:rPr>
      <w:rFonts w:ascii="Symbol" w:hAnsi="Symbol"/>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FootnoteCharacters">
    <w:name w:val="Footnote Characters"/>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semiHidden/>
    <w:pPr>
      <w:tabs>
        <w:tab w:val="left" w:pos="-1440"/>
        <w:tab w:val="left" w:pos="-720"/>
        <w:tab w:val="left" w:pos="0"/>
        <w:tab w:val="decimal" w:pos="780"/>
      </w:tabs>
      <w:jc w:val="both"/>
    </w:pPr>
    <w:rPr>
      <w:strike/>
    </w:rPr>
  </w:style>
  <w:style w:type="paragraph" w:styleId="List">
    <w:name w:val="List"/>
    <w:basedOn w:val="BodyText"/>
    <w:semiHidden/>
    <w:rPr>
      <w:rFonts w:cs="Mangal"/>
    </w:rPr>
  </w:style>
  <w:style w:type="paragraph" w:styleId="Caption">
    <w:name w:val="caption"/>
    <w:basedOn w:val="Normal"/>
    <w:next w:val="Normal"/>
    <w:qFormat/>
    <w:pPr>
      <w:jc w:val="both"/>
    </w:pPr>
    <w:rPr>
      <w:rFonts w:ascii="Arial" w:hAnsi="Arial"/>
      <w:b/>
      <w:bCs/>
      <w:sz w:val="20"/>
      <w:szCs w:val="24"/>
    </w:rPr>
  </w:style>
  <w:style w:type="paragraph" w:customStyle="1" w:styleId="Index">
    <w:name w:val="Index"/>
    <w:basedOn w:val="Normal"/>
    <w:pPr>
      <w:suppressLineNumbers/>
    </w:pPr>
    <w:rPr>
      <w:rFonts w:cs="Mangal"/>
    </w:rPr>
  </w:style>
  <w:style w:type="paragraph" w:styleId="BodyTextIndent">
    <w:name w:val="Body Text Indent"/>
    <w:basedOn w:val="Normal"/>
    <w:semiHidden/>
    <w:pPr>
      <w:tabs>
        <w:tab w:val="left" w:pos="-90"/>
        <w:tab w:val="left" w:pos="450"/>
        <w:tab w:val="left" w:pos="1350"/>
        <w:tab w:val="left" w:pos="2790"/>
        <w:tab w:val="left" w:pos="3510"/>
        <w:tab w:val="left" w:pos="4230"/>
        <w:tab w:val="left" w:pos="4950"/>
        <w:tab w:val="left" w:pos="5670"/>
        <w:tab w:val="left" w:pos="6120"/>
        <w:tab w:val="left" w:pos="6570"/>
        <w:tab w:val="left" w:pos="7110"/>
        <w:tab w:val="left" w:pos="7830"/>
        <w:tab w:val="left" w:pos="8550"/>
        <w:tab w:val="left" w:pos="9270"/>
      </w:tabs>
      <w:ind w:left="782"/>
      <w:jc w:val="both"/>
    </w:pPr>
  </w:style>
  <w:style w:type="paragraph" w:styleId="BlockText">
    <w:name w:val="Block Text"/>
    <w:basedOn w:val="Normal"/>
    <w:semiHidden/>
    <w:pPr>
      <w:tabs>
        <w:tab w:val="left" w:pos="240"/>
        <w:tab w:val="left" w:pos="540"/>
        <w:tab w:val="left" w:pos="7110"/>
        <w:tab w:val="left" w:pos="7650"/>
        <w:tab w:val="left" w:pos="8550"/>
      </w:tabs>
      <w:ind w:left="539" w:right="658"/>
      <w:jc w:val="both"/>
    </w:pPr>
  </w:style>
  <w:style w:type="paragraph" w:styleId="BodyTextIndent2">
    <w:name w:val="Body Text Indent 2"/>
    <w:basedOn w:val="Normal"/>
    <w:link w:val="BodyTextIndent2Char"/>
    <w:semiHidden/>
    <w:pPr>
      <w:tabs>
        <w:tab w:val="left" w:pos="-1099"/>
        <w:tab w:val="left" w:pos="-720"/>
        <w:tab w:val="left" w:pos="0"/>
        <w:tab w:val="decimal" w:pos="780"/>
      </w:tabs>
      <w:ind w:left="780"/>
      <w:jc w:val="both"/>
    </w:pPr>
  </w:style>
  <w:style w:type="paragraph" w:styleId="BodyTextIndent3">
    <w:name w:val="Body Text Indent 3"/>
    <w:basedOn w:val="Normal"/>
    <w:semiHidden/>
    <w:pPr>
      <w:tabs>
        <w:tab w:val="left" w:pos="240"/>
        <w:tab w:val="left" w:pos="540"/>
        <w:tab w:val="left" w:pos="7110"/>
        <w:tab w:val="left" w:pos="7650"/>
        <w:tab w:val="left" w:pos="8550"/>
      </w:tabs>
      <w:ind w:left="540"/>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widowControl/>
      <w:jc w:val="both"/>
    </w:pPr>
    <w:rPr>
      <w:szCs w:val="24"/>
    </w:rPr>
  </w:style>
  <w:style w:type="paragraph" w:styleId="BodyText3">
    <w:name w:val="Body Text 3"/>
    <w:basedOn w:val="Normal"/>
    <w:semiHidden/>
    <w:pPr>
      <w:ind w:right="540"/>
      <w:jc w:val="both"/>
    </w:pPr>
    <w:rPr>
      <w:rFonts w:ascii="Arial" w:hAnsi="Arial"/>
      <w:sz w:val="22"/>
    </w:rPr>
  </w:style>
  <w:style w:type="paragraph" w:styleId="NormalWeb">
    <w:name w:val="Normal (Web)"/>
    <w:basedOn w:val="Normal"/>
    <w:semiHidden/>
    <w:pPr>
      <w:widowControl/>
      <w:spacing w:before="100" w:after="100"/>
    </w:pPr>
    <w:rPr>
      <w:rFonts w:ascii="Arial Unicode MS" w:eastAsia="Arial Unicode MS" w:hAnsi="Arial Unicode MS" w:cs="Arial Unicode MS"/>
      <w:szCs w:val="24"/>
    </w:rPr>
  </w:style>
  <w:style w:type="paragraph" w:customStyle="1" w:styleId="Committee">
    <w:name w:val="Committee"/>
    <w:basedOn w:val="Normal"/>
    <w:next w:val="Normal"/>
    <w:pPr>
      <w:widowControl/>
      <w:jc w:val="center"/>
    </w:pPr>
    <w:rPr>
      <w:caps/>
      <w:sz w:val="28"/>
    </w:rPr>
  </w:style>
  <w:style w:type="paragraph" w:customStyle="1" w:styleId="Heading2Bold">
    <w:name w:val="Heading2Bold"/>
    <w:basedOn w:val="Heading2"/>
    <w:pPr>
      <w:keepNext w:val="0"/>
      <w:widowControl/>
      <w:numPr>
        <w:numId w:val="0"/>
      </w:numPr>
      <w:tabs>
        <w:tab w:val="clear" w:pos="1350"/>
        <w:tab w:val="clear" w:pos="2790"/>
        <w:tab w:val="clear" w:pos="3390"/>
        <w:tab w:val="clear" w:pos="4230"/>
        <w:tab w:val="clear" w:pos="4950"/>
        <w:tab w:val="clear" w:pos="5670"/>
        <w:tab w:val="clear" w:pos="6390"/>
        <w:tab w:val="clear" w:pos="6750"/>
        <w:tab w:val="clear" w:pos="7830"/>
        <w:tab w:val="clear" w:pos="8550"/>
        <w:tab w:val="left" w:pos="1440"/>
      </w:tabs>
      <w:spacing w:after="240"/>
      <w:jc w:val="both"/>
      <w:outlineLvl w:val="9"/>
    </w:pPr>
  </w:style>
  <w:style w:type="paragraph" w:customStyle="1" w:styleId="MainHeading">
    <w:name w:val="MainHeading"/>
    <w:basedOn w:val="Normal"/>
    <w:next w:val="Normal"/>
    <w:pPr>
      <w:widowControl/>
      <w:spacing w:after="240"/>
      <w:jc w:val="center"/>
    </w:pPr>
    <w:rPr>
      <w:b/>
      <w:smallCaps/>
      <w:sz w:val="38"/>
    </w:rPr>
  </w:style>
  <w:style w:type="paragraph" w:customStyle="1" w:styleId="DateHeading">
    <w:name w:val="DateHeading"/>
    <w:basedOn w:val="MainHeading"/>
    <w:next w:val="Title"/>
    <w:rPr>
      <w:b w:val="0"/>
      <w:smallCaps w:val="0"/>
      <w:sz w:val="28"/>
    </w:rPr>
  </w:style>
  <w:style w:type="paragraph" w:styleId="Title">
    <w:name w:val="Title"/>
    <w:basedOn w:val="Normal"/>
    <w:next w:val="Subtitle"/>
    <w:qFormat/>
    <w:pPr>
      <w:widowControl/>
      <w:jc w:val="center"/>
    </w:pPr>
    <w:rPr>
      <w:rFonts w:cs="Arial"/>
      <w:bCs/>
      <w:caps/>
      <w:kern w:val="1"/>
      <w:sz w:val="28"/>
      <w:szCs w:val="32"/>
    </w:rPr>
  </w:style>
  <w:style w:type="paragraph" w:styleId="Subtitle">
    <w:name w:val="Subtitle"/>
    <w:basedOn w:val="Heading"/>
    <w:next w:val="BodyText"/>
    <w:qFormat/>
    <w:pPr>
      <w:jc w:val="center"/>
    </w:pPr>
    <w:rPr>
      <w:i/>
      <w:iCs/>
    </w:rPr>
  </w:style>
  <w:style w:type="paragraph" w:customStyle="1" w:styleId="xl24">
    <w:name w:val="xl24"/>
    <w:basedOn w:val="Normal"/>
    <w:pPr>
      <w:widowControl/>
      <w:spacing w:before="100" w:after="100"/>
    </w:pPr>
    <w:rPr>
      <w:rFonts w:eastAsia="Arial Unicode MS"/>
      <w:szCs w:val="24"/>
    </w:rPr>
  </w:style>
  <w:style w:type="paragraph" w:customStyle="1" w:styleId="xl25">
    <w:name w:val="xl25"/>
    <w:basedOn w:val="Normal"/>
    <w:pPr>
      <w:widowControl/>
      <w:spacing w:before="100" w:after="100"/>
      <w:jc w:val="center"/>
    </w:pPr>
    <w:rPr>
      <w:rFonts w:eastAsia="Arial Unicode MS"/>
      <w:b/>
      <w:bCs/>
      <w:szCs w:val="24"/>
    </w:rPr>
  </w:style>
  <w:style w:type="paragraph" w:customStyle="1" w:styleId="xl26">
    <w:name w:val="xl26"/>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szCs w:val="24"/>
    </w:rPr>
  </w:style>
  <w:style w:type="paragraph" w:customStyle="1" w:styleId="xl27">
    <w:name w:val="xl27"/>
    <w:basedOn w:val="Normal"/>
    <w:pPr>
      <w:widowControl/>
      <w:spacing w:before="100" w:after="100"/>
      <w:jc w:val="center"/>
    </w:pPr>
    <w:rPr>
      <w:rFonts w:eastAsia="Arial Unicode MS"/>
      <w:szCs w:val="24"/>
    </w:rPr>
  </w:style>
  <w:style w:type="paragraph" w:customStyle="1" w:styleId="xl28">
    <w:name w:val="xl28"/>
    <w:basedOn w:val="Normal"/>
    <w:pPr>
      <w:widowControl/>
      <w:spacing w:before="100" w:after="100"/>
    </w:pPr>
    <w:rPr>
      <w:rFonts w:eastAsia="Arial Unicode MS"/>
      <w:szCs w:val="24"/>
    </w:rPr>
  </w:style>
  <w:style w:type="paragraph" w:customStyle="1" w:styleId="xl29">
    <w:name w:val="xl29"/>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30">
    <w:name w:val="xl30"/>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31">
    <w:name w:val="xl3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szCs w:val="24"/>
    </w:rPr>
  </w:style>
  <w:style w:type="paragraph" w:customStyle="1" w:styleId="xl32">
    <w:name w:val="xl32"/>
    <w:basedOn w:val="Normal"/>
    <w:pPr>
      <w:widowControl/>
      <w:spacing w:before="100" w:after="100"/>
      <w:jc w:val="center"/>
    </w:pPr>
    <w:rPr>
      <w:rFonts w:eastAsia="Arial Unicode MS"/>
      <w:szCs w:val="24"/>
    </w:rPr>
  </w:style>
  <w:style w:type="paragraph" w:customStyle="1" w:styleId="xl33">
    <w:name w:val="xl33"/>
    <w:basedOn w:val="Normal"/>
    <w:pPr>
      <w:widowControl/>
      <w:spacing w:before="100" w:after="100"/>
    </w:pPr>
    <w:rPr>
      <w:rFonts w:eastAsia="Arial Unicode MS"/>
      <w:b/>
      <w:bCs/>
      <w:szCs w:val="24"/>
    </w:rPr>
  </w:style>
  <w:style w:type="paragraph" w:customStyle="1" w:styleId="xl34">
    <w:name w:val="xl34"/>
    <w:basedOn w:val="Normal"/>
    <w:pPr>
      <w:widowControl/>
      <w:spacing w:before="100" w:after="100"/>
    </w:pPr>
    <w:rPr>
      <w:rFonts w:eastAsia="Arial Unicode MS"/>
      <w:szCs w:val="24"/>
    </w:rPr>
  </w:style>
  <w:style w:type="paragraph" w:customStyle="1" w:styleId="xl35">
    <w:name w:val="xl35"/>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36">
    <w:name w:val="xl36"/>
    <w:basedOn w:val="Normal"/>
    <w:pPr>
      <w:widowControl/>
      <w:spacing w:before="100" w:after="100"/>
      <w:jc w:val="center"/>
    </w:pPr>
    <w:rPr>
      <w:rFonts w:eastAsia="Arial Unicode MS"/>
      <w:b/>
      <w:bCs/>
      <w:szCs w:val="24"/>
    </w:rPr>
  </w:style>
  <w:style w:type="paragraph" w:customStyle="1" w:styleId="xl37">
    <w:name w:val="xl37"/>
    <w:basedOn w:val="Normal"/>
    <w:pPr>
      <w:widowControl/>
      <w:spacing w:before="100" w:after="100"/>
    </w:pPr>
    <w:rPr>
      <w:rFonts w:eastAsia="Arial Unicode MS"/>
      <w:i/>
      <w:iCs/>
      <w:szCs w:val="24"/>
    </w:rPr>
  </w:style>
  <w:style w:type="paragraph" w:customStyle="1" w:styleId="xl38">
    <w:name w:val="xl38"/>
    <w:basedOn w:val="Normal"/>
    <w:pPr>
      <w:widowControl/>
      <w:pBdr>
        <w:top w:val="single" w:sz="4" w:space="0" w:color="000000"/>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39">
    <w:name w:val="xl39"/>
    <w:basedOn w:val="Normal"/>
    <w:pPr>
      <w:widowControl/>
      <w:pBdr>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1">
    <w:name w:val="xl41"/>
    <w:basedOn w:val="Normal"/>
    <w:pPr>
      <w:widowControl/>
      <w:pBdr>
        <w:top w:val="double" w:sz="1" w:space="0" w:color="000000"/>
        <w:left w:val="double" w:sz="1" w:space="0" w:color="000000"/>
        <w:bottom w:val="double" w:sz="1" w:space="0" w:color="000000"/>
        <w:right w:val="double" w:sz="1" w:space="0" w:color="000000"/>
      </w:pBdr>
      <w:shd w:val="clear" w:color="auto" w:fill="FFFFFF"/>
      <w:spacing w:before="100" w:after="100"/>
    </w:pPr>
    <w:rPr>
      <w:rFonts w:eastAsia="Arial Unicode MS"/>
      <w:b/>
      <w:bCs/>
      <w:szCs w:val="24"/>
    </w:rPr>
  </w:style>
  <w:style w:type="paragraph" w:customStyle="1" w:styleId="xl42">
    <w:name w:val="xl42"/>
    <w:basedOn w:val="Normal"/>
    <w:pPr>
      <w:widowControl/>
      <w:spacing w:before="100" w:after="100"/>
    </w:pPr>
    <w:rPr>
      <w:rFonts w:eastAsia="Arial Unicode MS"/>
      <w:b/>
      <w:bCs/>
      <w:szCs w:val="24"/>
    </w:rPr>
  </w:style>
  <w:style w:type="paragraph" w:customStyle="1" w:styleId="xl43">
    <w:name w:val="xl43"/>
    <w:basedOn w:val="Normal"/>
    <w:pPr>
      <w:widowControl/>
      <w:spacing w:before="100" w:after="100"/>
    </w:pPr>
    <w:rPr>
      <w:rFonts w:eastAsia="Arial Unicode MS"/>
      <w:b/>
      <w:bCs/>
      <w:i/>
      <w:iCs/>
      <w:szCs w:val="24"/>
    </w:rPr>
  </w:style>
  <w:style w:type="paragraph" w:customStyle="1" w:styleId="xl44">
    <w:name w:val="xl44"/>
    <w:basedOn w:val="Normal"/>
    <w:pPr>
      <w:widowControl/>
      <w:spacing w:before="100" w:after="100"/>
      <w:jc w:val="right"/>
    </w:pPr>
    <w:rPr>
      <w:rFonts w:eastAsia="Arial Unicode MS"/>
      <w:szCs w:val="24"/>
    </w:rPr>
  </w:style>
  <w:style w:type="paragraph" w:customStyle="1" w:styleId="xl45">
    <w:name w:val="xl45"/>
    <w:basedOn w:val="Normal"/>
    <w:pPr>
      <w:widowControl/>
      <w:pBdr>
        <w:top w:val="single" w:sz="4" w:space="0" w:color="000000"/>
      </w:pBdr>
      <w:spacing w:before="100" w:after="100"/>
    </w:pPr>
    <w:rPr>
      <w:rFonts w:eastAsia="Arial Unicode MS"/>
      <w:szCs w:val="24"/>
    </w:rPr>
  </w:style>
  <w:style w:type="paragraph" w:customStyle="1" w:styleId="xl46">
    <w:name w:val="xl46"/>
    <w:basedOn w:val="Normal"/>
    <w:pPr>
      <w:widowControl/>
      <w:pBdr>
        <w:top w:val="single" w:sz="4" w:space="0" w:color="000000"/>
        <w:right w:val="single" w:sz="4" w:space="0" w:color="000000"/>
      </w:pBdr>
      <w:spacing w:before="100" w:after="100"/>
    </w:pPr>
    <w:rPr>
      <w:rFonts w:eastAsia="Arial Unicode MS"/>
      <w:szCs w:val="24"/>
    </w:rPr>
  </w:style>
  <w:style w:type="paragraph" w:customStyle="1" w:styleId="xl47">
    <w:name w:val="xl47"/>
    <w:basedOn w:val="Normal"/>
    <w:pPr>
      <w:widowControl/>
      <w:pBdr>
        <w:right w:val="single" w:sz="4" w:space="0" w:color="000000"/>
      </w:pBdr>
      <w:spacing w:before="100" w:after="100"/>
    </w:pPr>
    <w:rPr>
      <w:rFonts w:eastAsia="Arial Unicode MS"/>
      <w:szCs w:val="24"/>
    </w:rPr>
  </w:style>
  <w:style w:type="paragraph" w:customStyle="1" w:styleId="xl48">
    <w:name w:val="xl48"/>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49">
    <w:name w:val="xl49"/>
    <w:basedOn w:val="Normal"/>
    <w:pPr>
      <w:widowControl/>
      <w:pBdr>
        <w:top w:val="single" w:sz="4" w:space="0" w:color="000000"/>
        <w:left w:val="single" w:sz="4" w:space="0" w:color="000000"/>
        <w:right w:val="single" w:sz="4" w:space="0" w:color="000000"/>
      </w:pBdr>
      <w:spacing w:before="100" w:after="100"/>
    </w:pPr>
    <w:rPr>
      <w:rFonts w:eastAsia="Arial Unicode MS"/>
      <w:b/>
      <w:bCs/>
      <w:szCs w:val="24"/>
    </w:rPr>
  </w:style>
  <w:style w:type="paragraph" w:customStyle="1" w:styleId="xl50">
    <w:name w:val="xl50"/>
    <w:basedOn w:val="Normal"/>
    <w:pPr>
      <w:widowControl/>
      <w:pBdr>
        <w:left w:val="single" w:sz="4" w:space="0" w:color="000000"/>
        <w:right w:val="single" w:sz="4" w:space="0" w:color="000000"/>
      </w:pBdr>
      <w:spacing w:before="100" w:after="100"/>
    </w:pPr>
    <w:rPr>
      <w:rFonts w:eastAsia="Arial Unicode MS"/>
      <w:b/>
      <w:bCs/>
      <w:szCs w:val="24"/>
    </w:rPr>
  </w:style>
  <w:style w:type="paragraph" w:customStyle="1" w:styleId="xl51">
    <w:name w:val="xl5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b/>
      <w:bCs/>
      <w:szCs w:val="24"/>
    </w:rPr>
  </w:style>
  <w:style w:type="paragraph" w:customStyle="1" w:styleId="xl52">
    <w:name w:val="xl52"/>
    <w:basedOn w:val="Normal"/>
    <w:pPr>
      <w:widowControl/>
      <w:pBdr>
        <w:top w:val="double" w:sz="1" w:space="0" w:color="000000"/>
        <w:left w:val="double" w:sz="1" w:space="0" w:color="000000"/>
        <w:bottom w:val="double" w:sz="1" w:space="0" w:color="000000"/>
        <w:right w:val="double" w:sz="1" w:space="0" w:color="000000"/>
      </w:pBdr>
      <w:spacing w:before="100" w:after="100"/>
    </w:pPr>
    <w:rPr>
      <w:rFonts w:eastAsia="Arial Unicode MS"/>
      <w:b/>
      <w:bCs/>
      <w:szCs w:val="24"/>
    </w:rPr>
  </w:style>
  <w:style w:type="paragraph" w:customStyle="1" w:styleId="xl53">
    <w:name w:val="xl53"/>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54">
    <w:name w:val="xl54"/>
    <w:basedOn w:val="Normal"/>
    <w:pPr>
      <w:widowControl/>
      <w:pBdr>
        <w:top w:val="single" w:sz="4" w:space="0" w:color="000000"/>
        <w:right w:val="single" w:sz="4" w:space="0" w:color="000000"/>
      </w:pBdr>
      <w:shd w:val="clear" w:color="auto" w:fill="FFFFFF"/>
      <w:spacing w:before="100" w:after="100"/>
    </w:pPr>
    <w:rPr>
      <w:rFonts w:eastAsia="Arial Unicode MS"/>
      <w:b/>
      <w:bCs/>
      <w:szCs w:val="24"/>
    </w:rPr>
  </w:style>
  <w:style w:type="paragraph" w:customStyle="1" w:styleId="xl55">
    <w:name w:val="xl55"/>
    <w:basedOn w:val="Normal"/>
    <w:pPr>
      <w:widowControl/>
      <w:pBdr>
        <w:right w:val="single" w:sz="4" w:space="0" w:color="000000"/>
      </w:pBdr>
      <w:shd w:val="clear" w:color="auto" w:fill="FFFFFF"/>
      <w:spacing w:before="100" w:after="100"/>
    </w:pPr>
    <w:rPr>
      <w:rFonts w:eastAsia="Arial Unicode MS"/>
      <w:b/>
      <w:bCs/>
      <w:szCs w:val="24"/>
    </w:rPr>
  </w:style>
  <w:style w:type="paragraph" w:customStyle="1" w:styleId="xl56">
    <w:name w:val="xl56"/>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57">
    <w:name w:val="xl57"/>
    <w:basedOn w:val="Normal"/>
    <w:pPr>
      <w:widowControl/>
      <w:pBdr>
        <w:top w:val="single" w:sz="4" w:space="0" w:color="000000"/>
        <w:left w:val="single" w:sz="4" w:space="0" w:color="000000"/>
        <w:bottom w:val="single" w:sz="4" w:space="0" w:color="000000"/>
      </w:pBdr>
      <w:spacing w:before="100" w:after="100"/>
      <w:jc w:val="center"/>
    </w:pPr>
    <w:rPr>
      <w:rFonts w:eastAsia="Arial Unicode MS"/>
      <w:b/>
      <w:bCs/>
      <w:szCs w:val="24"/>
    </w:rPr>
  </w:style>
  <w:style w:type="paragraph" w:customStyle="1" w:styleId="xl58">
    <w:name w:val="xl58"/>
    <w:basedOn w:val="Normal"/>
    <w:pPr>
      <w:widowControl/>
      <w:pBdr>
        <w:top w:val="single" w:sz="4" w:space="0" w:color="000000"/>
        <w:bottom w:val="single" w:sz="4" w:space="0" w:color="000000"/>
      </w:pBdr>
      <w:spacing w:before="100" w:after="100"/>
      <w:jc w:val="center"/>
    </w:pPr>
    <w:rPr>
      <w:rFonts w:eastAsia="Arial Unicode MS"/>
      <w:b/>
      <w:bCs/>
      <w:szCs w:val="24"/>
    </w:rPr>
  </w:style>
  <w:style w:type="paragraph" w:customStyle="1" w:styleId="xl59">
    <w:name w:val="xl59"/>
    <w:basedOn w:val="Normal"/>
    <w:pPr>
      <w:widowControl/>
      <w:pBdr>
        <w:top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60">
    <w:name w:val="xl60"/>
    <w:basedOn w:val="Normal"/>
    <w:pPr>
      <w:widowControl/>
      <w:spacing w:before="100" w:after="100"/>
      <w:jc w:val="center"/>
    </w:pPr>
    <w:rPr>
      <w:rFonts w:eastAsia="Arial Unicode MS"/>
      <w:b/>
      <w:bCs/>
      <w:i/>
      <w:iCs/>
      <w:sz w:val="36"/>
      <w:szCs w:val="36"/>
    </w:rPr>
  </w:style>
  <w:style w:type="paragraph" w:styleId="FootnoteText">
    <w:name w:val="footnote text"/>
    <w:basedOn w:val="Normal"/>
    <w:link w:val="FootnoteTextChar"/>
    <w:semiHidden/>
    <w:rPr>
      <w:sz w:val="20"/>
    </w:rPr>
  </w:style>
  <w:style w:type="paragraph" w:customStyle="1" w:styleId="xl61">
    <w:name w:val="xl61"/>
    <w:basedOn w:val="Normal"/>
    <w:pPr>
      <w:widowControl/>
      <w:spacing w:before="100" w:after="100"/>
      <w:jc w:val="center"/>
    </w:pPr>
    <w:rPr>
      <w:rFonts w:eastAsia="Arial Unicode MS"/>
      <w:b/>
      <w:bCs/>
      <w:i/>
      <w:iCs/>
      <w:sz w:val="36"/>
      <w:szCs w:val="36"/>
    </w:rPr>
  </w:style>
  <w:style w:type="paragraph" w:customStyle="1" w:styleId="BodyText1">
    <w:name w:val="Body Text1"/>
    <w:basedOn w:val="Normal"/>
    <w:pPr>
      <w:keepLines/>
      <w:widowControl/>
      <w:spacing w:before="140" w:after="140"/>
      <w:ind w:left="397"/>
    </w:pPr>
    <w:rPr>
      <w:rFonts w:ascii="Arial" w:hAnsi="Arial"/>
      <w:szCs w:val="24"/>
    </w:rPr>
  </w:style>
  <w:style w:type="paragraph" w:customStyle="1" w:styleId="Bullet1">
    <w:name w:val="Bullet 1"/>
    <w:basedOn w:val="Normal"/>
    <w:pPr>
      <w:keepLines/>
      <w:widowControl/>
      <w:numPr>
        <w:numId w:val="18"/>
      </w:numPr>
      <w:spacing w:before="100"/>
    </w:pPr>
    <w:rPr>
      <w:rFonts w:ascii="Arial" w:hAnsi="Arial"/>
      <w:szCs w:val="24"/>
    </w:rPr>
  </w:style>
  <w:style w:type="paragraph" w:customStyle="1" w:styleId="Contact">
    <w:name w:val="Contact"/>
    <w:basedOn w:val="BodyText1"/>
    <w:pPr>
      <w:spacing w:before="0" w:after="60"/>
    </w:pPr>
  </w:style>
  <w:style w:type="paragraph" w:styleId="PlainText">
    <w:name w:val="Plain Text"/>
    <w:basedOn w:val="Normal"/>
    <w:link w:val="PlainTextChar"/>
    <w:semiHidden/>
    <w:pPr>
      <w:widowControl/>
    </w:pPr>
    <w:rPr>
      <w:rFonts w:ascii="Courier New" w:hAnsi="Courier New" w:cs="Courier New"/>
      <w:sz w:val="20"/>
    </w:rPr>
  </w:style>
  <w:style w:type="paragraph" w:styleId="ListBullet2">
    <w:name w:val="List Bullet 2"/>
    <w:basedOn w:val="Normal"/>
    <w:semiHidden/>
    <w:pPr>
      <w:widowControl/>
      <w:numPr>
        <w:numId w:val="4"/>
      </w:numPr>
      <w:tabs>
        <w:tab w:val="left" w:pos="643"/>
      </w:tabs>
      <w:ind w:left="643" w:firstLine="0"/>
    </w:pPr>
    <w:rPr>
      <w:rFonts w:ascii="Arial" w:hAnsi="Arial"/>
      <w:szCs w:val="24"/>
    </w:rPr>
  </w:style>
  <w:style w:type="paragraph" w:styleId="ListBullet">
    <w:name w:val="List Bullet"/>
    <w:basedOn w:val="Normal"/>
    <w:semiHidden/>
    <w:pPr>
      <w:widowControl/>
      <w:numPr>
        <w:numId w:val="5"/>
      </w:numPr>
    </w:pPr>
    <w:rPr>
      <w:rFonts w:ascii="Arial" w:hAnsi="Arial"/>
      <w:szCs w:val="24"/>
    </w:rPr>
  </w:style>
  <w:style w:type="paragraph" w:styleId="ListBullet3">
    <w:name w:val="List Bullet 3"/>
    <w:basedOn w:val="Normal"/>
    <w:semiHidden/>
    <w:pPr>
      <w:widowControl/>
      <w:numPr>
        <w:numId w:val="32"/>
      </w:numPr>
      <w:tabs>
        <w:tab w:val="left" w:pos="926"/>
        <w:tab w:val="num" w:pos="1080"/>
      </w:tabs>
      <w:ind w:firstLine="0"/>
    </w:pPr>
    <w:rPr>
      <w:rFonts w:ascii="Arial" w:hAnsi="Arial"/>
      <w:szCs w:val="24"/>
    </w:rPr>
  </w:style>
  <w:style w:type="paragraph" w:styleId="ListBullet4">
    <w:name w:val="List Bullet 4"/>
    <w:basedOn w:val="Normal"/>
    <w:semiHidden/>
    <w:pPr>
      <w:widowControl/>
      <w:numPr>
        <w:numId w:val="3"/>
      </w:numPr>
      <w:tabs>
        <w:tab w:val="left" w:pos="1209"/>
      </w:tabs>
      <w:ind w:left="1209" w:firstLine="0"/>
    </w:pPr>
    <w:rPr>
      <w:rFonts w:ascii="Arial" w:hAnsi="Arial"/>
      <w:szCs w:val="24"/>
    </w:rPr>
  </w:style>
  <w:style w:type="paragraph" w:styleId="ListBullet5">
    <w:name w:val="List Bullet 5"/>
    <w:basedOn w:val="Normal"/>
    <w:semiHidden/>
    <w:pPr>
      <w:widowControl/>
      <w:numPr>
        <w:numId w:val="2"/>
      </w:numPr>
      <w:tabs>
        <w:tab w:val="left" w:pos="1492"/>
      </w:tabs>
      <w:ind w:left="1492" w:firstLine="0"/>
    </w:pPr>
    <w:rPr>
      <w:rFonts w:ascii="Arial" w:hAnsi="Arial"/>
      <w:szCs w:val="24"/>
    </w:rPr>
  </w:style>
  <w:style w:type="paragraph" w:styleId="ListParagraph">
    <w:name w:val="List Paragraph"/>
    <w:basedOn w:val="Normal"/>
    <w:uiPriority w:val="34"/>
    <w:qFormat/>
    <w:pPr>
      <w:widowControl/>
      <w:overflowPunct w:val="0"/>
      <w:autoSpaceDE w:val="0"/>
      <w:ind w:left="720"/>
      <w:textAlignment w:val="baseline"/>
    </w:pPr>
    <w:rPr>
      <w:sz w:val="22"/>
    </w:rPr>
  </w:style>
  <w:style w:type="paragraph" w:customStyle="1" w:styleId="Bodytextnumbered">
    <w:name w:val="Body text (numbered)"/>
    <w:basedOn w:val="BodyText1"/>
    <w:pPr>
      <w:keepLines w:val="0"/>
      <w:numPr>
        <w:numId w:val="7"/>
      </w:numPr>
    </w:pPr>
  </w:style>
  <w:style w:type="paragraph" w:styleId="CommentText">
    <w:name w:val="annotation text"/>
    <w:basedOn w:val="Normal"/>
    <w:link w:val="CommentTextChar"/>
    <w:semiHidden/>
    <w:rPr>
      <w:sz w:val="20"/>
    </w:rPr>
  </w:style>
  <w:style w:type="paragraph" w:customStyle="1" w:styleId="WW-Default">
    <w:name w:val="WW-Default"/>
    <w:pPr>
      <w:suppressAutoHyphens/>
      <w:autoSpaceDE w:val="0"/>
    </w:pPr>
    <w:rPr>
      <w:rFonts w:ascii="Verdana" w:eastAsia="Arial" w:hAnsi="Verdana"/>
      <w:color w:val="000000"/>
      <w:sz w:val="24"/>
      <w:szCs w:val="24"/>
      <w:lang w:val="en-US" w:eastAsia="ar-SA"/>
    </w:rPr>
  </w:style>
  <w:style w:type="paragraph" w:customStyle="1" w:styleId="inlinenormal">
    <w:name w:val="inlinenormal"/>
    <w:basedOn w:val="Normal"/>
    <w:pPr>
      <w:widowControl/>
      <w:spacing w:before="100" w:after="100"/>
    </w:pPr>
    <w:rPr>
      <w:rFonts w:ascii="Arial Unicode MS" w:eastAsia="Arial Unicode MS" w:hAnsi="Arial Unicode MS" w:cs="Arial Unicode MS"/>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A043DD"/>
    <w:rPr>
      <w:rFonts w:ascii="Tahoma" w:hAnsi="Tahoma" w:cs="Tahoma"/>
      <w:sz w:val="16"/>
      <w:szCs w:val="16"/>
    </w:rPr>
  </w:style>
  <w:style w:type="character" w:customStyle="1" w:styleId="BalloonTextChar">
    <w:name w:val="Balloon Text Char"/>
    <w:basedOn w:val="DefaultParagraphFont"/>
    <w:link w:val="BalloonText"/>
    <w:uiPriority w:val="99"/>
    <w:semiHidden/>
    <w:rsid w:val="00A043DD"/>
    <w:rPr>
      <w:rFonts w:ascii="Tahoma" w:hAnsi="Tahoma" w:cs="Tahoma"/>
      <w:sz w:val="16"/>
      <w:szCs w:val="16"/>
      <w:lang w:val="en-US" w:eastAsia="ar-SA"/>
    </w:rPr>
  </w:style>
  <w:style w:type="paragraph" w:styleId="Revision">
    <w:name w:val="Revision"/>
    <w:hidden/>
    <w:uiPriority w:val="99"/>
    <w:semiHidden/>
    <w:rsid w:val="004D5911"/>
    <w:rPr>
      <w:sz w:val="24"/>
      <w:lang w:val="en-US" w:eastAsia="ar-SA"/>
    </w:rPr>
  </w:style>
  <w:style w:type="character" w:customStyle="1" w:styleId="PlainTextChar">
    <w:name w:val="Plain Text Char"/>
    <w:basedOn w:val="DefaultParagraphFont"/>
    <w:link w:val="PlainText"/>
    <w:semiHidden/>
    <w:rsid w:val="00CB0643"/>
    <w:rPr>
      <w:rFonts w:ascii="Courier New" w:hAnsi="Courier New" w:cs="Courier New"/>
      <w:lang w:eastAsia="ar-SA"/>
    </w:rPr>
  </w:style>
  <w:style w:type="character" w:customStyle="1" w:styleId="FooterChar">
    <w:name w:val="Footer Char"/>
    <w:basedOn w:val="DefaultParagraphFont"/>
    <w:link w:val="Footer"/>
    <w:uiPriority w:val="99"/>
    <w:rsid w:val="00117698"/>
    <w:rPr>
      <w:sz w:val="24"/>
      <w:lang w:eastAsia="ar-SA"/>
    </w:rPr>
  </w:style>
  <w:style w:type="table" w:styleId="TableGrid">
    <w:name w:val="Table Grid"/>
    <w:basedOn w:val="TableNormal"/>
    <w:uiPriority w:val="59"/>
    <w:rsid w:val="00E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8854B3"/>
    <w:rPr>
      <w:strike/>
      <w:sz w:val="24"/>
      <w:lang w:eastAsia="ar-SA"/>
    </w:rPr>
  </w:style>
  <w:style w:type="character" w:customStyle="1" w:styleId="BodyTextIndent2Char">
    <w:name w:val="Body Text Indent 2 Char"/>
    <w:basedOn w:val="DefaultParagraphFont"/>
    <w:link w:val="BodyTextIndent2"/>
    <w:semiHidden/>
    <w:rsid w:val="00AC7331"/>
    <w:rPr>
      <w:sz w:val="24"/>
      <w:lang w:eastAsia="ar-SA"/>
    </w:rPr>
  </w:style>
  <w:style w:type="character" w:customStyle="1" w:styleId="FootnoteTextChar">
    <w:name w:val="Footnote Text Char"/>
    <w:basedOn w:val="DefaultParagraphFont"/>
    <w:link w:val="FootnoteText"/>
    <w:semiHidden/>
    <w:rsid w:val="00B05B6C"/>
    <w:rPr>
      <w:lang w:eastAsia="ar-SA"/>
    </w:rPr>
  </w:style>
  <w:style w:type="paragraph" w:customStyle="1" w:styleId="Default">
    <w:name w:val="Default"/>
    <w:rsid w:val="00C02A61"/>
    <w:pPr>
      <w:autoSpaceDE w:val="0"/>
      <w:autoSpaceDN w:val="0"/>
      <w:adjustRightInd w:val="0"/>
    </w:pPr>
    <w:rPr>
      <w:rFonts w:ascii="Tahoma" w:hAnsi="Tahoma" w:cs="Tahom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1B6C"/>
    <w:rPr>
      <w:b/>
      <w:bCs/>
    </w:rPr>
  </w:style>
  <w:style w:type="character" w:customStyle="1" w:styleId="CommentTextChar">
    <w:name w:val="Comment Text Char"/>
    <w:basedOn w:val="DefaultParagraphFont"/>
    <w:link w:val="CommentText"/>
    <w:semiHidden/>
    <w:rsid w:val="007A1B6C"/>
    <w:rPr>
      <w:lang w:eastAsia="ar-SA"/>
    </w:rPr>
  </w:style>
  <w:style w:type="character" w:customStyle="1" w:styleId="CommentSubjectChar">
    <w:name w:val="Comment Subject Char"/>
    <w:basedOn w:val="CommentTextChar"/>
    <w:link w:val="CommentSubject"/>
    <w:uiPriority w:val="99"/>
    <w:semiHidden/>
    <w:rsid w:val="007A1B6C"/>
    <w:rPr>
      <w:b/>
      <w:bCs/>
      <w:lang w:eastAsia="ar-SA"/>
    </w:rPr>
  </w:style>
  <w:style w:type="paragraph" w:customStyle="1" w:styleId="NumberedAnnexParaCharChar">
    <w:name w:val="Numbered Annex Para Char Char"/>
    <w:basedOn w:val="Normal"/>
    <w:rsid w:val="006C7C33"/>
    <w:pPr>
      <w:widowControl/>
      <w:numPr>
        <w:numId w:val="46"/>
      </w:numPr>
      <w:suppressAutoHyphens w:val="0"/>
    </w:pPr>
    <w:rPr>
      <w:rFonts w:ascii="Arial" w:hAnsi="Arial"/>
      <w:szCs w:val="24"/>
      <w:lang w:val="en-AU" w:eastAsia="en-GB"/>
    </w:rPr>
  </w:style>
  <w:style w:type="paragraph" w:customStyle="1" w:styleId="Normal1">
    <w:name w:val="Normal_1"/>
    <w:qFormat/>
    <w:rsid w:val="006C41B6"/>
    <w:rPr>
      <w:sz w:val="24"/>
      <w:szCs w:val="24"/>
    </w:rPr>
  </w:style>
  <w:style w:type="paragraph" w:customStyle="1" w:styleId="EYBodytextwithparaspace">
    <w:name w:val="EY Body text (with para space)"/>
    <w:basedOn w:val="Normal"/>
    <w:link w:val="EYBodytextwithparaspaceChar"/>
    <w:rsid w:val="00D74AB2"/>
    <w:pPr>
      <w:widowControl/>
      <w:spacing w:after="240"/>
    </w:pPr>
    <w:rPr>
      <w:rFonts w:ascii="Arial" w:hAnsi="Arial"/>
      <w:kern w:val="12"/>
      <w:sz w:val="20"/>
      <w:szCs w:val="24"/>
      <w:lang w:eastAsia="en-US"/>
    </w:rPr>
  </w:style>
  <w:style w:type="character" w:customStyle="1" w:styleId="EYBodytextwithparaspaceChar">
    <w:name w:val="EY Body text (with para space) Char"/>
    <w:basedOn w:val="DefaultParagraphFont"/>
    <w:link w:val="EYBodytextwithparaspace"/>
    <w:rsid w:val="00D74AB2"/>
    <w:rPr>
      <w:rFonts w:ascii="Arial" w:hAnsi="Arial"/>
      <w:kern w:val="12"/>
      <w:szCs w:val="24"/>
      <w:lang w:eastAsia="en-US"/>
    </w:rPr>
  </w:style>
  <w:style w:type="paragraph" w:styleId="NoSpacing">
    <w:name w:val="No Spacing"/>
    <w:basedOn w:val="Normal"/>
    <w:uiPriority w:val="1"/>
    <w:qFormat/>
    <w:rsid w:val="00F27D93"/>
    <w:pPr>
      <w:widowControl/>
      <w:suppressAutoHyphens w:val="0"/>
    </w:pPr>
    <w:rPr>
      <w:rFonts w:ascii="Calibri" w:eastAsiaTheme="minorHAnsi" w:hAnsi="Calibri" w:cs="Calibri"/>
      <w:sz w:val="22"/>
      <w:szCs w:val="22"/>
      <w:lang w:eastAsia="en-US"/>
    </w:rPr>
  </w:style>
  <w:style w:type="paragraph" w:customStyle="1" w:styleId="BodyTextGrey">
    <w:name w:val="Body Text Grey"/>
    <w:basedOn w:val="BodyText"/>
    <w:link w:val="BodyTextGreyChar"/>
    <w:qFormat/>
    <w:rsid w:val="00FD6570"/>
    <w:pPr>
      <w:widowControl/>
      <w:tabs>
        <w:tab w:val="clear" w:pos="-1440"/>
        <w:tab w:val="clear" w:pos="-720"/>
        <w:tab w:val="clear" w:pos="0"/>
        <w:tab w:val="clear" w:pos="780"/>
      </w:tabs>
      <w:suppressAutoHyphens w:val="0"/>
      <w:spacing w:before="20" w:after="200" w:line="280" w:lineRule="atLeast"/>
      <w:jc w:val="left"/>
    </w:pPr>
    <w:rPr>
      <w:rFonts w:ascii="Arial" w:hAnsi="Arial" w:cs="Arial"/>
      <w:iCs/>
      <w:strike w:val="0"/>
      <w:color w:val="455560"/>
      <w:sz w:val="20"/>
      <w:lang w:eastAsia="en-US"/>
    </w:rPr>
  </w:style>
  <w:style w:type="character" w:customStyle="1" w:styleId="BodyTextGreyChar">
    <w:name w:val="Body Text Grey Char"/>
    <w:basedOn w:val="DefaultParagraphFont"/>
    <w:link w:val="BodyTextGrey"/>
    <w:rsid w:val="00FD6570"/>
    <w:rPr>
      <w:rFonts w:ascii="Arial" w:hAnsi="Arial" w:cs="Arial"/>
      <w:iCs/>
      <w:color w:val="455560"/>
      <w:lang w:eastAsia="en-US"/>
    </w:rPr>
  </w:style>
  <w:style w:type="character" w:customStyle="1" w:styleId="fontstyle01">
    <w:name w:val="fontstyle01"/>
    <w:basedOn w:val="DefaultParagraphFont"/>
    <w:rsid w:val="007D7028"/>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4467">
      <w:bodyDiv w:val="1"/>
      <w:marLeft w:val="0"/>
      <w:marRight w:val="0"/>
      <w:marTop w:val="0"/>
      <w:marBottom w:val="0"/>
      <w:divBdr>
        <w:top w:val="none" w:sz="0" w:space="0" w:color="auto"/>
        <w:left w:val="none" w:sz="0" w:space="0" w:color="auto"/>
        <w:bottom w:val="none" w:sz="0" w:space="0" w:color="auto"/>
        <w:right w:val="none" w:sz="0" w:space="0" w:color="auto"/>
      </w:divBdr>
    </w:div>
    <w:div w:id="140268762">
      <w:bodyDiv w:val="1"/>
      <w:marLeft w:val="0"/>
      <w:marRight w:val="0"/>
      <w:marTop w:val="0"/>
      <w:marBottom w:val="0"/>
      <w:divBdr>
        <w:top w:val="none" w:sz="0" w:space="0" w:color="auto"/>
        <w:left w:val="none" w:sz="0" w:space="0" w:color="auto"/>
        <w:bottom w:val="none" w:sz="0" w:space="0" w:color="auto"/>
        <w:right w:val="none" w:sz="0" w:space="0" w:color="auto"/>
      </w:divBdr>
    </w:div>
    <w:div w:id="194581247">
      <w:bodyDiv w:val="1"/>
      <w:marLeft w:val="0"/>
      <w:marRight w:val="0"/>
      <w:marTop w:val="0"/>
      <w:marBottom w:val="0"/>
      <w:divBdr>
        <w:top w:val="none" w:sz="0" w:space="0" w:color="auto"/>
        <w:left w:val="none" w:sz="0" w:space="0" w:color="auto"/>
        <w:bottom w:val="none" w:sz="0" w:space="0" w:color="auto"/>
        <w:right w:val="none" w:sz="0" w:space="0" w:color="auto"/>
      </w:divBdr>
    </w:div>
    <w:div w:id="240141679">
      <w:bodyDiv w:val="1"/>
      <w:marLeft w:val="0"/>
      <w:marRight w:val="0"/>
      <w:marTop w:val="0"/>
      <w:marBottom w:val="0"/>
      <w:divBdr>
        <w:top w:val="none" w:sz="0" w:space="0" w:color="auto"/>
        <w:left w:val="none" w:sz="0" w:space="0" w:color="auto"/>
        <w:bottom w:val="none" w:sz="0" w:space="0" w:color="auto"/>
        <w:right w:val="none" w:sz="0" w:space="0" w:color="auto"/>
      </w:divBdr>
    </w:div>
    <w:div w:id="283584323">
      <w:bodyDiv w:val="1"/>
      <w:marLeft w:val="0"/>
      <w:marRight w:val="0"/>
      <w:marTop w:val="0"/>
      <w:marBottom w:val="0"/>
      <w:divBdr>
        <w:top w:val="none" w:sz="0" w:space="0" w:color="auto"/>
        <w:left w:val="none" w:sz="0" w:space="0" w:color="auto"/>
        <w:bottom w:val="none" w:sz="0" w:space="0" w:color="auto"/>
        <w:right w:val="none" w:sz="0" w:space="0" w:color="auto"/>
      </w:divBdr>
    </w:div>
    <w:div w:id="319771666">
      <w:bodyDiv w:val="1"/>
      <w:marLeft w:val="0"/>
      <w:marRight w:val="0"/>
      <w:marTop w:val="0"/>
      <w:marBottom w:val="0"/>
      <w:divBdr>
        <w:top w:val="none" w:sz="0" w:space="0" w:color="auto"/>
        <w:left w:val="none" w:sz="0" w:space="0" w:color="auto"/>
        <w:bottom w:val="none" w:sz="0" w:space="0" w:color="auto"/>
        <w:right w:val="none" w:sz="0" w:space="0" w:color="auto"/>
      </w:divBdr>
    </w:div>
    <w:div w:id="428546631">
      <w:bodyDiv w:val="1"/>
      <w:marLeft w:val="0"/>
      <w:marRight w:val="0"/>
      <w:marTop w:val="0"/>
      <w:marBottom w:val="0"/>
      <w:divBdr>
        <w:top w:val="none" w:sz="0" w:space="0" w:color="auto"/>
        <w:left w:val="none" w:sz="0" w:space="0" w:color="auto"/>
        <w:bottom w:val="none" w:sz="0" w:space="0" w:color="auto"/>
        <w:right w:val="none" w:sz="0" w:space="0" w:color="auto"/>
      </w:divBdr>
    </w:div>
    <w:div w:id="439761566">
      <w:bodyDiv w:val="1"/>
      <w:marLeft w:val="0"/>
      <w:marRight w:val="0"/>
      <w:marTop w:val="0"/>
      <w:marBottom w:val="0"/>
      <w:divBdr>
        <w:top w:val="none" w:sz="0" w:space="0" w:color="auto"/>
        <w:left w:val="none" w:sz="0" w:space="0" w:color="auto"/>
        <w:bottom w:val="none" w:sz="0" w:space="0" w:color="auto"/>
        <w:right w:val="none" w:sz="0" w:space="0" w:color="auto"/>
      </w:divBdr>
    </w:div>
    <w:div w:id="502816317">
      <w:bodyDiv w:val="1"/>
      <w:marLeft w:val="0"/>
      <w:marRight w:val="0"/>
      <w:marTop w:val="0"/>
      <w:marBottom w:val="0"/>
      <w:divBdr>
        <w:top w:val="none" w:sz="0" w:space="0" w:color="auto"/>
        <w:left w:val="none" w:sz="0" w:space="0" w:color="auto"/>
        <w:bottom w:val="none" w:sz="0" w:space="0" w:color="auto"/>
        <w:right w:val="none" w:sz="0" w:space="0" w:color="auto"/>
      </w:divBdr>
    </w:div>
    <w:div w:id="550308977">
      <w:bodyDiv w:val="1"/>
      <w:marLeft w:val="0"/>
      <w:marRight w:val="0"/>
      <w:marTop w:val="0"/>
      <w:marBottom w:val="0"/>
      <w:divBdr>
        <w:top w:val="none" w:sz="0" w:space="0" w:color="auto"/>
        <w:left w:val="none" w:sz="0" w:space="0" w:color="auto"/>
        <w:bottom w:val="none" w:sz="0" w:space="0" w:color="auto"/>
        <w:right w:val="none" w:sz="0" w:space="0" w:color="auto"/>
      </w:divBdr>
    </w:div>
    <w:div w:id="753430307">
      <w:bodyDiv w:val="1"/>
      <w:marLeft w:val="0"/>
      <w:marRight w:val="0"/>
      <w:marTop w:val="0"/>
      <w:marBottom w:val="0"/>
      <w:divBdr>
        <w:top w:val="none" w:sz="0" w:space="0" w:color="auto"/>
        <w:left w:val="none" w:sz="0" w:space="0" w:color="auto"/>
        <w:bottom w:val="none" w:sz="0" w:space="0" w:color="auto"/>
        <w:right w:val="none" w:sz="0" w:space="0" w:color="auto"/>
      </w:divBdr>
    </w:div>
    <w:div w:id="773328319">
      <w:bodyDiv w:val="1"/>
      <w:marLeft w:val="0"/>
      <w:marRight w:val="0"/>
      <w:marTop w:val="0"/>
      <w:marBottom w:val="0"/>
      <w:divBdr>
        <w:top w:val="none" w:sz="0" w:space="0" w:color="auto"/>
        <w:left w:val="none" w:sz="0" w:space="0" w:color="auto"/>
        <w:bottom w:val="none" w:sz="0" w:space="0" w:color="auto"/>
        <w:right w:val="none" w:sz="0" w:space="0" w:color="auto"/>
      </w:divBdr>
    </w:div>
    <w:div w:id="797257936">
      <w:bodyDiv w:val="1"/>
      <w:marLeft w:val="0"/>
      <w:marRight w:val="0"/>
      <w:marTop w:val="0"/>
      <w:marBottom w:val="0"/>
      <w:divBdr>
        <w:top w:val="none" w:sz="0" w:space="0" w:color="auto"/>
        <w:left w:val="none" w:sz="0" w:space="0" w:color="auto"/>
        <w:bottom w:val="none" w:sz="0" w:space="0" w:color="auto"/>
        <w:right w:val="none" w:sz="0" w:space="0" w:color="auto"/>
      </w:divBdr>
    </w:div>
    <w:div w:id="839736180">
      <w:bodyDiv w:val="1"/>
      <w:marLeft w:val="0"/>
      <w:marRight w:val="0"/>
      <w:marTop w:val="0"/>
      <w:marBottom w:val="0"/>
      <w:divBdr>
        <w:top w:val="none" w:sz="0" w:space="0" w:color="auto"/>
        <w:left w:val="none" w:sz="0" w:space="0" w:color="auto"/>
        <w:bottom w:val="none" w:sz="0" w:space="0" w:color="auto"/>
        <w:right w:val="none" w:sz="0" w:space="0" w:color="auto"/>
      </w:divBdr>
    </w:div>
    <w:div w:id="841050732">
      <w:bodyDiv w:val="1"/>
      <w:marLeft w:val="0"/>
      <w:marRight w:val="0"/>
      <w:marTop w:val="0"/>
      <w:marBottom w:val="0"/>
      <w:divBdr>
        <w:top w:val="none" w:sz="0" w:space="0" w:color="auto"/>
        <w:left w:val="none" w:sz="0" w:space="0" w:color="auto"/>
        <w:bottom w:val="none" w:sz="0" w:space="0" w:color="auto"/>
        <w:right w:val="none" w:sz="0" w:space="0" w:color="auto"/>
      </w:divBdr>
    </w:div>
    <w:div w:id="939485977">
      <w:bodyDiv w:val="1"/>
      <w:marLeft w:val="0"/>
      <w:marRight w:val="0"/>
      <w:marTop w:val="0"/>
      <w:marBottom w:val="0"/>
      <w:divBdr>
        <w:top w:val="none" w:sz="0" w:space="0" w:color="auto"/>
        <w:left w:val="none" w:sz="0" w:space="0" w:color="auto"/>
        <w:bottom w:val="none" w:sz="0" w:space="0" w:color="auto"/>
        <w:right w:val="none" w:sz="0" w:space="0" w:color="auto"/>
      </w:divBdr>
    </w:div>
    <w:div w:id="955910120">
      <w:bodyDiv w:val="1"/>
      <w:marLeft w:val="0"/>
      <w:marRight w:val="0"/>
      <w:marTop w:val="0"/>
      <w:marBottom w:val="0"/>
      <w:divBdr>
        <w:top w:val="none" w:sz="0" w:space="0" w:color="auto"/>
        <w:left w:val="none" w:sz="0" w:space="0" w:color="auto"/>
        <w:bottom w:val="none" w:sz="0" w:space="0" w:color="auto"/>
        <w:right w:val="none" w:sz="0" w:space="0" w:color="auto"/>
      </w:divBdr>
    </w:div>
    <w:div w:id="1001396784">
      <w:bodyDiv w:val="1"/>
      <w:marLeft w:val="0"/>
      <w:marRight w:val="0"/>
      <w:marTop w:val="0"/>
      <w:marBottom w:val="0"/>
      <w:divBdr>
        <w:top w:val="none" w:sz="0" w:space="0" w:color="auto"/>
        <w:left w:val="none" w:sz="0" w:space="0" w:color="auto"/>
        <w:bottom w:val="none" w:sz="0" w:space="0" w:color="auto"/>
        <w:right w:val="none" w:sz="0" w:space="0" w:color="auto"/>
      </w:divBdr>
    </w:div>
    <w:div w:id="1014920940">
      <w:bodyDiv w:val="1"/>
      <w:marLeft w:val="0"/>
      <w:marRight w:val="0"/>
      <w:marTop w:val="0"/>
      <w:marBottom w:val="0"/>
      <w:divBdr>
        <w:top w:val="none" w:sz="0" w:space="0" w:color="auto"/>
        <w:left w:val="none" w:sz="0" w:space="0" w:color="auto"/>
        <w:bottom w:val="none" w:sz="0" w:space="0" w:color="auto"/>
        <w:right w:val="none" w:sz="0" w:space="0" w:color="auto"/>
      </w:divBdr>
    </w:div>
    <w:div w:id="1018626894">
      <w:bodyDiv w:val="1"/>
      <w:marLeft w:val="0"/>
      <w:marRight w:val="0"/>
      <w:marTop w:val="0"/>
      <w:marBottom w:val="0"/>
      <w:divBdr>
        <w:top w:val="none" w:sz="0" w:space="0" w:color="auto"/>
        <w:left w:val="none" w:sz="0" w:space="0" w:color="auto"/>
        <w:bottom w:val="none" w:sz="0" w:space="0" w:color="auto"/>
        <w:right w:val="none" w:sz="0" w:space="0" w:color="auto"/>
      </w:divBdr>
    </w:div>
    <w:div w:id="1020090292">
      <w:bodyDiv w:val="1"/>
      <w:marLeft w:val="0"/>
      <w:marRight w:val="0"/>
      <w:marTop w:val="0"/>
      <w:marBottom w:val="0"/>
      <w:divBdr>
        <w:top w:val="none" w:sz="0" w:space="0" w:color="auto"/>
        <w:left w:val="none" w:sz="0" w:space="0" w:color="auto"/>
        <w:bottom w:val="none" w:sz="0" w:space="0" w:color="auto"/>
        <w:right w:val="none" w:sz="0" w:space="0" w:color="auto"/>
      </w:divBdr>
    </w:div>
    <w:div w:id="1186552007">
      <w:bodyDiv w:val="1"/>
      <w:marLeft w:val="0"/>
      <w:marRight w:val="0"/>
      <w:marTop w:val="0"/>
      <w:marBottom w:val="0"/>
      <w:divBdr>
        <w:top w:val="none" w:sz="0" w:space="0" w:color="auto"/>
        <w:left w:val="none" w:sz="0" w:space="0" w:color="auto"/>
        <w:bottom w:val="none" w:sz="0" w:space="0" w:color="auto"/>
        <w:right w:val="none" w:sz="0" w:space="0" w:color="auto"/>
      </w:divBdr>
    </w:div>
    <w:div w:id="1294407815">
      <w:bodyDiv w:val="1"/>
      <w:marLeft w:val="0"/>
      <w:marRight w:val="0"/>
      <w:marTop w:val="0"/>
      <w:marBottom w:val="0"/>
      <w:divBdr>
        <w:top w:val="none" w:sz="0" w:space="0" w:color="auto"/>
        <w:left w:val="none" w:sz="0" w:space="0" w:color="auto"/>
        <w:bottom w:val="none" w:sz="0" w:space="0" w:color="auto"/>
        <w:right w:val="none" w:sz="0" w:space="0" w:color="auto"/>
      </w:divBdr>
    </w:div>
    <w:div w:id="1321032999">
      <w:bodyDiv w:val="1"/>
      <w:marLeft w:val="0"/>
      <w:marRight w:val="0"/>
      <w:marTop w:val="0"/>
      <w:marBottom w:val="0"/>
      <w:divBdr>
        <w:top w:val="none" w:sz="0" w:space="0" w:color="auto"/>
        <w:left w:val="none" w:sz="0" w:space="0" w:color="auto"/>
        <w:bottom w:val="none" w:sz="0" w:space="0" w:color="auto"/>
        <w:right w:val="none" w:sz="0" w:space="0" w:color="auto"/>
      </w:divBdr>
    </w:div>
    <w:div w:id="132392270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484854706">
      <w:bodyDiv w:val="1"/>
      <w:marLeft w:val="0"/>
      <w:marRight w:val="0"/>
      <w:marTop w:val="0"/>
      <w:marBottom w:val="0"/>
      <w:divBdr>
        <w:top w:val="none" w:sz="0" w:space="0" w:color="auto"/>
        <w:left w:val="none" w:sz="0" w:space="0" w:color="auto"/>
        <w:bottom w:val="none" w:sz="0" w:space="0" w:color="auto"/>
        <w:right w:val="none" w:sz="0" w:space="0" w:color="auto"/>
      </w:divBdr>
    </w:div>
    <w:div w:id="1531255973">
      <w:bodyDiv w:val="1"/>
      <w:marLeft w:val="0"/>
      <w:marRight w:val="0"/>
      <w:marTop w:val="0"/>
      <w:marBottom w:val="0"/>
      <w:divBdr>
        <w:top w:val="none" w:sz="0" w:space="0" w:color="auto"/>
        <w:left w:val="none" w:sz="0" w:space="0" w:color="auto"/>
        <w:bottom w:val="none" w:sz="0" w:space="0" w:color="auto"/>
        <w:right w:val="none" w:sz="0" w:space="0" w:color="auto"/>
      </w:divBdr>
    </w:div>
    <w:div w:id="1553690531">
      <w:bodyDiv w:val="1"/>
      <w:marLeft w:val="0"/>
      <w:marRight w:val="0"/>
      <w:marTop w:val="0"/>
      <w:marBottom w:val="0"/>
      <w:divBdr>
        <w:top w:val="none" w:sz="0" w:space="0" w:color="auto"/>
        <w:left w:val="none" w:sz="0" w:space="0" w:color="auto"/>
        <w:bottom w:val="none" w:sz="0" w:space="0" w:color="auto"/>
        <w:right w:val="none" w:sz="0" w:space="0" w:color="auto"/>
      </w:divBdr>
    </w:div>
    <w:div w:id="1555579081">
      <w:bodyDiv w:val="1"/>
      <w:marLeft w:val="0"/>
      <w:marRight w:val="0"/>
      <w:marTop w:val="0"/>
      <w:marBottom w:val="0"/>
      <w:divBdr>
        <w:top w:val="none" w:sz="0" w:space="0" w:color="auto"/>
        <w:left w:val="none" w:sz="0" w:space="0" w:color="auto"/>
        <w:bottom w:val="none" w:sz="0" w:space="0" w:color="auto"/>
        <w:right w:val="none" w:sz="0" w:space="0" w:color="auto"/>
      </w:divBdr>
    </w:div>
    <w:div w:id="1602569573">
      <w:bodyDiv w:val="1"/>
      <w:marLeft w:val="0"/>
      <w:marRight w:val="0"/>
      <w:marTop w:val="0"/>
      <w:marBottom w:val="0"/>
      <w:divBdr>
        <w:top w:val="none" w:sz="0" w:space="0" w:color="auto"/>
        <w:left w:val="none" w:sz="0" w:space="0" w:color="auto"/>
        <w:bottom w:val="none" w:sz="0" w:space="0" w:color="auto"/>
        <w:right w:val="none" w:sz="0" w:space="0" w:color="auto"/>
      </w:divBdr>
    </w:div>
    <w:div w:id="1611932514">
      <w:bodyDiv w:val="1"/>
      <w:marLeft w:val="0"/>
      <w:marRight w:val="0"/>
      <w:marTop w:val="0"/>
      <w:marBottom w:val="0"/>
      <w:divBdr>
        <w:top w:val="none" w:sz="0" w:space="0" w:color="auto"/>
        <w:left w:val="none" w:sz="0" w:space="0" w:color="auto"/>
        <w:bottom w:val="none" w:sz="0" w:space="0" w:color="auto"/>
        <w:right w:val="none" w:sz="0" w:space="0" w:color="auto"/>
      </w:divBdr>
    </w:div>
    <w:div w:id="1685788911">
      <w:bodyDiv w:val="1"/>
      <w:marLeft w:val="0"/>
      <w:marRight w:val="0"/>
      <w:marTop w:val="0"/>
      <w:marBottom w:val="0"/>
      <w:divBdr>
        <w:top w:val="none" w:sz="0" w:space="0" w:color="auto"/>
        <w:left w:val="none" w:sz="0" w:space="0" w:color="auto"/>
        <w:bottom w:val="none" w:sz="0" w:space="0" w:color="auto"/>
        <w:right w:val="none" w:sz="0" w:space="0" w:color="auto"/>
      </w:divBdr>
    </w:div>
    <w:div w:id="1691646046">
      <w:bodyDiv w:val="1"/>
      <w:marLeft w:val="0"/>
      <w:marRight w:val="0"/>
      <w:marTop w:val="0"/>
      <w:marBottom w:val="0"/>
      <w:divBdr>
        <w:top w:val="none" w:sz="0" w:space="0" w:color="auto"/>
        <w:left w:val="none" w:sz="0" w:space="0" w:color="auto"/>
        <w:bottom w:val="none" w:sz="0" w:space="0" w:color="auto"/>
        <w:right w:val="none" w:sz="0" w:space="0" w:color="auto"/>
      </w:divBdr>
    </w:div>
    <w:div w:id="1813062514">
      <w:bodyDiv w:val="1"/>
      <w:marLeft w:val="0"/>
      <w:marRight w:val="0"/>
      <w:marTop w:val="0"/>
      <w:marBottom w:val="0"/>
      <w:divBdr>
        <w:top w:val="none" w:sz="0" w:space="0" w:color="auto"/>
        <w:left w:val="none" w:sz="0" w:space="0" w:color="auto"/>
        <w:bottom w:val="none" w:sz="0" w:space="0" w:color="auto"/>
        <w:right w:val="none" w:sz="0" w:space="0" w:color="auto"/>
      </w:divBdr>
    </w:div>
    <w:div w:id="1874339090">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934196646">
      <w:bodyDiv w:val="1"/>
      <w:marLeft w:val="0"/>
      <w:marRight w:val="0"/>
      <w:marTop w:val="0"/>
      <w:marBottom w:val="0"/>
      <w:divBdr>
        <w:top w:val="none" w:sz="0" w:space="0" w:color="auto"/>
        <w:left w:val="none" w:sz="0" w:space="0" w:color="auto"/>
        <w:bottom w:val="none" w:sz="0" w:space="0" w:color="auto"/>
        <w:right w:val="none" w:sz="0" w:space="0" w:color="auto"/>
      </w:divBdr>
    </w:div>
    <w:div w:id="1958288758">
      <w:bodyDiv w:val="1"/>
      <w:marLeft w:val="0"/>
      <w:marRight w:val="0"/>
      <w:marTop w:val="0"/>
      <w:marBottom w:val="0"/>
      <w:divBdr>
        <w:top w:val="none" w:sz="0" w:space="0" w:color="auto"/>
        <w:left w:val="none" w:sz="0" w:space="0" w:color="auto"/>
        <w:bottom w:val="none" w:sz="0" w:space="0" w:color="auto"/>
        <w:right w:val="none" w:sz="0" w:space="0" w:color="auto"/>
      </w:divBdr>
    </w:div>
    <w:div w:id="1971932975">
      <w:bodyDiv w:val="1"/>
      <w:marLeft w:val="0"/>
      <w:marRight w:val="0"/>
      <w:marTop w:val="0"/>
      <w:marBottom w:val="0"/>
      <w:divBdr>
        <w:top w:val="none" w:sz="0" w:space="0" w:color="auto"/>
        <w:left w:val="none" w:sz="0" w:space="0" w:color="auto"/>
        <w:bottom w:val="none" w:sz="0" w:space="0" w:color="auto"/>
        <w:right w:val="none" w:sz="0" w:space="0" w:color="auto"/>
      </w:divBdr>
    </w:div>
    <w:div w:id="209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chichester.gov.uk/article/24164/Council-structure" TargetMode="External"/><Relationship Id="rId26" Type="http://schemas.openxmlformats.org/officeDocument/2006/relationships/hyperlink" Target="http://www.chichester.gov.uk" TargetMode="Externa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www.chichester.gov.uk/annualbudget" TargetMode="External"/><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inance@chichester.gov.uk" TargetMode="External"/><Relationship Id="rId17" Type="http://schemas.openxmlformats.org/officeDocument/2006/relationships/footer" Target="footer5.xml"/><Relationship Id="rId25" Type="http://schemas.openxmlformats.org/officeDocument/2006/relationships/hyperlink" Target="https://chichester.moderngov.co.uk/documents/s16911/Response%20to%20Covid-19%20-%20appendix.pdf" TargetMode="External"/><Relationship Id="rId33" Type="http://schemas.openxmlformats.org/officeDocument/2006/relationships/footer" Target="footer8.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hichester.gov.uk/corporateplan" TargetMode="External"/><Relationship Id="rId29" Type="http://schemas.openxmlformats.org/officeDocument/2006/relationships/header" Target="header4.xml"/><Relationship Id="rId41" Type="http://schemas.openxmlformats.org/officeDocument/2006/relationships/hyperlink" Target="http://www.westsussex.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chichester.gov.uk" TargetMode="External"/><Relationship Id="rId24" Type="http://schemas.openxmlformats.org/officeDocument/2006/relationships/hyperlink" Target="http://www.chichester.gov.uk/article/29385/About-the-Southern-Gateway" TargetMode="External"/><Relationship Id="rId32" Type="http://schemas.openxmlformats.org/officeDocument/2006/relationships/header" Target="header5.xml"/><Relationship Id="rId37" Type="http://schemas.openxmlformats.org/officeDocument/2006/relationships/footer" Target="footer10.xml"/><Relationship Id="rId40"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coast2capital.org.uk/" TargetMode="External"/><Relationship Id="rId28" Type="http://schemas.openxmlformats.org/officeDocument/2006/relationships/header" Target="header3.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www.chichester.gov.uk/corporateplan"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chichester.gov.uk/article/27734/chichesterdotnet/favicons/16x16.png" TargetMode="External"/><Relationship Id="rId27" Type="http://schemas.openxmlformats.org/officeDocument/2006/relationships/hyperlink" Target="mailto:finance@chichester.gov.uk" TargetMode="External"/><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afiler01\deptshare\Root\Accountancy%20Services\Accountancy\Publications%20and%20Corporate%20Returns\Annual%20Report\2019-20\Officers'%20Remuneration\Officers'%20Remuneration%202019-20.x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'Over £50k Stmnt of Acc'!$B$5</c:f>
              <c:strCache>
                <c:ptCount val="1"/>
                <c:pt idx="0">
                  <c:v>2019-20 Number of Employees</c:v>
                </c:pt>
              </c:strCache>
            </c:strRef>
          </c:tx>
          <c:invertIfNegative val="0"/>
          <c:cat>
            <c:strRef>
              <c:f>'Over £50k Stmnt of Acc'!$A$6:$A$16</c:f>
              <c:strCache>
                <c:ptCount val="11"/>
                <c:pt idx="0">
                  <c:v>£50,000 - £54,999</c:v>
                </c:pt>
                <c:pt idx="1">
                  <c:v>£55,000 - £59,999</c:v>
                </c:pt>
                <c:pt idx="2">
                  <c:v>£60,000 - £64,999</c:v>
                </c:pt>
                <c:pt idx="3">
                  <c:v>£65,000 - £69,999</c:v>
                </c:pt>
                <c:pt idx="4">
                  <c:v>£70,000 - £74,999</c:v>
                </c:pt>
                <c:pt idx="5">
                  <c:v>£75,000 - £79,999</c:v>
                </c:pt>
                <c:pt idx="6">
                  <c:v>£80,000 - £84,999</c:v>
                </c:pt>
                <c:pt idx="7">
                  <c:v>£85,000 - £89,999</c:v>
                </c:pt>
                <c:pt idx="8">
                  <c:v>£90,000 - £94,999</c:v>
                </c:pt>
                <c:pt idx="9">
                  <c:v>£95,000 - £99,999</c:v>
                </c:pt>
                <c:pt idx="10">
                  <c:v>£120,000 - £124,999</c:v>
                </c:pt>
              </c:strCache>
            </c:strRef>
          </c:cat>
          <c:val>
            <c:numRef>
              <c:f>'Over £50k Stmnt of Acc'!$B$6:$B$16</c:f>
              <c:numCache>
                <c:formatCode>General</c:formatCode>
                <c:ptCount val="11"/>
                <c:pt idx="0">
                  <c:v>9</c:v>
                </c:pt>
                <c:pt idx="1">
                  <c:v>10</c:v>
                </c:pt>
                <c:pt idx="2">
                  <c:v>4</c:v>
                </c:pt>
                <c:pt idx="3">
                  <c:v>1</c:v>
                </c:pt>
                <c:pt idx="4">
                  <c:v>1</c:v>
                </c:pt>
                <c:pt idx="5">
                  <c:v>0</c:v>
                </c:pt>
                <c:pt idx="6">
                  <c:v>0</c:v>
                </c:pt>
                <c:pt idx="7">
                  <c:v>3</c:v>
                </c:pt>
                <c:pt idx="8">
                  <c:v>1</c:v>
                </c:pt>
                <c:pt idx="9">
                  <c:v>0</c:v>
                </c:pt>
                <c:pt idx="10">
                  <c:v>1</c:v>
                </c:pt>
              </c:numCache>
            </c:numRef>
          </c:val>
          <c:extLst>
            <c:ext xmlns:c16="http://schemas.microsoft.com/office/drawing/2014/chart" uri="{C3380CC4-5D6E-409C-BE32-E72D297353CC}">
              <c16:uniqueId val="{00000000-52F8-4792-84F2-FCE68B7E7AEA}"/>
            </c:ext>
          </c:extLst>
        </c:ser>
        <c:ser>
          <c:idx val="1"/>
          <c:order val="1"/>
          <c:tx>
            <c:strRef>
              <c:f>'Over £50k Stmnt of Acc'!$C$5</c:f>
              <c:strCache>
                <c:ptCount val="1"/>
                <c:pt idx="0">
                  <c:v>2018-19 Number of Employees</c:v>
                </c:pt>
              </c:strCache>
            </c:strRef>
          </c:tx>
          <c:invertIfNegative val="0"/>
          <c:cat>
            <c:strRef>
              <c:f>'Over £50k Stmnt of Acc'!$A$6:$A$16</c:f>
              <c:strCache>
                <c:ptCount val="11"/>
                <c:pt idx="0">
                  <c:v>£50,000 - £54,999</c:v>
                </c:pt>
                <c:pt idx="1">
                  <c:v>£55,000 - £59,999</c:v>
                </c:pt>
                <c:pt idx="2">
                  <c:v>£60,000 - £64,999</c:v>
                </c:pt>
                <c:pt idx="3">
                  <c:v>£65,000 - £69,999</c:v>
                </c:pt>
                <c:pt idx="4">
                  <c:v>£70,000 - £74,999</c:v>
                </c:pt>
                <c:pt idx="5">
                  <c:v>£75,000 - £79,999</c:v>
                </c:pt>
                <c:pt idx="6">
                  <c:v>£80,000 - £84,999</c:v>
                </c:pt>
                <c:pt idx="7">
                  <c:v>£85,000 - £89,999</c:v>
                </c:pt>
                <c:pt idx="8">
                  <c:v>£90,000 - £94,999</c:v>
                </c:pt>
                <c:pt idx="9">
                  <c:v>£95,000 - £99,999</c:v>
                </c:pt>
                <c:pt idx="10">
                  <c:v>£120,000 - £124,999</c:v>
                </c:pt>
              </c:strCache>
            </c:strRef>
          </c:cat>
          <c:val>
            <c:numRef>
              <c:f>'Over £50k Stmnt of Acc'!$C$6:$C$16</c:f>
              <c:numCache>
                <c:formatCode>General</c:formatCode>
                <c:ptCount val="11"/>
                <c:pt idx="0">
                  <c:v>7</c:v>
                </c:pt>
                <c:pt idx="1">
                  <c:v>7</c:v>
                </c:pt>
                <c:pt idx="2">
                  <c:v>3</c:v>
                </c:pt>
                <c:pt idx="3">
                  <c:v>1</c:v>
                </c:pt>
                <c:pt idx="4">
                  <c:v>0</c:v>
                </c:pt>
                <c:pt idx="5">
                  <c:v>1</c:v>
                </c:pt>
                <c:pt idx="6">
                  <c:v>3</c:v>
                </c:pt>
                <c:pt idx="7">
                  <c:v>1</c:v>
                </c:pt>
                <c:pt idx="8">
                  <c:v>0</c:v>
                </c:pt>
                <c:pt idx="9">
                  <c:v>1</c:v>
                </c:pt>
                <c:pt idx="10">
                  <c:v>1</c:v>
                </c:pt>
              </c:numCache>
            </c:numRef>
          </c:val>
          <c:extLst>
            <c:ext xmlns:c16="http://schemas.microsoft.com/office/drawing/2014/chart" uri="{C3380CC4-5D6E-409C-BE32-E72D297353CC}">
              <c16:uniqueId val="{00000001-52F8-4792-84F2-FCE68B7E7AEA}"/>
            </c:ext>
          </c:extLst>
        </c:ser>
        <c:dLbls>
          <c:showLegendKey val="0"/>
          <c:showVal val="0"/>
          <c:showCatName val="0"/>
          <c:showSerName val="0"/>
          <c:showPercent val="0"/>
          <c:showBubbleSize val="0"/>
        </c:dLbls>
        <c:gapWidth val="150"/>
        <c:axId val="125720064"/>
        <c:axId val="125721600"/>
      </c:barChart>
      <c:catAx>
        <c:axId val="125720064"/>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25721600"/>
        <c:crosses val="autoZero"/>
        <c:auto val="1"/>
        <c:lblAlgn val="ctr"/>
        <c:lblOffset val="100"/>
        <c:noMultiLvlLbl val="0"/>
      </c:catAx>
      <c:valAx>
        <c:axId val="1257216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5720064"/>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B5C8-09DE-42DF-B109-F923A930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23731</Words>
  <Characters>135271</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EXPLANATORY FOREWORD</vt:lpstr>
    </vt:vector>
  </TitlesOfParts>
  <Company>Chichester District Council</Company>
  <LinksUpToDate>false</LinksUpToDate>
  <CharactersWithSpaces>158685</CharactersWithSpaces>
  <SharedDoc>false</SharedDoc>
  <HLinks>
    <vt:vector size="24" baseType="variant">
      <vt:variant>
        <vt:i4>1114221</vt:i4>
      </vt:variant>
      <vt:variant>
        <vt:i4>9</vt:i4>
      </vt:variant>
      <vt:variant>
        <vt:i4>0</vt:i4>
      </vt:variant>
      <vt:variant>
        <vt:i4>5</vt:i4>
      </vt:variant>
      <vt:variant>
        <vt:lpwstr>mailto:finance@chichester.gov.uk</vt:lpwstr>
      </vt:variant>
      <vt:variant>
        <vt:lpwstr/>
      </vt:variant>
      <vt:variant>
        <vt:i4>5963868</vt:i4>
      </vt:variant>
      <vt:variant>
        <vt:i4>6</vt:i4>
      </vt:variant>
      <vt:variant>
        <vt:i4>0</vt:i4>
      </vt:variant>
      <vt:variant>
        <vt:i4>5</vt:i4>
      </vt:variant>
      <vt:variant>
        <vt:lpwstr>http://www.chichester.gov.uk/</vt:lpwstr>
      </vt:variant>
      <vt:variant>
        <vt:lpwstr/>
      </vt:variant>
      <vt:variant>
        <vt:i4>1114221</vt:i4>
      </vt:variant>
      <vt:variant>
        <vt:i4>3</vt:i4>
      </vt:variant>
      <vt:variant>
        <vt:i4>0</vt:i4>
      </vt:variant>
      <vt:variant>
        <vt:i4>5</vt:i4>
      </vt:variant>
      <vt:variant>
        <vt:lpwstr>mailto:finance@chichester.gov.uk</vt:lpwstr>
      </vt:variant>
      <vt:variant>
        <vt:lpwstr/>
      </vt:variant>
      <vt:variant>
        <vt:i4>2621512</vt:i4>
      </vt:variant>
      <vt:variant>
        <vt:i4>0</vt:i4>
      </vt:variant>
      <vt:variant>
        <vt:i4>0</vt:i4>
      </vt:variant>
      <vt:variant>
        <vt:i4>5</vt:i4>
      </vt:variant>
      <vt:variant>
        <vt:lpwstr>mailto:helpline@chichester.gov.uk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FOREWORD</dc:title>
  <dc:creator>Unknown User</dc:creator>
  <cp:lastModifiedBy>Barry Knight</cp:lastModifiedBy>
  <cp:revision>3</cp:revision>
  <cp:lastPrinted>2021-09-21T09:57:00Z</cp:lastPrinted>
  <dcterms:created xsi:type="dcterms:W3CDTF">2021-09-22T11:31:00Z</dcterms:created>
  <dcterms:modified xsi:type="dcterms:W3CDTF">2021-09-22T11:31:00Z</dcterms:modified>
</cp:coreProperties>
</file>